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57ADC" w:rsidRPr="00AB46EA" w:rsidRDefault="00C57ADC" w:rsidP="00C57ADC">
      <w:pPr>
        <w:pStyle w:val="Capa"/>
        <w:rPr>
          <w:sz w:val="24"/>
          <w:szCs w:val="24"/>
        </w:rPr>
      </w:pPr>
    </w:p>
    <w:p w:rsidR="00C57ADC" w:rsidRPr="00AB46EA" w:rsidRDefault="00C57ADC" w:rsidP="00C57ADC">
      <w:pPr>
        <w:pStyle w:val="Capa"/>
        <w:rPr>
          <w:sz w:val="24"/>
          <w:szCs w:val="24"/>
        </w:rPr>
      </w:pPr>
    </w:p>
    <w:p w:rsidR="00C57ADC" w:rsidRPr="00AB46EA" w:rsidRDefault="00C57ADC" w:rsidP="00C57ADC">
      <w:pPr>
        <w:pStyle w:val="Capa"/>
        <w:rPr>
          <w:sz w:val="24"/>
          <w:szCs w:val="24"/>
        </w:rPr>
      </w:pPr>
    </w:p>
    <w:p w:rsidR="00C57ADC" w:rsidRPr="00AB46EA" w:rsidRDefault="00C57ADC" w:rsidP="00C57ADC">
      <w:pPr>
        <w:pStyle w:val="Capa"/>
        <w:rPr>
          <w:sz w:val="24"/>
          <w:szCs w:val="24"/>
        </w:rPr>
      </w:pPr>
    </w:p>
    <w:p w:rsidR="00C57ADC" w:rsidRPr="00F94A69" w:rsidRDefault="00C57ADC" w:rsidP="00C57ADC">
      <w:pPr>
        <w:pStyle w:val="Capa"/>
        <w:rPr>
          <w:sz w:val="24"/>
          <w:szCs w:val="24"/>
        </w:rPr>
      </w:pPr>
      <w:r w:rsidRPr="00F94A69">
        <w:rPr>
          <w:sz w:val="24"/>
          <w:szCs w:val="24"/>
        </w:rPr>
        <w:t>PLANO MUNICIPAL DE SANEAMENTO BÁSICO DE</w:t>
      </w:r>
    </w:p>
    <w:p w:rsidR="00C57ADC" w:rsidRPr="00F94A69" w:rsidRDefault="007A2B6D" w:rsidP="00C57ADC">
      <w:pPr>
        <w:pStyle w:val="Capa"/>
        <w:rPr>
          <w:sz w:val="24"/>
          <w:szCs w:val="24"/>
        </w:rPr>
      </w:pPr>
      <w:r>
        <w:rPr>
          <w:sz w:val="24"/>
          <w:szCs w:val="24"/>
        </w:rPr>
        <w:t>CÓRREGO NOVO</w:t>
      </w:r>
      <w:r w:rsidR="00CB5249" w:rsidRPr="00F94A69">
        <w:rPr>
          <w:sz w:val="24"/>
          <w:szCs w:val="24"/>
        </w:rPr>
        <w:t>-MG</w:t>
      </w:r>
    </w:p>
    <w:p w:rsidR="00C57ADC" w:rsidRPr="00F94A69" w:rsidRDefault="00C57ADC" w:rsidP="00C57ADC">
      <w:pPr>
        <w:pStyle w:val="Capa"/>
        <w:rPr>
          <w:sz w:val="24"/>
          <w:szCs w:val="24"/>
        </w:rPr>
      </w:pPr>
    </w:p>
    <w:p w:rsidR="00C57ADC" w:rsidRPr="00F94A69" w:rsidRDefault="00C57ADC" w:rsidP="00C57ADC">
      <w:pPr>
        <w:pStyle w:val="NormalWeb"/>
        <w:spacing w:line="360" w:lineRule="auto"/>
        <w:jc w:val="center"/>
        <w:rPr>
          <w:rFonts w:ascii="Arial" w:hAnsi="Arial" w:cs="Arial"/>
        </w:rPr>
      </w:pPr>
      <w:r w:rsidRPr="00F94A69">
        <w:rPr>
          <w:rStyle w:val="Forte"/>
          <w:rFonts w:ascii="Arial" w:hAnsi="Arial" w:cs="Arial"/>
          <w:spacing w:val="19"/>
        </w:rPr>
        <w:t xml:space="preserve">Ato Convocatório Nº </w:t>
      </w:r>
      <w:r w:rsidR="00CB5249" w:rsidRPr="00F94A69">
        <w:rPr>
          <w:rStyle w:val="Forte"/>
          <w:rFonts w:ascii="Arial" w:hAnsi="Arial" w:cs="Arial"/>
          <w:spacing w:val="19"/>
        </w:rPr>
        <w:t>08</w:t>
      </w:r>
      <w:r w:rsidRPr="00F94A69">
        <w:rPr>
          <w:rStyle w:val="Forte"/>
          <w:rFonts w:ascii="Arial" w:hAnsi="Arial" w:cs="Arial"/>
          <w:spacing w:val="19"/>
        </w:rPr>
        <w:t>/201</w:t>
      </w:r>
      <w:r w:rsidR="00CB5249" w:rsidRPr="00F94A69">
        <w:rPr>
          <w:rStyle w:val="Forte"/>
          <w:rFonts w:ascii="Arial" w:hAnsi="Arial" w:cs="Arial"/>
          <w:spacing w:val="19"/>
        </w:rPr>
        <w:t>6</w:t>
      </w:r>
    </w:p>
    <w:p w:rsidR="00C57ADC" w:rsidRPr="00F94A69" w:rsidRDefault="00C57ADC" w:rsidP="00C57ADC">
      <w:pPr>
        <w:pStyle w:val="NormalWeb"/>
        <w:spacing w:line="360" w:lineRule="auto"/>
        <w:jc w:val="center"/>
        <w:rPr>
          <w:rFonts w:ascii="Arial" w:hAnsi="Arial" w:cs="Arial"/>
          <w:b/>
          <w:sz w:val="28"/>
          <w:szCs w:val="28"/>
        </w:rPr>
      </w:pPr>
    </w:p>
    <w:p w:rsidR="00C57ADC" w:rsidRPr="00F94A69" w:rsidRDefault="00C57ADC" w:rsidP="00C57ADC">
      <w:pPr>
        <w:pStyle w:val="NormalWeb"/>
        <w:spacing w:line="360" w:lineRule="auto"/>
        <w:jc w:val="center"/>
        <w:rPr>
          <w:rFonts w:ascii="Arial" w:hAnsi="Arial" w:cs="Arial"/>
          <w:b/>
          <w:sz w:val="28"/>
          <w:szCs w:val="28"/>
        </w:rPr>
      </w:pPr>
    </w:p>
    <w:p w:rsidR="004478AE" w:rsidRPr="00F94A69" w:rsidRDefault="00C57ADC" w:rsidP="007B7163">
      <w:pPr>
        <w:pStyle w:val="NormalWeb"/>
        <w:jc w:val="center"/>
        <w:rPr>
          <w:rFonts w:ascii="Arial" w:hAnsi="Arial" w:cs="Arial"/>
          <w:b/>
          <w:sz w:val="28"/>
          <w:szCs w:val="28"/>
        </w:rPr>
      </w:pPr>
      <w:r w:rsidRPr="00F94A69">
        <w:rPr>
          <w:rFonts w:ascii="Arial" w:hAnsi="Arial" w:cs="Arial"/>
          <w:b/>
          <w:sz w:val="28"/>
          <w:szCs w:val="28"/>
        </w:rPr>
        <w:t>Produto 4 –</w:t>
      </w:r>
      <w:r w:rsidR="00B226A3" w:rsidRPr="00F94A69">
        <w:rPr>
          <w:rFonts w:ascii="Arial" w:hAnsi="Arial" w:cs="Arial"/>
          <w:b/>
          <w:sz w:val="28"/>
          <w:szCs w:val="28"/>
        </w:rPr>
        <w:t xml:space="preserve"> </w:t>
      </w:r>
      <w:r w:rsidR="007B7163" w:rsidRPr="00F94A69">
        <w:rPr>
          <w:rFonts w:ascii="Arial" w:hAnsi="Arial" w:cs="Arial"/>
          <w:b/>
          <w:sz w:val="28"/>
          <w:szCs w:val="28"/>
          <w:shd w:val="clear" w:color="auto" w:fill="FFFFFF"/>
        </w:rPr>
        <w:t>Prognóstico contemplando objetivos e metas por componente do saneamento e alternativas institucionais para a gestão dos serviços de saneamento básico no município</w:t>
      </w:r>
    </w:p>
    <w:p w:rsidR="004478AE" w:rsidRPr="00F94A69" w:rsidRDefault="004478AE" w:rsidP="00C57ADC">
      <w:pPr>
        <w:pStyle w:val="NormalWeb"/>
        <w:spacing w:line="360" w:lineRule="auto"/>
        <w:jc w:val="center"/>
        <w:rPr>
          <w:rFonts w:ascii="Arial" w:hAnsi="Arial" w:cs="Arial"/>
          <w:b/>
          <w:sz w:val="28"/>
          <w:szCs w:val="28"/>
        </w:rPr>
      </w:pPr>
    </w:p>
    <w:p w:rsidR="004478AE" w:rsidRPr="00F94A69" w:rsidRDefault="004478AE" w:rsidP="00C57ADC">
      <w:pPr>
        <w:pStyle w:val="NormalWeb"/>
        <w:spacing w:line="360" w:lineRule="auto"/>
        <w:jc w:val="center"/>
        <w:rPr>
          <w:rFonts w:ascii="Arial" w:hAnsi="Arial" w:cs="Arial"/>
          <w:b/>
          <w:sz w:val="28"/>
          <w:szCs w:val="28"/>
        </w:rPr>
      </w:pPr>
    </w:p>
    <w:p w:rsidR="007B7163" w:rsidRPr="00F94A69" w:rsidRDefault="006103BE" w:rsidP="00C57ADC">
      <w:pPr>
        <w:pStyle w:val="NormalWeb"/>
        <w:spacing w:line="360" w:lineRule="auto"/>
        <w:jc w:val="center"/>
        <w:rPr>
          <w:rFonts w:ascii="Arial" w:hAnsi="Arial" w:cs="Arial"/>
          <w:b/>
          <w:sz w:val="28"/>
          <w:szCs w:val="28"/>
        </w:rPr>
      </w:pPr>
      <w:r>
        <w:rPr>
          <w:rFonts w:cs="Arial"/>
          <w:b/>
          <w:sz w:val="28"/>
          <w:szCs w:val="28"/>
        </w:rPr>
        <w:t xml:space="preserve">REVISÃO </w:t>
      </w:r>
      <w:r w:rsidR="00852088">
        <w:rPr>
          <w:rFonts w:cs="Arial"/>
          <w:b/>
          <w:sz w:val="28"/>
          <w:szCs w:val="28"/>
        </w:rPr>
        <w:t>2</w:t>
      </w:r>
    </w:p>
    <w:p w:rsidR="007B7163" w:rsidRPr="00F94A69" w:rsidRDefault="007B7163" w:rsidP="00C57ADC">
      <w:pPr>
        <w:pStyle w:val="NormalWeb"/>
        <w:spacing w:line="360" w:lineRule="auto"/>
        <w:jc w:val="center"/>
        <w:rPr>
          <w:rFonts w:ascii="Arial" w:hAnsi="Arial" w:cs="Arial"/>
          <w:b/>
          <w:sz w:val="28"/>
          <w:szCs w:val="28"/>
        </w:rPr>
      </w:pPr>
    </w:p>
    <w:p w:rsidR="00DD0AEC" w:rsidRPr="00F94A69" w:rsidRDefault="00DD0AEC" w:rsidP="00C57ADC">
      <w:pPr>
        <w:pStyle w:val="NormalWeb"/>
        <w:spacing w:line="360" w:lineRule="auto"/>
        <w:jc w:val="center"/>
        <w:rPr>
          <w:rFonts w:ascii="Arial" w:hAnsi="Arial" w:cs="Arial"/>
          <w:b/>
          <w:sz w:val="28"/>
          <w:szCs w:val="28"/>
        </w:rPr>
      </w:pPr>
    </w:p>
    <w:p w:rsidR="004478AE" w:rsidRPr="00F94A69" w:rsidRDefault="00223C77" w:rsidP="00C7407E">
      <w:pPr>
        <w:pStyle w:val="NormalWeb"/>
        <w:spacing w:line="360" w:lineRule="auto"/>
        <w:jc w:val="center"/>
        <w:rPr>
          <w:rFonts w:cs="Arial"/>
          <w:b/>
        </w:rPr>
      </w:pPr>
      <w:r>
        <w:rPr>
          <w:rFonts w:ascii="Arial" w:hAnsi="Arial" w:cs="Arial"/>
          <w:b/>
        </w:rPr>
        <w:t>NOV</w:t>
      </w:r>
      <w:r w:rsidR="00CB5249" w:rsidRPr="00807E8B">
        <w:rPr>
          <w:rFonts w:ascii="Arial" w:hAnsi="Arial" w:cs="Arial"/>
          <w:b/>
        </w:rPr>
        <w:t>/2017</w:t>
      </w:r>
      <w:r w:rsidR="004478AE" w:rsidRPr="00F94A69">
        <w:rPr>
          <w:rFonts w:cs="Arial"/>
          <w:b/>
        </w:rPr>
        <w:br w:type="page"/>
      </w:r>
    </w:p>
    <w:p w:rsidR="00C57ADC" w:rsidRPr="00F94A69" w:rsidRDefault="00C57ADC" w:rsidP="00C57ADC">
      <w:pPr>
        <w:jc w:val="center"/>
        <w:rPr>
          <w:rFonts w:cs="Arial"/>
          <w:b/>
          <w:szCs w:val="24"/>
        </w:rPr>
      </w:pPr>
      <w:r w:rsidRPr="00F94A69">
        <w:rPr>
          <w:rFonts w:cs="Arial"/>
          <w:b/>
          <w:szCs w:val="24"/>
        </w:rPr>
        <w:lastRenderedPageBreak/>
        <w:t>Sumário</w:t>
      </w:r>
    </w:p>
    <w:p w:rsidR="004D1D76" w:rsidRDefault="00DD0AEC">
      <w:pPr>
        <w:pStyle w:val="Sumrio1"/>
        <w:rPr>
          <w:rFonts w:asciiTheme="minorHAnsi" w:eastAsiaTheme="minorEastAsia" w:hAnsiTheme="minorHAnsi" w:cstheme="minorBidi"/>
          <w:b w:val="0"/>
          <w:noProof/>
          <w:sz w:val="22"/>
          <w:szCs w:val="22"/>
        </w:rPr>
      </w:pPr>
      <w:r w:rsidRPr="00F94A69">
        <w:fldChar w:fldCharType="begin"/>
      </w:r>
      <w:r w:rsidRPr="00F94A69">
        <w:instrText xml:space="preserve"> TOC \o "1-5" \h \z \u </w:instrText>
      </w:r>
      <w:r w:rsidRPr="00F94A69">
        <w:fldChar w:fldCharType="separate"/>
      </w:r>
      <w:hyperlink w:anchor="_Toc497468977" w:history="1">
        <w:r w:rsidR="004D1D76" w:rsidRPr="0010505A">
          <w:rPr>
            <w:rStyle w:val="Hyperlink"/>
            <w:noProof/>
          </w:rPr>
          <w:t>Lista de Figuras</w:t>
        </w:r>
        <w:r w:rsidR="004D1D76">
          <w:rPr>
            <w:noProof/>
            <w:webHidden/>
          </w:rPr>
          <w:tab/>
        </w:r>
        <w:r w:rsidR="004D1D76">
          <w:rPr>
            <w:noProof/>
            <w:webHidden/>
          </w:rPr>
          <w:fldChar w:fldCharType="begin"/>
        </w:r>
        <w:r w:rsidR="004D1D76">
          <w:rPr>
            <w:noProof/>
            <w:webHidden/>
          </w:rPr>
          <w:instrText xml:space="preserve"> PAGEREF _Toc497468977 \h </w:instrText>
        </w:r>
        <w:r w:rsidR="004D1D76">
          <w:rPr>
            <w:noProof/>
            <w:webHidden/>
          </w:rPr>
        </w:r>
        <w:r w:rsidR="004D1D76">
          <w:rPr>
            <w:noProof/>
            <w:webHidden/>
          </w:rPr>
          <w:fldChar w:fldCharType="separate"/>
        </w:r>
        <w:r w:rsidR="004D1D76">
          <w:rPr>
            <w:noProof/>
            <w:webHidden/>
          </w:rPr>
          <w:t>vii</w:t>
        </w:r>
        <w:r w:rsidR="004D1D76">
          <w:rPr>
            <w:noProof/>
            <w:webHidden/>
          </w:rPr>
          <w:fldChar w:fldCharType="end"/>
        </w:r>
      </w:hyperlink>
    </w:p>
    <w:p w:rsidR="004D1D76" w:rsidRDefault="004D1D76">
      <w:pPr>
        <w:pStyle w:val="Sumrio1"/>
        <w:rPr>
          <w:rFonts w:asciiTheme="minorHAnsi" w:eastAsiaTheme="minorEastAsia" w:hAnsiTheme="minorHAnsi" w:cstheme="minorBidi"/>
          <w:b w:val="0"/>
          <w:noProof/>
          <w:sz w:val="22"/>
          <w:szCs w:val="22"/>
        </w:rPr>
      </w:pPr>
      <w:hyperlink w:anchor="_Toc497468978" w:history="1">
        <w:r w:rsidRPr="0010505A">
          <w:rPr>
            <w:rStyle w:val="Hyperlink"/>
            <w:noProof/>
          </w:rPr>
          <w:t>Lista de Quadros</w:t>
        </w:r>
        <w:r>
          <w:rPr>
            <w:noProof/>
            <w:webHidden/>
          </w:rPr>
          <w:tab/>
        </w:r>
        <w:r>
          <w:rPr>
            <w:noProof/>
            <w:webHidden/>
          </w:rPr>
          <w:fldChar w:fldCharType="begin"/>
        </w:r>
        <w:r>
          <w:rPr>
            <w:noProof/>
            <w:webHidden/>
          </w:rPr>
          <w:instrText xml:space="preserve"> PAGEREF _Toc497468978 \h </w:instrText>
        </w:r>
        <w:r>
          <w:rPr>
            <w:noProof/>
            <w:webHidden/>
          </w:rPr>
        </w:r>
        <w:r>
          <w:rPr>
            <w:noProof/>
            <w:webHidden/>
          </w:rPr>
          <w:fldChar w:fldCharType="separate"/>
        </w:r>
        <w:r>
          <w:rPr>
            <w:noProof/>
            <w:webHidden/>
          </w:rPr>
          <w:t>viii</w:t>
        </w:r>
        <w:r>
          <w:rPr>
            <w:noProof/>
            <w:webHidden/>
          </w:rPr>
          <w:fldChar w:fldCharType="end"/>
        </w:r>
      </w:hyperlink>
    </w:p>
    <w:p w:rsidR="004D1D76" w:rsidRDefault="004D1D76">
      <w:pPr>
        <w:pStyle w:val="Sumrio1"/>
        <w:rPr>
          <w:rFonts w:asciiTheme="minorHAnsi" w:eastAsiaTheme="minorEastAsia" w:hAnsiTheme="minorHAnsi" w:cstheme="minorBidi"/>
          <w:b w:val="0"/>
          <w:noProof/>
          <w:sz w:val="22"/>
          <w:szCs w:val="22"/>
        </w:rPr>
      </w:pPr>
      <w:hyperlink w:anchor="_Toc497468979" w:history="1">
        <w:r w:rsidRPr="0010505A">
          <w:rPr>
            <w:rStyle w:val="Hyperlink"/>
            <w:noProof/>
          </w:rPr>
          <w:t>Lista de Tabelas</w:t>
        </w:r>
        <w:r>
          <w:rPr>
            <w:noProof/>
            <w:webHidden/>
          </w:rPr>
          <w:tab/>
        </w:r>
        <w:r>
          <w:rPr>
            <w:noProof/>
            <w:webHidden/>
          </w:rPr>
          <w:fldChar w:fldCharType="begin"/>
        </w:r>
        <w:r>
          <w:rPr>
            <w:noProof/>
            <w:webHidden/>
          </w:rPr>
          <w:instrText xml:space="preserve"> PAGEREF _Toc497468979 \h </w:instrText>
        </w:r>
        <w:r>
          <w:rPr>
            <w:noProof/>
            <w:webHidden/>
          </w:rPr>
        </w:r>
        <w:r>
          <w:rPr>
            <w:noProof/>
            <w:webHidden/>
          </w:rPr>
          <w:fldChar w:fldCharType="separate"/>
        </w:r>
        <w:r>
          <w:rPr>
            <w:noProof/>
            <w:webHidden/>
          </w:rPr>
          <w:t>xiii</w:t>
        </w:r>
        <w:r>
          <w:rPr>
            <w:noProof/>
            <w:webHidden/>
          </w:rPr>
          <w:fldChar w:fldCharType="end"/>
        </w:r>
      </w:hyperlink>
    </w:p>
    <w:p w:rsidR="004D1D76" w:rsidRDefault="004D1D76">
      <w:pPr>
        <w:pStyle w:val="Sumrio1"/>
        <w:rPr>
          <w:rFonts w:asciiTheme="minorHAnsi" w:eastAsiaTheme="minorEastAsia" w:hAnsiTheme="minorHAnsi" w:cstheme="minorBidi"/>
          <w:b w:val="0"/>
          <w:noProof/>
          <w:sz w:val="22"/>
          <w:szCs w:val="22"/>
        </w:rPr>
      </w:pPr>
      <w:hyperlink w:anchor="_Toc497468980" w:history="1">
        <w:r w:rsidRPr="0010505A">
          <w:rPr>
            <w:rStyle w:val="Hyperlink"/>
            <w:bCs/>
            <w:noProof/>
            <w:lang w:eastAsia="x-none"/>
          </w:rPr>
          <w:t>Abreviaturas e Siglas</w:t>
        </w:r>
        <w:r>
          <w:rPr>
            <w:noProof/>
            <w:webHidden/>
          </w:rPr>
          <w:tab/>
        </w:r>
        <w:r>
          <w:rPr>
            <w:noProof/>
            <w:webHidden/>
          </w:rPr>
          <w:fldChar w:fldCharType="begin"/>
        </w:r>
        <w:r>
          <w:rPr>
            <w:noProof/>
            <w:webHidden/>
          </w:rPr>
          <w:instrText xml:space="preserve"> PAGEREF _Toc497468980 \h </w:instrText>
        </w:r>
        <w:r>
          <w:rPr>
            <w:noProof/>
            <w:webHidden/>
          </w:rPr>
        </w:r>
        <w:r>
          <w:rPr>
            <w:noProof/>
            <w:webHidden/>
          </w:rPr>
          <w:fldChar w:fldCharType="separate"/>
        </w:r>
        <w:r>
          <w:rPr>
            <w:noProof/>
            <w:webHidden/>
          </w:rPr>
          <w:t>xv</w:t>
        </w:r>
        <w:r>
          <w:rPr>
            <w:noProof/>
            <w:webHidden/>
          </w:rPr>
          <w:fldChar w:fldCharType="end"/>
        </w:r>
      </w:hyperlink>
    </w:p>
    <w:p w:rsidR="004D1D76" w:rsidRDefault="004D1D76">
      <w:pPr>
        <w:pStyle w:val="Sumrio1"/>
        <w:rPr>
          <w:rFonts w:asciiTheme="minorHAnsi" w:eastAsiaTheme="minorEastAsia" w:hAnsiTheme="minorHAnsi" w:cstheme="minorBidi"/>
          <w:b w:val="0"/>
          <w:noProof/>
          <w:sz w:val="22"/>
          <w:szCs w:val="22"/>
        </w:rPr>
      </w:pPr>
      <w:hyperlink w:anchor="_Toc497468981" w:history="1">
        <w:r w:rsidRPr="0010505A">
          <w:rPr>
            <w:rStyle w:val="Hyperlink"/>
            <w:bCs/>
            <w:noProof/>
          </w:rPr>
          <w:t>Glossário</w:t>
        </w:r>
        <w:r>
          <w:rPr>
            <w:noProof/>
            <w:webHidden/>
          </w:rPr>
          <w:tab/>
        </w:r>
        <w:r>
          <w:rPr>
            <w:noProof/>
            <w:webHidden/>
          </w:rPr>
          <w:fldChar w:fldCharType="begin"/>
        </w:r>
        <w:r>
          <w:rPr>
            <w:noProof/>
            <w:webHidden/>
          </w:rPr>
          <w:instrText xml:space="preserve"> PAGEREF _Toc497468981 \h </w:instrText>
        </w:r>
        <w:r>
          <w:rPr>
            <w:noProof/>
            <w:webHidden/>
          </w:rPr>
        </w:r>
        <w:r>
          <w:rPr>
            <w:noProof/>
            <w:webHidden/>
          </w:rPr>
          <w:fldChar w:fldCharType="separate"/>
        </w:r>
        <w:r>
          <w:rPr>
            <w:noProof/>
            <w:webHidden/>
          </w:rPr>
          <w:t>xvi</w:t>
        </w:r>
        <w:r>
          <w:rPr>
            <w:noProof/>
            <w:webHidden/>
          </w:rPr>
          <w:fldChar w:fldCharType="end"/>
        </w:r>
      </w:hyperlink>
    </w:p>
    <w:p w:rsidR="004D1D76" w:rsidRDefault="004D1D76">
      <w:pPr>
        <w:pStyle w:val="Sumrio1"/>
        <w:rPr>
          <w:rFonts w:asciiTheme="minorHAnsi" w:eastAsiaTheme="minorEastAsia" w:hAnsiTheme="minorHAnsi" w:cstheme="minorBidi"/>
          <w:b w:val="0"/>
          <w:noProof/>
          <w:sz w:val="22"/>
          <w:szCs w:val="22"/>
        </w:rPr>
      </w:pPr>
      <w:hyperlink w:anchor="_Toc497468982" w:history="1">
        <w:r w:rsidRPr="0010505A">
          <w:rPr>
            <w:rStyle w:val="Hyperlink"/>
            <w:bCs/>
            <w:noProof/>
            <w:lang w:eastAsia="x-none"/>
          </w:rPr>
          <w:t>Apresentação</w:t>
        </w:r>
        <w:r>
          <w:rPr>
            <w:noProof/>
            <w:webHidden/>
          </w:rPr>
          <w:tab/>
        </w:r>
        <w:r>
          <w:rPr>
            <w:noProof/>
            <w:webHidden/>
          </w:rPr>
          <w:fldChar w:fldCharType="begin"/>
        </w:r>
        <w:r>
          <w:rPr>
            <w:noProof/>
            <w:webHidden/>
          </w:rPr>
          <w:instrText xml:space="preserve"> PAGEREF _Toc497468982 \h </w:instrText>
        </w:r>
        <w:r>
          <w:rPr>
            <w:noProof/>
            <w:webHidden/>
          </w:rPr>
        </w:r>
        <w:r>
          <w:rPr>
            <w:noProof/>
            <w:webHidden/>
          </w:rPr>
          <w:fldChar w:fldCharType="separate"/>
        </w:r>
        <w:r>
          <w:rPr>
            <w:noProof/>
            <w:webHidden/>
          </w:rPr>
          <w:t>xix</w:t>
        </w:r>
        <w:r>
          <w:rPr>
            <w:noProof/>
            <w:webHidden/>
          </w:rPr>
          <w:fldChar w:fldCharType="end"/>
        </w:r>
      </w:hyperlink>
    </w:p>
    <w:p w:rsidR="004D1D76" w:rsidRDefault="004D1D76">
      <w:pPr>
        <w:pStyle w:val="Sumrio1"/>
        <w:rPr>
          <w:rFonts w:asciiTheme="minorHAnsi" w:eastAsiaTheme="minorEastAsia" w:hAnsiTheme="minorHAnsi" w:cstheme="minorBidi"/>
          <w:b w:val="0"/>
          <w:noProof/>
          <w:sz w:val="22"/>
          <w:szCs w:val="22"/>
        </w:rPr>
      </w:pPr>
      <w:hyperlink w:anchor="_Toc497468983" w:history="1">
        <w:r w:rsidRPr="0010505A">
          <w:rPr>
            <w:rStyle w:val="Hyperlink"/>
            <w:bCs/>
            <w:noProof/>
            <w:lang w:eastAsia="x-none"/>
          </w:rPr>
          <w:t>Equipe Técnica</w:t>
        </w:r>
        <w:r>
          <w:rPr>
            <w:noProof/>
            <w:webHidden/>
          </w:rPr>
          <w:tab/>
        </w:r>
        <w:r>
          <w:rPr>
            <w:noProof/>
            <w:webHidden/>
          </w:rPr>
          <w:fldChar w:fldCharType="begin"/>
        </w:r>
        <w:r>
          <w:rPr>
            <w:noProof/>
            <w:webHidden/>
          </w:rPr>
          <w:instrText xml:space="preserve"> PAGEREF _Toc497468983 \h </w:instrText>
        </w:r>
        <w:r>
          <w:rPr>
            <w:noProof/>
            <w:webHidden/>
          </w:rPr>
        </w:r>
        <w:r>
          <w:rPr>
            <w:noProof/>
            <w:webHidden/>
          </w:rPr>
          <w:fldChar w:fldCharType="separate"/>
        </w:r>
        <w:r>
          <w:rPr>
            <w:noProof/>
            <w:webHidden/>
          </w:rPr>
          <w:t>xx</w:t>
        </w:r>
        <w:r>
          <w:rPr>
            <w:noProof/>
            <w:webHidden/>
          </w:rPr>
          <w:fldChar w:fldCharType="end"/>
        </w:r>
      </w:hyperlink>
    </w:p>
    <w:p w:rsidR="004D1D76" w:rsidRDefault="004D1D76">
      <w:pPr>
        <w:pStyle w:val="Sumrio1"/>
        <w:tabs>
          <w:tab w:val="left" w:pos="567"/>
        </w:tabs>
        <w:rPr>
          <w:rFonts w:asciiTheme="minorHAnsi" w:eastAsiaTheme="minorEastAsia" w:hAnsiTheme="minorHAnsi" w:cstheme="minorBidi"/>
          <w:b w:val="0"/>
          <w:noProof/>
          <w:sz w:val="22"/>
          <w:szCs w:val="22"/>
        </w:rPr>
      </w:pPr>
      <w:hyperlink w:anchor="_Toc497468984" w:history="1">
        <w:r w:rsidRPr="0010505A">
          <w:rPr>
            <w:rStyle w:val="Hyperlink"/>
            <w:noProof/>
          </w:rPr>
          <w:t>1.</w:t>
        </w:r>
        <w:r>
          <w:rPr>
            <w:rFonts w:asciiTheme="minorHAnsi" w:eastAsiaTheme="minorEastAsia" w:hAnsiTheme="minorHAnsi" w:cstheme="minorBidi"/>
            <w:b w:val="0"/>
            <w:noProof/>
            <w:sz w:val="22"/>
            <w:szCs w:val="22"/>
          </w:rPr>
          <w:tab/>
        </w:r>
        <w:r w:rsidRPr="0010505A">
          <w:rPr>
            <w:rStyle w:val="Hyperlink"/>
            <w:noProof/>
          </w:rPr>
          <w:t>CONSIDERAÇÕES PRELIMINARES</w:t>
        </w:r>
        <w:r>
          <w:rPr>
            <w:noProof/>
            <w:webHidden/>
          </w:rPr>
          <w:tab/>
        </w:r>
        <w:r>
          <w:rPr>
            <w:noProof/>
            <w:webHidden/>
          </w:rPr>
          <w:fldChar w:fldCharType="begin"/>
        </w:r>
        <w:r>
          <w:rPr>
            <w:noProof/>
            <w:webHidden/>
          </w:rPr>
          <w:instrText xml:space="preserve"> PAGEREF _Toc497468984 \h </w:instrText>
        </w:r>
        <w:r>
          <w:rPr>
            <w:noProof/>
            <w:webHidden/>
          </w:rPr>
        </w:r>
        <w:r>
          <w:rPr>
            <w:noProof/>
            <w:webHidden/>
          </w:rPr>
          <w:fldChar w:fldCharType="separate"/>
        </w:r>
        <w:r>
          <w:rPr>
            <w:noProof/>
            <w:webHidden/>
          </w:rPr>
          <w:t>22</w:t>
        </w:r>
        <w:r>
          <w:rPr>
            <w:noProof/>
            <w:webHidden/>
          </w:rPr>
          <w:fldChar w:fldCharType="end"/>
        </w:r>
      </w:hyperlink>
    </w:p>
    <w:p w:rsidR="004D1D76" w:rsidRDefault="004D1D76">
      <w:pPr>
        <w:pStyle w:val="Sumrio1"/>
        <w:tabs>
          <w:tab w:val="left" w:pos="567"/>
        </w:tabs>
        <w:rPr>
          <w:rFonts w:asciiTheme="minorHAnsi" w:eastAsiaTheme="minorEastAsia" w:hAnsiTheme="minorHAnsi" w:cstheme="minorBidi"/>
          <w:b w:val="0"/>
          <w:noProof/>
          <w:sz w:val="22"/>
          <w:szCs w:val="22"/>
        </w:rPr>
      </w:pPr>
      <w:hyperlink w:anchor="_Toc497468985" w:history="1">
        <w:r w:rsidRPr="0010505A">
          <w:rPr>
            <w:rStyle w:val="Hyperlink"/>
            <w:noProof/>
          </w:rPr>
          <w:t>2.</w:t>
        </w:r>
        <w:r>
          <w:rPr>
            <w:rFonts w:asciiTheme="minorHAnsi" w:eastAsiaTheme="minorEastAsia" w:hAnsiTheme="minorHAnsi" w:cstheme="minorBidi"/>
            <w:b w:val="0"/>
            <w:noProof/>
            <w:sz w:val="22"/>
            <w:szCs w:val="22"/>
          </w:rPr>
          <w:tab/>
        </w:r>
        <w:r w:rsidRPr="0010505A">
          <w:rPr>
            <w:rStyle w:val="Hyperlink"/>
            <w:noProof/>
          </w:rPr>
          <w:t>PROJEÇÕES E ESTIMATIVAS DE DEMANDA DOS SERVIÇOS PÚBLICOS DE SANEAMENTO BÁSICO</w:t>
        </w:r>
        <w:r>
          <w:rPr>
            <w:noProof/>
            <w:webHidden/>
          </w:rPr>
          <w:tab/>
        </w:r>
        <w:r>
          <w:rPr>
            <w:noProof/>
            <w:webHidden/>
          </w:rPr>
          <w:fldChar w:fldCharType="begin"/>
        </w:r>
        <w:r>
          <w:rPr>
            <w:noProof/>
            <w:webHidden/>
          </w:rPr>
          <w:instrText xml:space="preserve"> PAGEREF _Toc497468985 \h </w:instrText>
        </w:r>
        <w:r>
          <w:rPr>
            <w:noProof/>
            <w:webHidden/>
          </w:rPr>
        </w:r>
        <w:r>
          <w:rPr>
            <w:noProof/>
            <w:webHidden/>
          </w:rPr>
          <w:fldChar w:fldCharType="separate"/>
        </w:r>
        <w:r>
          <w:rPr>
            <w:noProof/>
            <w:webHidden/>
          </w:rPr>
          <w:t>24</w:t>
        </w:r>
        <w:r>
          <w:rPr>
            <w:noProof/>
            <w:webHidden/>
          </w:rPr>
          <w:fldChar w:fldCharType="end"/>
        </w:r>
      </w:hyperlink>
    </w:p>
    <w:p w:rsidR="004D1D76" w:rsidRDefault="004D1D76">
      <w:pPr>
        <w:pStyle w:val="Sumrio2"/>
        <w:tabs>
          <w:tab w:val="left" w:pos="1134"/>
        </w:tabs>
        <w:rPr>
          <w:rFonts w:asciiTheme="minorHAnsi" w:eastAsiaTheme="minorEastAsia" w:hAnsiTheme="minorHAnsi" w:cstheme="minorBidi"/>
          <w:noProof/>
          <w:sz w:val="22"/>
          <w:lang w:eastAsia="pt-BR"/>
        </w:rPr>
      </w:pPr>
      <w:hyperlink w:anchor="_Toc497468986" w:history="1">
        <w:r w:rsidRPr="0010505A">
          <w:rPr>
            <w:rStyle w:val="Hyperlink"/>
            <w:noProof/>
          </w:rPr>
          <w:t>2.1.</w:t>
        </w:r>
        <w:r>
          <w:rPr>
            <w:rFonts w:asciiTheme="minorHAnsi" w:eastAsiaTheme="minorEastAsia" w:hAnsiTheme="minorHAnsi" w:cstheme="minorBidi"/>
            <w:noProof/>
            <w:sz w:val="22"/>
            <w:lang w:eastAsia="pt-BR"/>
          </w:rPr>
          <w:tab/>
        </w:r>
        <w:r w:rsidRPr="0010505A">
          <w:rPr>
            <w:rStyle w:val="Hyperlink"/>
            <w:noProof/>
          </w:rPr>
          <w:t>Sistema de Abastecimento de Água</w:t>
        </w:r>
        <w:r>
          <w:rPr>
            <w:noProof/>
            <w:webHidden/>
          </w:rPr>
          <w:tab/>
        </w:r>
        <w:r>
          <w:rPr>
            <w:noProof/>
            <w:webHidden/>
          </w:rPr>
          <w:fldChar w:fldCharType="begin"/>
        </w:r>
        <w:r>
          <w:rPr>
            <w:noProof/>
            <w:webHidden/>
          </w:rPr>
          <w:instrText xml:space="preserve"> PAGEREF _Toc497468986 \h </w:instrText>
        </w:r>
        <w:r>
          <w:rPr>
            <w:noProof/>
            <w:webHidden/>
          </w:rPr>
        </w:r>
        <w:r>
          <w:rPr>
            <w:noProof/>
            <w:webHidden/>
          </w:rPr>
          <w:fldChar w:fldCharType="separate"/>
        </w:r>
        <w:r>
          <w:rPr>
            <w:noProof/>
            <w:webHidden/>
          </w:rPr>
          <w:t>24</w:t>
        </w:r>
        <w:r>
          <w:rPr>
            <w:noProof/>
            <w:webHidden/>
          </w:rPr>
          <w:fldChar w:fldCharType="end"/>
        </w:r>
      </w:hyperlink>
    </w:p>
    <w:p w:rsidR="004D1D76" w:rsidRDefault="004D1D76">
      <w:pPr>
        <w:pStyle w:val="Sumrio3"/>
        <w:tabs>
          <w:tab w:val="left" w:pos="1418"/>
        </w:tabs>
        <w:rPr>
          <w:rFonts w:asciiTheme="minorHAnsi" w:eastAsiaTheme="minorEastAsia" w:hAnsiTheme="minorHAnsi" w:cstheme="minorBidi"/>
          <w:i w:val="0"/>
          <w:noProof/>
          <w:sz w:val="22"/>
          <w:lang w:eastAsia="pt-BR"/>
        </w:rPr>
      </w:pPr>
      <w:hyperlink w:anchor="_Toc497468987" w:history="1">
        <w:r w:rsidRPr="0010505A">
          <w:rPr>
            <w:rStyle w:val="Hyperlink"/>
            <w:noProof/>
          </w:rPr>
          <w:t>2.1.1.</w:t>
        </w:r>
        <w:r>
          <w:rPr>
            <w:rFonts w:asciiTheme="minorHAnsi" w:eastAsiaTheme="minorEastAsia" w:hAnsiTheme="minorHAnsi" w:cstheme="minorBidi"/>
            <w:i w:val="0"/>
            <w:noProof/>
            <w:sz w:val="22"/>
            <w:lang w:eastAsia="pt-BR"/>
          </w:rPr>
          <w:tab/>
        </w:r>
        <w:r w:rsidRPr="0010505A">
          <w:rPr>
            <w:rStyle w:val="Hyperlink"/>
            <w:noProof/>
          </w:rPr>
          <w:t>Projeção das demandas do Sistema de Abastecimento de Água</w:t>
        </w:r>
        <w:r>
          <w:rPr>
            <w:noProof/>
            <w:webHidden/>
          </w:rPr>
          <w:tab/>
        </w:r>
        <w:r>
          <w:rPr>
            <w:noProof/>
            <w:webHidden/>
          </w:rPr>
          <w:fldChar w:fldCharType="begin"/>
        </w:r>
        <w:r>
          <w:rPr>
            <w:noProof/>
            <w:webHidden/>
          </w:rPr>
          <w:instrText xml:space="preserve"> PAGEREF _Toc497468987 \h </w:instrText>
        </w:r>
        <w:r>
          <w:rPr>
            <w:noProof/>
            <w:webHidden/>
          </w:rPr>
        </w:r>
        <w:r>
          <w:rPr>
            <w:noProof/>
            <w:webHidden/>
          </w:rPr>
          <w:fldChar w:fldCharType="separate"/>
        </w:r>
        <w:r>
          <w:rPr>
            <w:noProof/>
            <w:webHidden/>
          </w:rPr>
          <w:t>24</w:t>
        </w:r>
        <w:r>
          <w:rPr>
            <w:noProof/>
            <w:webHidden/>
          </w:rPr>
          <w:fldChar w:fldCharType="end"/>
        </w:r>
      </w:hyperlink>
    </w:p>
    <w:p w:rsidR="004D1D76" w:rsidRDefault="004D1D76">
      <w:pPr>
        <w:pStyle w:val="Sumrio3"/>
        <w:tabs>
          <w:tab w:val="left" w:pos="1418"/>
        </w:tabs>
        <w:rPr>
          <w:rFonts w:asciiTheme="minorHAnsi" w:eastAsiaTheme="minorEastAsia" w:hAnsiTheme="minorHAnsi" w:cstheme="minorBidi"/>
          <w:i w:val="0"/>
          <w:noProof/>
          <w:sz w:val="22"/>
          <w:lang w:eastAsia="pt-BR"/>
        </w:rPr>
      </w:pPr>
      <w:hyperlink w:anchor="_Toc497468988" w:history="1">
        <w:r w:rsidRPr="0010505A">
          <w:rPr>
            <w:rStyle w:val="Hyperlink"/>
            <w:noProof/>
          </w:rPr>
          <w:t>2.1.2.</w:t>
        </w:r>
        <w:r>
          <w:rPr>
            <w:rFonts w:asciiTheme="minorHAnsi" w:eastAsiaTheme="minorEastAsia" w:hAnsiTheme="minorHAnsi" w:cstheme="minorBidi"/>
            <w:i w:val="0"/>
            <w:noProof/>
            <w:sz w:val="22"/>
            <w:lang w:eastAsia="pt-BR"/>
          </w:rPr>
          <w:tab/>
        </w:r>
        <w:r w:rsidRPr="0010505A">
          <w:rPr>
            <w:rStyle w:val="Hyperlink"/>
            <w:noProof/>
          </w:rPr>
          <w:t>Descrição dos principais mananciais e definição de alternativas técnicas de engenharia para atendimento da demanda</w:t>
        </w:r>
        <w:r>
          <w:rPr>
            <w:noProof/>
            <w:webHidden/>
          </w:rPr>
          <w:tab/>
        </w:r>
        <w:r>
          <w:rPr>
            <w:noProof/>
            <w:webHidden/>
          </w:rPr>
          <w:fldChar w:fldCharType="begin"/>
        </w:r>
        <w:r>
          <w:rPr>
            <w:noProof/>
            <w:webHidden/>
          </w:rPr>
          <w:instrText xml:space="preserve"> PAGEREF _Toc497468988 \h </w:instrText>
        </w:r>
        <w:r>
          <w:rPr>
            <w:noProof/>
            <w:webHidden/>
          </w:rPr>
        </w:r>
        <w:r>
          <w:rPr>
            <w:noProof/>
            <w:webHidden/>
          </w:rPr>
          <w:fldChar w:fldCharType="separate"/>
        </w:r>
        <w:r>
          <w:rPr>
            <w:noProof/>
            <w:webHidden/>
          </w:rPr>
          <w:t>31</w:t>
        </w:r>
        <w:r>
          <w:rPr>
            <w:noProof/>
            <w:webHidden/>
          </w:rPr>
          <w:fldChar w:fldCharType="end"/>
        </w:r>
      </w:hyperlink>
    </w:p>
    <w:p w:rsidR="004D1D76" w:rsidRDefault="004D1D76">
      <w:pPr>
        <w:pStyle w:val="Sumrio4"/>
        <w:tabs>
          <w:tab w:val="left" w:pos="1805"/>
        </w:tabs>
        <w:rPr>
          <w:rFonts w:asciiTheme="minorHAnsi" w:eastAsiaTheme="minorEastAsia" w:hAnsiTheme="minorHAnsi" w:cstheme="minorBidi"/>
          <w:noProof/>
        </w:rPr>
      </w:pPr>
      <w:hyperlink w:anchor="_Toc497468989" w:history="1">
        <w:r w:rsidRPr="0010505A">
          <w:rPr>
            <w:rStyle w:val="Hyperlink"/>
            <w:noProof/>
          </w:rPr>
          <w:t>2.1.2.1.</w:t>
        </w:r>
        <w:r>
          <w:rPr>
            <w:rFonts w:asciiTheme="minorHAnsi" w:eastAsiaTheme="minorEastAsia" w:hAnsiTheme="minorHAnsi" w:cstheme="minorBidi"/>
            <w:noProof/>
          </w:rPr>
          <w:tab/>
        </w:r>
        <w:r w:rsidRPr="0010505A">
          <w:rPr>
            <w:rStyle w:val="Hyperlink"/>
            <w:noProof/>
          </w:rPr>
          <w:t>Sede</w:t>
        </w:r>
        <w:r>
          <w:rPr>
            <w:noProof/>
            <w:webHidden/>
          </w:rPr>
          <w:tab/>
        </w:r>
        <w:r>
          <w:rPr>
            <w:noProof/>
            <w:webHidden/>
          </w:rPr>
          <w:fldChar w:fldCharType="begin"/>
        </w:r>
        <w:r>
          <w:rPr>
            <w:noProof/>
            <w:webHidden/>
          </w:rPr>
          <w:instrText xml:space="preserve"> PAGEREF _Toc497468989 \h </w:instrText>
        </w:r>
        <w:r>
          <w:rPr>
            <w:noProof/>
            <w:webHidden/>
          </w:rPr>
        </w:r>
        <w:r>
          <w:rPr>
            <w:noProof/>
            <w:webHidden/>
          </w:rPr>
          <w:fldChar w:fldCharType="separate"/>
        </w:r>
        <w:r>
          <w:rPr>
            <w:noProof/>
            <w:webHidden/>
          </w:rPr>
          <w:t>31</w:t>
        </w:r>
        <w:r>
          <w:rPr>
            <w:noProof/>
            <w:webHidden/>
          </w:rPr>
          <w:fldChar w:fldCharType="end"/>
        </w:r>
      </w:hyperlink>
    </w:p>
    <w:p w:rsidR="004D1D76" w:rsidRDefault="004D1D76">
      <w:pPr>
        <w:pStyle w:val="Sumrio4"/>
        <w:tabs>
          <w:tab w:val="left" w:pos="1805"/>
        </w:tabs>
        <w:rPr>
          <w:rFonts w:asciiTheme="minorHAnsi" w:eastAsiaTheme="minorEastAsia" w:hAnsiTheme="minorHAnsi" w:cstheme="minorBidi"/>
          <w:noProof/>
        </w:rPr>
      </w:pPr>
      <w:hyperlink w:anchor="_Toc497468990" w:history="1">
        <w:r w:rsidRPr="0010505A">
          <w:rPr>
            <w:rStyle w:val="Hyperlink"/>
            <w:noProof/>
          </w:rPr>
          <w:t>2.1.2.2.</w:t>
        </w:r>
        <w:r>
          <w:rPr>
            <w:rFonts w:asciiTheme="minorHAnsi" w:eastAsiaTheme="minorEastAsia" w:hAnsiTheme="minorHAnsi" w:cstheme="minorBidi"/>
            <w:noProof/>
          </w:rPr>
          <w:tab/>
        </w:r>
        <w:r w:rsidRPr="0010505A">
          <w:rPr>
            <w:rStyle w:val="Hyperlink"/>
            <w:noProof/>
          </w:rPr>
          <w:t>Áreas rurais</w:t>
        </w:r>
        <w:r>
          <w:rPr>
            <w:noProof/>
            <w:webHidden/>
          </w:rPr>
          <w:tab/>
        </w:r>
        <w:r>
          <w:rPr>
            <w:noProof/>
            <w:webHidden/>
          </w:rPr>
          <w:fldChar w:fldCharType="begin"/>
        </w:r>
        <w:r>
          <w:rPr>
            <w:noProof/>
            <w:webHidden/>
          </w:rPr>
          <w:instrText xml:space="preserve"> PAGEREF _Toc497468990 \h </w:instrText>
        </w:r>
        <w:r>
          <w:rPr>
            <w:noProof/>
            <w:webHidden/>
          </w:rPr>
        </w:r>
        <w:r>
          <w:rPr>
            <w:noProof/>
            <w:webHidden/>
          </w:rPr>
          <w:fldChar w:fldCharType="separate"/>
        </w:r>
        <w:r>
          <w:rPr>
            <w:noProof/>
            <w:webHidden/>
          </w:rPr>
          <w:t>34</w:t>
        </w:r>
        <w:r>
          <w:rPr>
            <w:noProof/>
            <w:webHidden/>
          </w:rPr>
          <w:fldChar w:fldCharType="end"/>
        </w:r>
      </w:hyperlink>
    </w:p>
    <w:p w:rsidR="004D1D76" w:rsidRDefault="004D1D76">
      <w:pPr>
        <w:pStyle w:val="Sumrio3"/>
        <w:tabs>
          <w:tab w:val="left" w:pos="1418"/>
        </w:tabs>
        <w:rPr>
          <w:rFonts w:asciiTheme="minorHAnsi" w:eastAsiaTheme="minorEastAsia" w:hAnsiTheme="minorHAnsi" w:cstheme="minorBidi"/>
          <w:i w:val="0"/>
          <w:noProof/>
          <w:sz w:val="22"/>
          <w:lang w:eastAsia="pt-BR"/>
        </w:rPr>
      </w:pPr>
      <w:hyperlink w:anchor="_Toc497468991" w:history="1">
        <w:r w:rsidRPr="0010505A">
          <w:rPr>
            <w:rStyle w:val="Hyperlink"/>
            <w:noProof/>
          </w:rPr>
          <w:t>2.1.3.</w:t>
        </w:r>
        <w:r>
          <w:rPr>
            <w:rFonts w:asciiTheme="minorHAnsi" w:eastAsiaTheme="minorEastAsia" w:hAnsiTheme="minorHAnsi" w:cstheme="minorBidi"/>
            <w:i w:val="0"/>
            <w:noProof/>
            <w:sz w:val="22"/>
            <w:lang w:eastAsia="pt-BR"/>
          </w:rPr>
          <w:tab/>
        </w:r>
        <w:r w:rsidRPr="0010505A">
          <w:rPr>
            <w:rStyle w:val="Hyperlink"/>
            <w:noProof/>
          </w:rPr>
          <w:t>Eventos de emergência e contingência</w:t>
        </w:r>
        <w:r>
          <w:rPr>
            <w:noProof/>
            <w:webHidden/>
          </w:rPr>
          <w:tab/>
        </w:r>
        <w:r>
          <w:rPr>
            <w:noProof/>
            <w:webHidden/>
          </w:rPr>
          <w:fldChar w:fldCharType="begin"/>
        </w:r>
        <w:r>
          <w:rPr>
            <w:noProof/>
            <w:webHidden/>
          </w:rPr>
          <w:instrText xml:space="preserve"> PAGEREF _Toc497468991 \h </w:instrText>
        </w:r>
        <w:r>
          <w:rPr>
            <w:noProof/>
            <w:webHidden/>
          </w:rPr>
        </w:r>
        <w:r>
          <w:rPr>
            <w:noProof/>
            <w:webHidden/>
          </w:rPr>
          <w:fldChar w:fldCharType="separate"/>
        </w:r>
        <w:r>
          <w:rPr>
            <w:noProof/>
            <w:webHidden/>
          </w:rPr>
          <w:t>37</w:t>
        </w:r>
        <w:r>
          <w:rPr>
            <w:noProof/>
            <w:webHidden/>
          </w:rPr>
          <w:fldChar w:fldCharType="end"/>
        </w:r>
      </w:hyperlink>
    </w:p>
    <w:p w:rsidR="004D1D76" w:rsidRDefault="004D1D76">
      <w:pPr>
        <w:pStyle w:val="Sumrio4"/>
        <w:tabs>
          <w:tab w:val="left" w:pos="1805"/>
        </w:tabs>
        <w:rPr>
          <w:rFonts w:asciiTheme="minorHAnsi" w:eastAsiaTheme="minorEastAsia" w:hAnsiTheme="minorHAnsi" w:cstheme="minorBidi"/>
          <w:noProof/>
        </w:rPr>
      </w:pPr>
      <w:hyperlink w:anchor="_Toc497468992" w:history="1">
        <w:r w:rsidRPr="0010505A">
          <w:rPr>
            <w:rStyle w:val="Hyperlink"/>
            <w:noProof/>
          </w:rPr>
          <w:t>2.1.3.1.</w:t>
        </w:r>
        <w:r>
          <w:rPr>
            <w:rFonts w:asciiTheme="minorHAnsi" w:eastAsiaTheme="minorEastAsia" w:hAnsiTheme="minorHAnsi" w:cstheme="minorBidi"/>
            <w:noProof/>
          </w:rPr>
          <w:tab/>
        </w:r>
        <w:r w:rsidRPr="0010505A">
          <w:rPr>
            <w:rStyle w:val="Hyperlink"/>
            <w:noProof/>
          </w:rPr>
          <w:t>Eventos operacionais</w:t>
        </w:r>
        <w:r>
          <w:rPr>
            <w:noProof/>
            <w:webHidden/>
          </w:rPr>
          <w:tab/>
        </w:r>
        <w:r>
          <w:rPr>
            <w:noProof/>
            <w:webHidden/>
          </w:rPr>
          <w:fldChar w:fldCharType="begin"/>
        </w:r>
        <w:r>
          <w:rPr>
            <w:noProof/>
            <w:webHidden/>
          </w:rPr>
          <w:instrText xml:space="preserve"> PAGEREF _Toc497468992 \h </w:instrText>
        </w:r>
        <w:r>
          <w:rPr>
            <w:noProof/>
            <w:webHidden/>
          </w:rPr>
        </w:r>
        <w:r>
          <w:rPr>
            <w:noProof/>
            <w:webHidden/>
          </w:rPr>
          <w:fldChar w:fldCharType="separate"/>
        </w:r>
        <w:r>
          <w:rPr>
            <w:noProof/>
            <w:webHidden/>
          </w:rPr>
          <w:t>37</w:t>
        </w:r>
        <w:r>
          <w:rPr>
            <w:noProof/>
            <w:webHidden/>
          </w:rPr>
          <w:fldChar w:fldCharType="end"/>
        </w:r>
      </w:hyperlink>
    </w:p>
    <w:p w:rsidR="004D1D76" w:rsidRDefault="004D1D76">
      <w:pPr>
        <w:pStyle w:val="Sumrio4"/>
        <w:tabs>
          <w:tab w:val="left" w:pos="1805"/>
        </w:tabs>
        <w:rPr>
          <w:rFonts w:asciiTheme="minorHAnsi" w:eastAsiaTheme="minorEastAsia" w:hAnsiTheme="minorHAnsi" w:cstheme="minorBidi"/>
          <w:noProof/>
        </w:rPr>
      </w:pPr>
      <w:hyperlink w:anchor="_Toc497468993" w:history="1">
        <w:r w:rsidRPr="0010505A">
          <w:rPr>
            <w:rStyle w:val="Hyperlink"/>
            <w:noProof/>
          </w:rPr>
          <w:t>2.1.3.2.</w:t>
        </w:r>
        <w:r>
          <w:rPr>
            <w:rFonts w:asciiTheme="minorHAnsi" w:eastAsiaTheme="minorEastAsia" w:hAnsiTheme="minorHAnsi" w:cstheme="minorBidi"/>
            <w:noProof/>
          </w:rPr>
          <w:tab/>
        </w:r>
        <w:r w:rsidRPr="0010505A">
          <w:rPr>
            <w:rStyle w:val="Hyperlink"/>
            <w:noProof/>
          </w:rPr>
          <w:t>Eventos relacionados à gestão e ao gerenciamento</w:t>
        </w:r>
        <w:r>
          <w:rPr>
            <w:noProof/>
            <w:webHidden/>
          </w:rPr>
          <w:tab/>
        </w:r>
        <w:r>
          <w:rPr>
            <w:noProof/>
            <w:webHidden/>
          </w:rPr>
          <w:fldChar w:fldCharType="begin"/>
        </w:r>
        <w:r>
          <w:rPr>
            <w:noProof/>
            <w:webHidden/>
          </w:rPr>
          <w:instrText xml:space="preserve"> PAGEREF _Toc497468993 \h </w:instrText>
        </w:r>
        <w:r>
          <w:rPr>
            <w:noProof/>
            <w:webHidden/>
          </w:rPr>
        </w:r>
        <w:r>
          <w:rPr>
            <w:noProof/>
            <w:webHidden/>
          </w:rPr>
          <w:fldChar w:fldCharType="separate"/>
        </w:r>
        <w:r>
          <w:rPr>
            <w:noProof/>
            <w:webHidden/>
          </w:rPr>
          <w:t>38</w:t>
        </w:r>
        <w:r>
          <w:rPr>
            <w:noProof/>
            <w:webHidden/>
          </w:rPr>
          <w:fldChar w:fldCharType="end"/>
        </w:r>
      </w:hyperlink>
    </w:p>
    <w:p w:rsidR="004D1D76" w:rsidRDefault="004D1D76">
      <w:pPr>
        <w:pStyle w:val="Sumrio4"/>
        <w:tabs>
          <w:tab w:val="left" w:pos="1805"/>
        </w:tabs>
        <w:rPr>
          <w:rFonts w:asciiTheme="minorHAnsi" w:eastAsiaTheme="minorEastAsia" w:hAnsiTheme="minorHAnsi" w:cstheme="minorBidi"/>
          <w:noProof/>
        </w:rPr>
      </w:pPr>
      <w:hyperlink w:anchor="_Toc497468994" w:history="1">
        <w:r w:rsidRPr="0010505A">
          <w:rPr>
            <w:rStyle w:val="Hyperlink"/>
            <w:noProof/>
          </w:rPr>
          <w:t>2.1.3.3.</w:t>
        </w:r>
        <w:r>
          <w:rPr>
            <w:rFonts w:asciiTheme="minorHAnsi" w:eastAsiaTheme="minorEastAsia" w:hAnsiTheme="minorHAnsi" w:cstheme="minorBidi"/>
            <w:noProof/>
          </w:rPr>
          <w:tab/>
        </w:r>
        <w:r w:rsidRPr="0010505A">
          <w:rPr>
            <w:rStyle w:val="Hyperlink"/>
            <w:noProof/>
          </w:rPr>
          <w:t>Eventos imprevisíveis</w:t>
        </w:r>
        <w:r>
          <w:rPr>
            <w:noProof/>
            <w:webHidden/>
          </w:rPr>
          <w:tab/>
        </w:r>
        <w:r>
          <w:rPr>
            <w:noProof/>
            <w:webHidden/>
          </w:rPr>
          <w:fldChar w:fldCharType="begin"/>
        </w:r>
        <w:r>
          <w:rPr>
            <w:noProof/>
            <w:webHidden/>
          </w:rPr>
          <w:instrText xml:space="preserve"> PAGEREF _Toc497468994 \h </w:instrText>
        </w:r>
        <w:r>
          <w:rPr>
            <w:noProof/>
            <w:webHidden/>
          </w:rPr>
        </w:r>
        <w:r>
          <w:rPr>
            <w:noProof/>
            <w:webHidden/>
          </w:rPr>
          <w:fldChar w:fldCharType="separate"/>
        </w:r>
        <w:r>
          <w:rPr>
            <w:noProof/>
            <w:webHidden/>
          </w:rPr>
          <w:t>38</w:t>
        </w:r>
        <w:r>
          <w:rPr>
            <w:noProof/>
            <w:webHidden/>
          </w:rPr>
          <w:fldChar w:fldCharType="end"/>
        </w:r>
      </w:hyperlink>
    </w:p>
    <w:p w:rsidR="004D1D76" w:rsidRDefault="004D1D76">
      <w:pPr>
        <w:pStyle w:val="Sumrio2"/>
        <w:tabs>
          <w:tab w:val="left" w:pos="1134"/>
        </w:tabs>
        <w:rPr>
          <w:rFonts w:asciiTheme="minorHAnsi" w:eastAsiaTheme="minorEastAsia" w:hAnsiTheme="minorHAnsi" w:cstheme="minorBidi"/>
          <w:noProof/>
          <w:sz w:val="22"/>
          <w:lang w:eastAsia="pt-BR"/>
        </w:rPr>
      </w:pPr>
      <w:hyperlink w:anchor="_Toc497468995" w:history="1">
        <w:r w:rsidRPr="0010505A">
          <w:rPr>
            <w:rStyle w:val="Hyperlink"/>
            <w:noProof/>
          </w:rPr>
          <w:t>2.2.</w:t>
        </w:r>
        <w:r>
          <w:rPr>
            <w:rFonts w:asciiTheme="minorHAnsi" w:eastAsiaTheme="minorEastAsia" w:hAnsiTheme="minorHAnsi" w:cstheme="minorBidi"/>
            <w:noProof/>
            <w:sz w:val="22"/>
            <w:lang w:eastAsia="pt-BR"/>
          </w:rPr>
          <w:tab/>
        </w:r>
        <w:r w:rsidRPr="0010505A">
          <w:rPr>
            <w:rStyle w:val="Hyperlink"/>
            <w:noProof/>
          </w:rPr>
          <w:t>Sistema de Esgotamento Sanitário</w:t>
        </w:r>
        <w:r>
          <w:rPr>
            <w:noProof/>
            <w:webHidden/>
          </w:rPr>
          <w:tab/>
        </w:r>
        <w:r>
          <w:rPr>
            <w:noProof/>
            <w:webHidden/>
          </w:rPr>
          <w:fldChar w:fldCharType="begin"/>
        </w:r>
        <w:r>
          <w:rPr>
            <w:noProof/>
            <w:webHidden/>
          </w:rPr>
          <w:instrText xml:space="preserve"> PAGEREF _Toc497468995 \h </w:instrText>
        </w:r>
        <w:r>
          <w:rPr>
            <w:noProof/>
            <w:webHidden/>
          </w:rPr>
        </w:r>
        <w:r>
          <w:rPr>
            <w:noProof/>
            <w:webHidden/>
          </w:rPr>
          <w:fldChar w:fldCharType="separate"/>
        </w:r>
        <w:r>
          <w:rPr>
            <w:noProof/>
            <w:webHidden/>
          </w:rPr>
          <w:t>39</w:t>
        </w:r>
        <w:r>
          <w:rPr>
            <w:noProof/>
            <w:webHidden/>
          </w:rPr>
          <w:fldChar w:fldCharType="end"/>
        </w:r>
      </w:hyperlink>
    </w:p>
    <w:p w:rsidR="004D1D76" w:rsidRDefault="004D1D76">
      <w:pPr>
        <w:pStyle w:val="Sumrio3"/>
        <w:tabs>
          <w:tab w:val="left" w:pos="1418"/>
        </w:tabs>
        <w:rPr>
          <w:rFonts w:asciiTheme="minorHAnsi" w:eastAsiaTheme="minorEastAsia" w:hAnsiTheme="minorHAnsi" w:cstheme="minorBidi"/>
          <w:i w:val="0"/>
          <w:noProof/>
          <w:sz w:val="22"/>
          <w:lang w:eastAsia="pt-BR"/>
        </w:rPr>
      </w:pPr>
      <w:hyperlink w:anchor="_Toc497468996" w:history="1">
        <w:r w:rsidRPr="0010505A">
          <w:rPr>
            <w:rStyle w:val="Hyperlink"/>
            <w:noProof/>
          </w:rPr>
          <w:t>2.2.1.</w:t>
        </w:r>
        <w:r>
          <w:rPr>
            <w:rFonts w:asciiTheme="minorHAnsi" w:eastAsiaTheme="minorEastAsia" w:hAnsiTheme="minorHAnsi" w:cstheme="minorBidi"/>
            <w:i w:val="0"/>
            <w:noProof/>
            <w:sz w:val="22"/>
            <w:lang w:eastAsia="pt-BR"/>
          </w:rPr>
          <w:tab/>
        </w:r>
        <w:r w:rsidRPr="0010505A">
          <w:rPr>
            <w:rStyle w:val="Hyperlink"/>
            <w:noProof/>
          </w:rPr>
          <w:t>Estimativa da demanda de esgotamento sanitário</w:t>
        </w:r>
        <w:r>
          <w:rPr>
            <w:noProof/>
            <w:webHidden/>
          </w:rPr>
          <w:tab/>
        </w:r>
        <w:r>
          <w:rPr>
            <w:noProof/>
            <w:webHidden/>
          </w:rPr>
          <w:fldChar w:fldCharType="begin"/>
        </w:r>
        <w:r>
          <w:rPr>
            <w:noProof/>
            <w:webHidden/>
          </w:rPr>
          <w:instrText xml:space="preserve"> PAGEREF _Toc497468996 \h </w:instrText>
        </w:r>
        <w:r>
          <w:rPr>
            <w:noProof/>
            <w:webHidden/>
          </w:rPr>
        </w:r>
        <w:r>
          <w:rPr>
            <w:noProof/>
            <w:webHidden/>
          </w:rPr>
          <w:fldChar w:fldCharType="separate"/>
        </w:r>
        <w:r>
          <w:rPr>
            <w:noProof/>
            <w:webHidden/>
          </w:rPr>
          <w:t>39</w:t>
        </w:r>
        <w:r>
          <w:rPr>
            <w:noProof/>
            <w:webHidden/>
          </w:rPr>
          <w:fldChar w:fldCharType="end"/>
        </w:r>
      </w:hyperlink>
    </w:p>
    <w:p w:rsidR="004D1D76" w:rsidRDefault="004D1D76">
      <w:pPr>
        <w:pStyle w:val="Sumrio3"/>
        <w:tabs>
          <w:tab w:val="left" w:pos="1418"/>
        </w:tabs>
        <w:rPr>
          <w:rFonts w:asciiTheme="minorHAnsi" w:eastAsiaTheme="minorEastAsia" w:hAnsiTheme="minorHAnsi" w:cstheme="minorBidi"/>
          <w:i w:val="0"/>
          <w:noProof/>
          <w:sz w:val="22"/>
          <w:lang w:eastAsia="pt-BR"/>
        </w:rPr>
      </w:pPr>
      <w:hyperlink w:anchor="_Toc497468997" w:history="1">
        <w:r w:rsidRPr="0010505A">
          <w:rPr>
            <w:rStyle w:val="Hyperlink"/>
            <w:noProof/>
          </w:rPr>
          <w:t>2.2.2.</w:t>
        </w:r>
        <w:r>
          <w:rPr>
            <w:rFonts w:asciiTheme="minorHAnsi" w:eastAsiaTheme="minorEastAsia" w:hAnsiTheme="minorHAnsi" w:cstheme="minorBidi"/>
            <w:i w:val="0"/>
            <w:noProof/>
            <w:sz w:val="22"/>
            <w:lang w:eastAsia="pt-BR"/>
          </w:rPr>
          <w:tab/>
        </w:r>
        <w:r w:rsidRPr="0010505A">
          <w:rPr>
            <w:rStyle w:val="Hyperlink"/>
            <w:noProof/>
          </w:rPr>
          <w:t>Definição de alternativas técnicas de engenharia para o Serviço de Esgotamento Sanitário a partir das projeções</w:t>
        </w:r>
        <w:r>
          <w:rPr>
            <w:noProof/>
            <w:webHidden/>
          </w:rPr>
          <w:tab/>
        </w:r>
        <w:r>
          <w:rPr>
            <w:noProof/>
            <w:webHidden/>
          </w:rPr>
          <w:fldChar w:fldCharType="begin"/>
        </w:r>
        <w:r>
          <w:rPr>
            <w:noProof/>
            <w:webHidden/>
          </w:rPr>
          <w:instrText xml:space="preserve"> PAGEREF _Toc497468997 \h </w:instrText>
        </w:r>
        <w:r>
          <w:rPr>
            <w:noProof/>
            <w:webHidden/>
          </w:rPr>
        </w:r>
        <w:r>
          <w:rPr>
            <w:noProof/>
            <w:webHidden/>
          </w:rPr>
          <w:fldChar w:fldCharType="separate"/>
        </w:r>
        <w:r>
          <w:rPr>
            <w:noProof/>
            <w:webHidden/>
          </w:rPr>
          <w:t>56</w:t>
        </w:r>
        <w:r>
          <w:rPr>
            <w:noProof/>
            <w:webHidden/>
          </w:rPr>
          <w:fldChar w:fldCharType="end"/>
        </w:r>
      </w:hyperlink>
    </w:p>
    <w:p w:rsidR="004D1D76" w:rsidRDefault="004D1D76">
      <w:pPr>
        <w:pStyle w:val="Sumrio3"/>
        <w:tabs>
          <w:tab w:val="left" w:pos="1418"/>
        </w:tabs>
        <w:rPr>
          <w:rFonts w:asciiTheme="minorHAnsi" w:eastAsiaTheme="minorEastAsia" w:hAnsiTheme="minorHAnsi" w:cstheme="minorBidi"/>
          <w:i w:val="0"/>
          <w:noProof/>
          <w:sz w:val="22"/>
          <w:lang w:eastAsia="pt-BR"/>
        </w:rPr>
      </w:pPr>
      <w:hyperlink w:anchor="_Toc497468998" w:history="1">
        <w:r w:rsidRPr="0010505A">
          <w:rPr>
            <w:rStyle w:val="Hyperlink"/>
            <w:noProof/>
          </w:rPr>
          <w:t>2.2.3.</w:t>
        </w:r>
        <w:r>
          <w:rPr>
            <w:rFonts w:asciiTheme="minorHAnsi" w:eastAsiaTheme="minorEastAsia" w:hAnsiTheme="minorHAnsi" w:cstheme="minorBidi"/>
            <w:i w:val="0"/>
            <w:noProof/>
            <w:sz w:val="22"/>
            <w:lang w:eastAsia="pt-BR"/>
          </w:rPr>
          <w:tab/>
        </w:r>
        <w:r w:rsidRPr="0010505A">
          <w:rPr>
            <w:rStyle w:val="Hyperlink"/>
            <w:noProof/>
          </w:rPr>
          <w:t>Metas de qualidade para os efluentes da ETE e para o corpo d’água</w:t>
        </w:r>
        <w:r>
          <w:rPr>
            <w:noProof/>
            <w:webHidden/>
          </w:rPr>
          <w:tab/>
        </w:r>
        <w:r>
          <w:rPr>
            <w:noProof/>
            <w:webHidden/>
          </w:rPr>
          <w:fldChar w:fldCharType="begin"/>
        </w:r>
        <w:r>
          <w:rPr>
            <w:noProof/>
            <w:webHidden/>
          </w:rPr>
          <w:instrText xml:space="preserve"> PAGEREF _Toc497468998 \h </w:instrText>
        </w:r>
        <w:r>
          <w:rPr>
            <w:noProof/>
            <w:webHidden/>
          </w:rPr>
        </w:r>
        <w:r>
          <w:rPr>
            <w:noProof/>
            <w:webHidden/>
          </w:rPr>
          <w:fldChar w:fldCharType="separate"/>
        </w:r>
        <w:r>
          <w:rPr>
            <w:noProof/>
            <w:webHidden/>
          </w:rPr>
          <w:t>60</w:t>
        </w:r>
        <w:r>
          <w:rPr>
            <w:noProof/>
            <w:webHidden/>
          </w:rPr>
          <w:fldChar w:fldCharType="end"/>
        </w:r>
      </w:hyperlink>
    </w:p>
    <w:p w:rsidR="004D1D76" w:rsidRDefault="004D1D76">
      <w:pPr>
        <w:pStyle w:val="Sumrio3"/>
        <w:tabs>
          <w:tab w:val="left" w:pos="1418"/>
        </w:tabs>
        <w:rPr>
          <w:rFonts w:asciiTheme="minorHAnsi" w:eastAsiaTheme="minorEastAsia" w:hAnsiTheme="minorHAnsi" w:cstheme="minorBidi"/>
          <w:i w:val="0"/>
          <w:noProof/>
          <w:sz w:val="22"/>
          <w:lang w:eastAsia="pt-BR"/>
        </w:rPr>
      </w:pPr>
      <w:hyperlink w:anchor="_Toc497468999" w:history="1">
        <w:r w:rsidRPr="0010505A">
          <w:rPr>
            <w:rStyle w:val="Hyperlink"/>
            <w:noProof/>
          </w:rPr>
          <w:t>2.2.4.</w:t>
        </w:r>
        <w:r>
          <w:rPr>
            <w:rFonts w:asciiTheme="minorHAnsi" w:eastAsiaTheme="minorEastAsia" w:hAnsiTheme="minorHAnsi" w:cstheme="minorBidi"/>
            <w:i w:val="0"/>
            <w:noProof/>
            <w:sz w:val="22"/>
            <w:lang w:eastAsia="pt-BR"/>
          </w:rPr>
          <w:tab/>
        </w:r>
        <w:r w:rsidRPr="0010505A">
          <w:rPr>
            <w:rStyle w:val="Hyperlink"/>
            <w:noProof/>
          </w:rPr>
          <w:t>Eventos de Emergência e Contingência</w:t>
        </w:r>
        <w:r>
          <w:rPr>
            <w:noProof/>
            <w:webHidden/>
          </w:rPr>
          <w:tab/>
        </w:r>
        <w:r>
          <w:rPr>
            <w:noProof/>
            <w:webHidden/>
          </w:rPr>
          <w:fldChar w:fldCharType="begin"/>
        </w:r>
        <w:r>
          <w:rPr>
            <w:noProof/>
            <w:webHidden/>
          </w:rPr>
          <w:instrText xml:space="preserve"> PAGEREF _Toc497468999 \h </w:instrText>
        </w:r>
        <w:r>
          <w:rPr>
            <w:noProof/>
            <w:webHidden/>
          </w:rPr>
        </w:r>
        <w:r>
          <w:rPr>
            <w:noProof/>
            <w:webHidden/>
          </w:rPr>
          <w:fldChar w:fldCharType="separate"/>
        </w:r>
        <w:r>
          <w:rPr>
            <w:noProof/>
            <w:webHidden/>
          </w:rPr>
          <w:t>65</w:t>
        </w:r>
        <w:r>
          <w:rPr>
            <w:noProof/>
            <w:webHidden/>
          </w:rPr>
          <w:fldChar w:fldCharType="end"/>
        </w:r>
      </w:hyperlink>
    </w:p>
    <w:p w:rsidR="004D1D76" w:rsidRDefault="004D1D76">
      <w:pPr>
        <w:pStyle w:val="Sumrio4"/>
        <w:tabs>
          <w:tab w:val="left" w:pos="1805"/>
        </w:tabs>
        <w:rPr>
          <w:rFonts w:asciiTheme="minorHAnsi" w:eastAsiaTheme="minorEastAsia" w:hAnsiTheme="minorHAnsi" w:cstheme="minorBidi"/>
          <w:noProof/>
        </w:rPr>
      </w:pPr>
      <w:hyperlink w:anchor="_Toc497469000" w:history="1">
        <w:r w:rsidRPr="0010505A">
          <w:rPr>
            <w:rStyle w:val="Hyperlink"/>
            <w:noProof/>
          </w:rPr>
          <w:t>2.2.4.1.</w:t>
        </w:r>
        <w:r>
          <w:rPr>
            <w:rFonts w:asciiTheme="minorHAnsi" w:eastAsiaTheme="minorEastAsia" w:hAnsiTheme="minorHAnsi" w:cstheme="minorBidi"/>
            <w:noProof/>
          </w:rPr>
          <w:tab/>
        </w:r>
        <w:r w:rsidRPr="0010505A">
          <w:rPr>
            <w:rStyle w:val="Hyperlink"/>
            <w:noProof/>
          </w:rPr>
          <w:t>Eventos operacionais</w:t>
        </w:r>
        <w:r>
          <w:rPr>
            <w:noProof/>
            <w:webHidden/>
          </w:rPr>
          <w:tab/>
        </w:r>
        <w:r>
          <w:rPr>
            <w:noProof/>
            <w:webHidden/>
          </w:rPr>
          <w:fldChar w:fldCharType="begin"/>
        </w:r>
        <w:r>
          <w:rPr>
            <w:noProof/>
            <w:webHidden/>
          </w:rPr>
          <w:instrText xml:space="preserve"> PAGEREF _Toc497469000 \h </w:instrText>
        </w:r>
        <w:r>
          <w:rPr>
            <w:noProof/>
            <w:webHidden/>
          </w:rPr>
        </w:r>
        <w:r>
          <w:rPr>
            <w:noProof/>
            <w:webHidden/>
          </w:rPr>
          <w:fldChar w:fldCharType="separate"/>
        </w:r>
        <w:r>
          <w:rPr>
            <w:noProof/>
            <w:webHidden/>
          </w:rPr>
          <w:t>65</w:t>
        </w:r>
        <w:r>
          <w:rPr>
            <w:noProof/>
            <w:webHidden/>
          </w:rPr>
          <w:fldChar w:fldCharType="end"/>
        </w:r>
      </w:hyperlink>
    </w:p>
    <w:p w:rsidR="004D1D76" w:rsidRDefault="004D1D76">
      <w:pPr>
        <w:pStyle w:val="Sumrio4"/>
        <w:tabs>
          <w:tab w:val="left" w:pos="1805"/>
        </w:tabs>
        <w:rPr>
          <w:rFonts w:asciiTheme="minorHAnsi" w:eastAsiaTheme="minorEastAsia" w:hAnsiTheme="minorHAnsi" w:cstheme="minorBidi"/>
          <w:noProof/>
        </w:rPr>
      </w:pPr>
      <w:hyperlink w:anchor="_Toc497469001" w:history="1">
        <w:r w:rsidRPr="0010505A">
          <w:rPr>
            <w:rStyle w:val="Hyperlink"/>
            <w:noProof/>
          </w:rPr>
          <w:t>2.2.4.2.</w:t>
        </w:r>
        <w:r>
          <w:rPr>
            <w:rFonts w:asciiTheme="minorHAnsi" w:eastAsiaTheme="minorEastAsia" w:hAnsiTheme="minorHAnsi" w:cstheme="minorBidi"/>
            <w:noProof/>
          </w:rPr>
          <w:tab/>
        </w:r>
        <w:r w:rsidRPr="0010505A">
          <w:rPr>
            <w:rStyle w:val="Hyperlink"/>
            <w:noProof/>
          </w:rPr>
          <w:t>Eventos relacionados à gestão e ao gerenciamento</w:t>
        </w:r>
        <w:r>
          <w:rPr>
            <w:noProof/>
            <w:webHidden/>
          </w:rPr>
          <w:tab/>
        </w:r>
        <w:r>
          <w:rPr>
            <w:noProof/>
            <w:webHidden/>
          </w:rPr>
          <w:fldChar w:fldCharType="begin"/>
        </w:r>
        <w:r>
          <w:rPr>
            <w:noProof/>
            <w:webHidden/>
          </w:rPr>
          <w:instrText xml:space="preserve"> PAGEREF _Toc497469001 \h </w:instrText>
        </w:r>
        <w:r>
          <w:rPr>
            <w:noProof/>
            <w:webHidden/>
          </w:rPr>
        </w:r>
        <w:r>
          <w:rPr>
            <w:noProof/>
            <w:webHidden/>
          </w:rPr>
          <w:fldChar w:fldCharType="separate"/>
        </w:r>
        <w:r>
          <w:rPr>
            <w:noProof/>
            <w:webHidden/>
          </w:rPr>
          <w:t>66</w:t>
        </w:r>
        <w:r>
          <w:rPr>
            <w:noProof/>
            <w:webHidden/>
          </w:rPr>
          <w:fldChar w:fldCharType="end"/>
        </w:r>
      </w:hyperlink>
    </w:p>
    <w:p w:rsidR="004D1D76" w:rsidRDefault="004D1D76">
      <w:pPr>
        <w:pStyle w:val="Sumrio4"/>
        <w:tabs>
          <w:tab w:val="left" w:pos="1805"/>
        </w:tabs>
        <w:rPr>
          <w:rFonts w:asciiTheme="minorHAnsi" w:eastAsiaTheme="minorEastAsia" w:hAnsiTheme="minorHAnsi" w:cstheme="minorBidi"/>
          <w:noProof/>
        </w:rPr>
      </w:pPr>
      <w:hyperlink w:anchor="_Toc497469002" w:history="1">
        <w:r w:rsidRPr="0010505A">
          <w:rPr>
            <w:rStyle w:val="Hyperlink"/>
            <w:noProof/>
          </w:rPr>
          <w:t>2.2.4.3.</w:t>
        </w:r>
        <w:r>
          <w:rPr>
            <w:rFonts w:asciiTheme="minorHAnsi" w:eastAsiaTheme="minorEastAsia" w:hAnsiTheme="minorHAnsi" w:cstheme="minorBidi"/>
            <w:noProof/>
          </w:rPr>
          <w:tab/>
        </w:r>
        <w:r w:rsidRPr="0010505A">
          <w:rPr>
            <w:rStyle w:val="Hyperlink"/>
            <w:noProof/>
          </w:rPr>
          <w:t>Eventos imprevisíveis</w:t>
        </w:r>
        <w:r>
          <w:rPr>
            <w:noProof/>
            <w:webHidden/>
          </w:rPr>
          <w:tab/>
        </w:r>
        <w:r>
          <w:rPr>
            <w:noProof/>
            <w:webHidden/>
          </w:rPr>
          <w:fldChar w:fldCharType="begin"/>
        </w:r>
        <w:r>
          <w:rPr>
            <w:noProof/>
            <w:webHidden/>
          </w:rPr>
          <w:instrText xml:space="preserve"> PAGEREF _Toc497469002 \h </w:instrText>
        </w:r>
        <w:r>
          <w:rPr>
            <w:noProof/>
            <w:webHidden/>
          </w:rPr>
        </w:r>
        <w:r>
          <w:rPr>
            <w:noProof/>
            <w:webHidden/>
          </w:rPr>
          <w:fldChar w:fldCharType="separate"/>
        </w:r>
        <w:r>
          <w:rPr>
            <w:noProof/>
            <w:webHidden/>
          </w:rPr>
          <w:t>66</w:t>
        </w:r>
        <w:r>
          <w:rPr>
            <w:noProof/>
            <w:webHidden/>
          </w:rPr>
          <w:fldChar w:fldCharType="end"/>
        </w:r>
      </w:hyperlink>
    </w:p>
    <w:p w:rsidR="004D1D76" w:rsidRDefault="004D1D76">
      <w:pPr>
        <w:pStyle w:val="Sumrio2"/>
        <w:tabs>
          <w:tab w:val="left" w:pos="1134"/>
        </w:tabs>
        <w:rPr>
          <w:rFonts w:asciiTheme="minorHAnsi" w:eastAsiaTheme="minorEastAsia" w:hAnsiTheme="minorHAnsi" w:cstheme="minorBidi"/>
          <w:noProof/>
          <w:sz w:val="22"/>
          <w:lang w:eastAsia="pt-BR"/>
        </w:rPr>
      </w:pPr>
      <w:hyperlink w:anchor="_Toc497469003" w:history="1">
        <w:r w:rsidRPr="0010505A">
          <w:rPr>
            <w:rStyle w:val="Hyperlink"/>
            <w:noProof/>
          </w:rPr>
          <w:t>2.3.</w:t>
        </w:r>
        <w:r>
          <w:rPr>
            <w:rFonts w:asciiTheme="minorHAnsi" w:eastAsiaTheme="minorEastAsia" w:hAnsiTheme="minorHAnsi" w:cstheme="minorBidi"/>
            <w:noProof/>
            <w:sz w:val="22"/>
            <w:lang w:eastAsia="pt-BR"/>
          </w:rPr>
          <w:tab/>
        </w:r>
        <w:r w:rsidRPr="0010505A">
          <w:rPr>
            <w:rStyle w:val="Hyperlink"/>
            <w:noProof/>
          </w:rPr>
          <w:t>Sistema de Drenagem Urbana e Manejo de Águas Pluviais</w:t>
        </w:r>
        <w:r>
          <w:rPr>
            <w:noProof/>
            <w:webHidden/>
          </w:rPr>
          <w:tab/>
        </w:r>
        <w:r>
          <w:rPr>
            <w:noProof/>
            <w:webHidden/>
          </w:rPr>
          <w:fldChar w:fldCharType="begin"/>
        </w:r>
        <w:r>
          <w:rPr>
            <w:noProof/>
            <w:webHidden/>
          </w:rPr>
          <w:instrText xml:space="preserve"> PAGEREF _Toc497469003 \h </w:instrText>
        </w:r>
        <w:r>
          <w:rPr>
            <w:noProof/>
            <w:webHidden/>
          </w:rPr>
        </w:r>
        <w:r>
          <w:rPr>
            <w:noProof/>
            <w:webHidden/>
          </w:rPr>
          <w:fldChar w:fldCharType="separate"/>
        </w:r>
        <w:r>
          <w:rPr>
            <w:noProof/>
            <w:webHidden/>
          </w:rPr>
          <w:t>67</w:t>
        </w:r>
        <w:r>
          <w:rPr>
            <w:noProof/>
            <w:webHidden/>
          </w:rPr>
          <w:fldChar w:fldCharType="end"/>
        </w:r>
      </w:hyperlink>
    </w:p>
    <w:p w:rsidR="004D1D76" w:rsidRDefault="004D1D76">
      <w:pPr>
        <w:pStyle w:val="Sumrio3"/>
        <w:tabs>
          <w:tab w:val="left" w:pos="1418"/>
        </w:tabs>
        <w:rPr>
          <w:rFonts w:asciiTheme="minorHAnsi" w:eastAsiaTheme="minorEastAsia" w:hAnsiTheme="minorHAnsi" w:cstheme="minorBidi"/>
          <w:i w:val="0"/>
          <w:noProof/>
          <w:sz w:val="22"/>
          <w:lang w:eastAsia="pt-BR"/>
        </w:rPr>
      </w:pPr>
      <w:hyperlink w:anchor="_Toc497469004" w:history="1">
        <w:r w:rsidRPr="0010505A">
          <w:rPr>
            <w:rStyle w:val="Hyperlink"/>
            <w:noProof/>
          </w:rPr>
          <w:t>2.3.1.</w:t>
        </w:r>
        <w:r>
          <w:rPr>
            <w:rFonts w:asciiTheme="minorHAnsi" w:eastAsiaTheme="minorEastAsia" w:hAnsiTheme="minorHAnsi" w:cstheme="minorBidi"/>
            <w:i w:val="0"/>
            <w:noProof/>
            <w:sz w:val="22"/>
            <w:lang w:eastAsia="pt-BR"/>
          </w:rPr>
          <w:tab/>
        </w:r>
        <w:r w:rsidRPr="0010505A">
          <w:rPr>
            <w:rStyle w:val="Hyperlink"/>
            <w:noProof/>
          </w:rPr>
          <w:t>Projeções e estimativas da ocupação urbana e seus impactos</w:t>
        </w:r>
        <w:r>
          <w:rPr>
            <w:noProof/>
            <w:webHidden/>
          </w:rPr>
          <w:tab/>
        </w:r>
        <w:r>
          <w:rPr>
            <w:noProof/>
            <w:webHidden/>
          </w:rPr>
          <w:fldChar w:fldCharType="begin"/>
        </w:r>
        <w:r>
          <w:rPr>
            <w:noProof/>
            <w:webHidden/>
          </w:rPr>
          <w:instrText xml:space="preserve"> PAGEREF _Toc497469004 \h </w:instrText>
        </w:r>
        <w:r>
          <w:rPr>
            <w:noProof/>
            <w:webHidden/>
          </w:rPr>
        </w:r>
        <w:r>
          <w:rPr>
            <w:noProof/>
            <w:webHidden/>
          </w:rPr>
          <w:fldChar w:fldCharType="separate"/>
        </w:r>
        <w:r>
          <w:rPr>
            <w:noProof/>
            <w:webHidden/>
          </w:rPr>
          <w:t>67</w:t>
        </w:r>
        <w:r>
          <w:rPr>
            <w:noProof/>
            <w:webHidden/>
          </w:rPr>
          <w:fldChar w:fldCharType="end"/>
        </w:r>
      </w:hyperlink>
    </w:p>
    <w:p w:rsidR="004D1D76" w:rsidRDefault="004D1D76">
      <w:pPr>
        <w:pStyle w:val="Sumrio3"/>
        <w:tabs>
          <w:tab w:val="left" w:pos="1418"/>
        </w:tabs>
        <w:rPr>
          <w:rFonts w:asciiTheme="minorHAnsi" w:eastAsiaTheme="minorEastAsia" w:hAnsiTheme="minorHAnsi" w:cstheme="minorBidi"/>
          <w:i w:val="0"/>
          <w:noProof/>
          <w:sz w:val="22"/>
          <w:lang w:eastAsia="pt-BR"/>
        </w:rPr>
      </w:pPr>
      <w:hyperlink w:anchor="_Toc497469005" w:history="1">
        <w:r w:rsidRPr="0010505A">
          <w:rPr>
            <w:rStyle w:val="Hyperlink"/>
            <w:noProof/>
          </w:rPr>
          <w:t>2.3.2.</w:t>
        </w:r>
        <w:r>
          <w:rPr>
            <w:rFonts w:asciiTheme="minorHAnsi" w:eastAsiaTheme="minorEastAsia" w:hAnsiTheme="minorHAnsi" w:cstheme="minorBidi"/>
            <w:i w:val="0"/>
            <w:noProof/>
            <w:sz w:val="22"/>
            <w:lang w:eastAsia="pt-BR"/>
          </w:rPr>
          <w:tab/>
        </w:r>
        <w:r w:rsidRPr="0010505A">
          <w:rPr>
            <w:rStyle w:val="Hyperlink"/>
            <w:noProof/>
          </w:rPr>
          <w:t>Medidas de controle de erosão e assoreamento</w:t>
        </w:r>
        <w:r>
          <w:rPr>
            <w:noProof/>
            <w:webHidden/>
          </w:rPr>
          <w:tab/>
        </w:r>
        <w:r>
          <w:rPr>
            <w:noProof/>
            <w:webHidden/>
          </w:rPr>
          <w:fldChar w:fldCharType="begin"/>
        </w:r>
        <w:r>
          <w:rPr>
            <w:noProof/>
            <w:webHidden/>
          </w:rPr>
          <w:instrText xml:space="preserve"> PAGEREF _Toc497469005 \h </w:instrText>
        </w:r>
        <w:r>
          <w:rPr>
            <w:noProof/>
            <w:webHidden/>
          </w:rPr>
        </w:r>
        <w:r>
          <w:rPr>
            <w:noProof/>
            <w:webHidden/>
          </w:rPr>
          <w:fldChar w:fldCharType="separate"/>
        </w:r>
        <w:r>
          <w:rPr>
            <w:noProof/>
            <w:webHidden/>
          </w:rPr>
          <w:t>72</w:t>
        </w:r>
        <w:r>
          <w:rPr>
            <w:noProof/>
            <w:webHidden/>
          </w:rPr>
          <w:fldChar w:fldCharType="end"/>
        </w:r>
      </w:hyperlink>
    </w:p>
    <w:p w:rsidR="004D1D76" w:rsidRDefault="004D1D76">
      <w:pPr>
        <w:pStyle w:val="Sumrio3"/>
        <w:tabs>
          <w:tab w:val="left" w:pos="1418"/>
        </w:tabs>
        <w:rPr>
          <w:rFonts w:asciiTheme="minorHAnsi" w:eastAsiaTheme="minorEastAsia" w:hAnsiTheme="minorHAnsi" w:cstheme="minorBidi"/>
          <w:i w:val="0"/>
          <w:noProof/>
          <w:sz w:val="22"/>
          <w:lang w:eastAsia="pt-BR"/>
        </w:rPr>
      </w:pPr>
      <w:hyperlink w:anchor="_Toc497469006" w:history="1">
        <w:r w:rsidRPr="0010505A">
          <w:rPr>
            <w:rStyle w:val="Hyperlink"/>
            <w:noProof/>
          </w:rPr>
          <w:t>2.3.3.</w:t>
        </w:r>
        <w:r>
          <w:rPr>
            <w:rFonts w:asciiTheme="minorHAnsi" w:eastAsiaTheme="minorEastAsia" w:hAnsiTheme="minorHAnsi" w:cstheme="minorBidi"/>
            <w:i w:val="0"/>
            <w:noProof/>
            <w:sz w:val="22"/>
            <w:lang w:eastAsia="pt-BR"/>
          </w:rPr>
          <w:tab/>
        </w:r>
        <w:r w:rsidRPr="0010505A">
          <w:rPr>
            <w:rStyle w:val="Hyperlink"/>
            <w:noProof/>
          </w:rPr>
          <w:t>Medidas para a redução da disposição de resíduos sólidos nos corpos d’água</w:t>
        </w:r>
        <w:r>
          <w:rPr>
            <w:noProof/>
            <w:webHidden/>
          </w:rPr>
          <w:tab/>
        </w:r>
        <w:r>
          <w:rPr>
            <w:noProof/>
            <w:webHidden/>
          </w:rPr>
          <w:fldChar w:fldCharType="begin"/>
        </w:r>
        <w:r>
          <w:rPr>
            <w:noProof/>
            <w:webHidden/>
          </w:rPr>
          <w:instrText xml:space="preserve"> PAGEREF _Toc497469006 \h </w:instrText>
        </w:r>
        <w:r>
          <w:rPr>
            <w:noProof/>
            <w:webHidden/>
          </w:rPr>
        </w:r>
        <w:r>
          <w:rPr>
            <w:noProof/>
            <w:webHidden/>
          </w:rPr>
          <w:fldChar w:fldCharType="separate"/>
        </w:r>
        <w:r>
          <w:rPr>
            <w:noProof/>
            <w:webHidden/>
          </w:rPr>
          <w:t>76</w:t>
        </w:r>
        <w:r>
          <w:rPr>
            <w:noProof/>
            <w:webHidden/>
          </w:rPr>
          <w:fldChar w:fldCharType="end"/>
        </w:r>
      </w:hyperlink>
    </w:p>
    <w:p w:rsidR="004D1D76" w:rsidRDefault="004D1D76">
      <w:pPr>
        <w:pStyle w:val="Sumrio3"/>
        <w:tabs>
          <w:tab w:val="left" w:pos="1418"/>
        </w:tabs>
        <w:rPr>
          <w:rFonts w:asciiTheme="minorHAnsi" w:eastAsiaTheme="minorEastAsia" w:hAnsiTheme="minorHAnsi" w:cstheme="minorBidi"/>
          <w:i w:val="0"/>
          <w:noProof/>
          <w:sz w:val="22"/>
          <w:lang w:eastAsia="pt-BR"/>
        </w:rPr>
      </w:pPr>
      <w:hyperlink w:anchor="_Toc497469007" w:history="1">
        <w:r w:rsidRPr="0010505A">
          <w:rPr>
            <w:rStyle w:val="Hyperlink"/>
            <w:noProof/>
          </w:rPr>
          <w:t>2.3.4.</w:t>
        </w:r>
        <w:r>
          <w:rPr>
            <w:rFonts w:asciiTheme="minorHAnsi" w:eastAsiaTheme="minorEastAsia" w:hAnsiTheme="minorHAnsi" w:cstheme="minorBidi"/>
            <w:i w:val="0"/>
            <w:noProof/>
            <w:sz w:val="22"/>
            <w:lang w:eastAsia="pt-BR"/>
          </w:rPr>
          <w:tab/>
        </w:r>
        <w:r w:rsidRPr="0010505A">
          <w:rPr>
            <w:rStyle w:val="Hyperlink"/>
            <w:noProof/>
          </w:rPr>
          <w:t>Diretrizes para o controle do escoamento superficial</w:t>
        </w:r>
        <w:r>
          <w:rPr>
            <w:noProof/>
            <w:webHidden/>
          </w:rPr>
          <w:tab/>
        </w:r>
        <w:r>
          <w:rPr>
            <w:noProof/>
            <w:webHidden/>
          </w:rPr>
          <w:fldChar w:fldCharType="begin"/>
        </w:r>
        <w:r>
          <w:rPr>
            <w:noProof/>
            <w:webHidden/>
          </w:rPr>
          <w:instrText xml:space="preserve"> PAGEREF _Toc497469007 \h </w:instrText>
        </w:r>
        <w:r>
          <w:rPr>
            <w:noProof/>
            <w:webHidden/>
          </w:rPr>
        </w:r>
        <w:r>
          <w:rPr>
            <w:noProof/>
            <w:webHidden/>
          </w:rPr>
          <w:fldChar w:fldCharType="separate"/>
        </w:r>
        <w:r>
          <w:rPr>
            <w:noProof/>
            <w:webHidden/>
          </w:rPr>
          <w:t>79</w:t>
        </w:r>
        <w:r>
          <w:rPr>
            <w:noProof/>
            <w:webHidden/>
          </w:rPr>
          <w:fldChar w:fldCharType="end"/>
        </w:r>
      </w:hyperlink>
    </w:p>
    <w:p w:rsidR="004D1D76" w:rsidRDefault="004D1D76">
      <w:pPr>
        <w:pStyle w:val="Sumrio3"/>
        <w:tabs>
          <w:tab w:val="left" w:pos="1418"/>
        </w:tabs>
        <w:rPr>
          <w:rFonts w:asciiTheme="minorHAnsi" w:eastAsiaTheme="minorEastAsia" w:hAnsiTheme="minorHAnsi" w:cstheme="minorBidi"/>
          <w:i w:val="0"/>
          <w:noProof/>
          <w:sz w:val="22"/>
          <w:lang w:eastAsia="pt-BR"/>
        </w:rPr>
      </w:pPr>
      <w:hyperlink w:anchor="_Toc497469008" w:history="1">
        <w:r w:rsidRPr="0010505A">
          <w:rPr>
            <w:rStyle w:val="Hyperlink"/>
            <w:noProof/>
          </w:rPr>
          <w:t>2.3.5.</w:t>
        </w:r>
        <w:r>
          <w:rPr>
            <w:rFonts w:asciiTheme="minorHAnsi" w:eastAsiaTheme="minorEastAsia" w:hAnsiTheme="minorHAnsi" w:cstheme="minorBidi"/>
            <w:i w:val="0"/>
            <w:noProof/>
            <w:sz w:val="22"/>
            <w:lang w:eastAsia="pt-BR"/>
          </w:rPr>
          <w:tab/>
        </w:r>
        <w:r w:rsidRPr="0010505A">
          <w:rPr>
            <w:rStyle w:val="Hyperlink"/>
            <w:noProof/>
          </w:rPr>
          <w:t>Diretrizes para o tratamento dos fundos de vale</w:t>
        </w:r>
        <w:r>
          <w:rPr>
            <w:noProof/>
            <w:webHidden/>
          </w:rPr>
          <w:tab/>
        </w:r>
        <w:r>
          <w:rPr>
            <w:noProof/>
            <w:webHidden/>
          </w:rPr>
          <w:fldChar w:fldCharType="begin"/>
        </w:r>
        <w:r>
          <w:rPr>
            <w:noProof/>
            <w:webHidden/>
          </w:rPr>
          <w:instrText xml:space="preserve"> PAGEREF _Toc497469008 \h </w:instrText>
        </w:r>
        <w:r>
          <w:rPr>
            <w:noProof/>
            <w:webHidden/>
          </w:rPr>
        </w:r>
        <w:r>
          <w:rPr>
            <w:noProof/>
            <w:webHidden/>
          </w:rPr>
          <w:fldChar w:fldCharType="separate"/>
        </w:r>
        <w:r>
          <w:rPr>
            <w:noProof/>
            <w:webHidden/>
          </w:rPr>
          <w:t>83</w:t>
        </w:r>
        <w:r>
          <w:rPr>
            <w:noProof/>
            <w:webHidden/>
          </w:rPr>
          <w:fldChar w:fldCharType="end"/>
        </w:r>
      </w:hyperlink>
    </w:p>
    <w:p w:rsidR="004D1D76" w:rsidRDefault="004D1D76">
      <w:pPr>
        <w:pStyle w:val="Sumrio3"/>
        <w:tabs>
          <w:tab w:val="left" w:pos="1418"/>
        </w:tabs>
        <w:rPr>
          <w:rFonts w:asciiTheme="minorHAnsi" w:eastAsiaTheme="minorEastAsia" w:hAnsiTheme="minorHAnsi" w:cstheme="minorBidi"/>
          <w:i w:val="0"/>
          <w:noProof/>
          <w:sz w:val="22"/>
          <w:lang w:eastAsia="pt-BR"/>
        </w:rPr>
      </w:pPr>
      <w:hyperlink w:anchor="_Toc497469009" w:history="1">
        <w:r w:rsidRPr="0010505A">
          <w:rPr>
            <w:rStyle w:val="Hyperlink"/>
            <w:noProof/>
          </w:rPr>
          <w:t>2.3.6.</w:t>
        </w:r>
        <w:r>
          <w:rPr>
            <w:rFonts w:asciiTheme="minorHAnsi" w:eastAsiaTheme="minorEastAsia" w:hAnsiTheme="minorHAnsi" w:cstheme="minorBidi"/>
            <w:i w:val="0"/>
            <w:noProof/>
            <w:sz w:val="22"/>
            <w:lang w:eastAsia="pt-BR"/>
          </w:rPr>
          <w:tab/>
        </w:r>
        <w:r w:rsidRPr="0010505A">
          <w:rPr>
            <w:rStyle w:val="Hyperlink"/>
            <w:noProof/>
          </w:rPr>
          <w:t>Eventos de Emergência e Contingência</w:t>
        </w:r>
        <w:r>
          <w:rPr>
            <w:noProof/>
            <w:webHidden/>
          </w:rPr>
          <w:tab/>
        </w:r>
        <w:r>
          <w:rPr>
            <w:noProof/>
            <w:webHidden/>
          </w:rPr>
          <w:fldChar w:fldCharType="begin"/>
        </w:r>
        <w:r>
          <w:rPr>
            <w:noProof/>
            <w:webHidden/>
          </w:rPr>
          <w:instrText xml:space="preserve"> PAGEREF _Toc497469009 \h </w:instrText>
        </w:r>
        <w:r>
          <w:rPr>
            <w:noProof/>
            <w:webHidden/>
          </w:rPr>
        </w:r>
        <w:r>
          <w:rPr>
            <w:noProof/>
            <w:webHidden/>
          </w:rPr>
          <w:fldChar w:fldCharType="separate"/>
        </w:r>
        <w:r>
          <w:rPr>
            <w:noProof/>
            <w:webHidden/>
          </w:rPr>
          <w:t>87</w:t>
        </w:r>
        <w:r>
          <w:rPr>
            <w:noProof/>
            <w:webHidden/>
          </w:rPr>
          <w:fldChar w:fldCharType="end"/>
        </w:r>
      </w:hyperlink>
    </w:p>
    <w:p w:rsidR="004D1D76" w:rsidRDefault="004D1D76">
      <w:pPr>
        <w:pStyle w:val="Sumrio4"/>
        <w:tabs>
          <w:tab w:val="left" w:pos="1805"/>
        </w:tabs>
        <w:rPr>
          <w:rFonts w:asciiTheme="minorHAnsi" w:eastAsiaTheme="minorEastAsia" w:hAnsiTheme="minorHAnsi" w:cstheme="minorBidi"/>
          <w:noProof/>
        </w:rPr>
      </w:pPr>
      <w:hyperlink w:anchor="_Toc497469010" w:history="1">
        <w:r w:rsidRPr="0010505A">
          <w:rPr>
            <w:rStyle w:val="Hyperlink"/>
            <w:noProof/>
          </w:rPr>
          <w:t>2.3.6.1.</w:t>
        </w:r>
        <w:r>
          <w:rPr>
            <w:rFonts w:asciiTheme="minorHAnsi" w:eastAsiaTheme="minorEastAsia" w:hAnsiTheme="minorHAnsi" w:cstheme="minorBidi"/>
            <w:noProof/>
          </w:rPr>
          <w:tab/>
        </w:r>
        <w:r w:rsidRPr="0010505A">
          <w:rPr>
            <w:rStyle w:val="Hyperlink"/>
            <w:noProof/>
          </w:rPr>
          <w:t>Eventos operacionais</w:t>
        </w:r>
        <w:r>
          <w:rPr>
            <w:noProof/>
            <w:webHidden/>
          </w:rPr>
          <w:tab/>
        </w:r>
        <w:r>
          <w:rPr>
            <w:noProof/>
            <w:webHidden/>
          </w:rPr>
          <w:fldChar w:fldCharType="begin"/>
        </w:r>
        <w:r>
          <w:rPr>
            <w:noProof/>
            <w:webHidden/>
          </w:rPr>
          <w:instrText xml:space="preserve"> PAGEREF _Toc497469010 \h </w:instrText>
        </w:r>
        <w:r>
          <w:rPr>
            <w:noProof/>
            <w:webHidden/>
          </w:rPr>
        </w:r>
        <w:r>
          <w:rPr>
            <w:noProof/>
            <w:webHidden/>
          </w:rPr>
          <w:fldChar w:fldCharType="separate"/>
        </w:r>
        <w:r>
          <w:rPr>
            <w:noProof/>
            <w:webHidden/>
          </w:rPr>
          <w:t>87</w:t>
        </w:r>
        <w:r>
          <w:rPr>
            <w:noProof/>
            <w:webHidden/>
          </w:rPr>
          <w:fldChar w:fldCharType="end"/>
        </w:r>
      </w:hyperlink>
    </w:p>
    <w:p w:rsidR="004D1D76" w:rsidRDefault="004D1D76">
      <w:pPr>
        <w:pStyle w:val="Sumrio4"/>
        <w:tabs>
          <w:tab w:val="left" w:pos="1805"/>
        </w:tabs>
        <w:rPr>
          <w:rFonts w:asciiTheme="minorHAnsi" w:eastAsiaTheme="minorEastAsia" w:hAnsiTheme="minorHAnsi" w:cstheme="minorBidi"/>
          <w:noProof/>
        </w:rPr>
      </w:pPr>
      <w:hyperlink w:anchor="_Toc497469011" w:history="1">
        <w:r w:rsidRPr="0010505A">
          <w:rPr>
            <w:rStyle w:val="Hyperlink"/>
            <w:noProof/>
          </w:rPr>
          <w:t>2.3.6.2.</w:t>
        </w:r>
        <w:r>
          <w:rPr>
            <w:rFonts w:asciiTheme="minorHAnsi" w:eastAsiaTheme="minorEastAsia" w:hAnsiTheme="minorHAnsi" w:cstheme="minorBidi"/>
            <w:noProof/>
          </w:rPr>
          <w:tab/>
        </w:r>
        <w:r w:rsidRPr="0010505A">
          <w:rPr>
            <w:rStyle w:val="Hyperlink"/>
            <w:noProof/>
          </w:rPr>
          <w:t>Eventos relacionados à gestão e ao gerenciamento</w:t>
        </w:r>
        <w:r>
          <w:rPr>
            <w:noProof/>
            <w:webHidden/>
          </w:rPr>
          <w:tab/>
        </w:r>
        <w:r>
          <w:rPr>
            <w:noProof/>
            <w:webHidden/>
          </w:rPr>
          <w:fldChar w:fldCharType="begin"/>
        </w:r>
        <w:r>
          <w:rPr>
            <w:noProof/>
            <w:webHidden/>
          </w:rPr>
          <w:instrText xml:space="preserve"> PAGEREF _Toc497469011 \h </w:instrText>
        </w:r>
        <w:r>
          <w:rPr>
            <w:noProof/>
            <w:webHidden/>
          </w:rPr>
        </w:r>
        <w:r>
          <w:rPr>
            <w:noProof/>
            <w:webHidden/>
          </w:rPr>
          <w:fldChar w:fldCharType="separate"/>
        </w:r>
        <w:r>
          <w:rPr>
            <w:noProof/>
            <w:webHidden/>
          </w:rPr>
          <w:t>87</w:t>
        </w:r>
        <w:r>
          <w:rPr>
            <w:noProof/>
            <w:webHidden/>
          </w:rPr>
          <w:fldChar w:fldCharType="end"/>
        </w:r>
      </w:hyperlink>
    </w:p>
    <w:p w:rsidR="004D1D76" w:rsidRDefault="004D1D76">
      <w:pPr>
        <w:pStyle w:val="Sumrio4"/>
        <w:tabs>
          <w:tab w:val="left" w:pos="1805"/>
        </w:tabs>
        <w:rPr>
          <w:rFonts w:asciiTheme="minorHAnsi" w:eastAsiaTheme="minorEastAsia" w:hAnsiTheme="minorHAnsi" w:cstheme="minorBidi"/>
          <w:noProof/>
        </w:rPr>
      </w:pPr>
      <w:hyperlink w:anchor="_Toc497469012" w:history="1">
        <w:r w:rsidRPr="0010505A">
          <w:rPr>
            <w:rStyle w:val="Hyperlink"/>
            <w:noProof/>
          </w:rPr>
          <w:t>2.3.6.3.</w:t>
        </w:r>
        <w:r>
          <w:rPr>
            <w:rFonts w:asciiTheme="minorHAnsi" w:eastAsiaTheme="minorEastAsia" w:hAnsiTheme="minorHAnsi" w:cstheme="minorBidi"/>
            <w:noProof/>
          </w:rPr>
          <w:tab/>
        </w:r>
        <w:r w:rsidRPr="0010505A">
          <w:rPr>
            <w:rStyle w:val="Hyperlink"/>
            <w:noProof/>
          </w:rPr>
          <w:t>Eventos imprevisíveis</w:t>
        </w:r>
        <w:r>
          <w:rPr>
            <w:noProof/>
            <w:webHidden/>
          </w:rPr>
          <w:tab/>
        </w:r>
        <w:r>
          <w:rPr>
            <w:noProof/>
            <w:webHidden/>
          </w:rPr>
          <w:fldChar w:fldCharType="begin"/>
        </w:r>
        <w:r>
          <w:rPr>
            <w:noProof/>
            <w:webHidden/>
          </w:rPr>
          <w:instrText xml:space="preserve"> PAGEREF _Toc497469012 \h </w:instrText>
        </w:r>
        <w:r>
          <w:rPr>
            <w:noProof/>
            <w:webHidden/>
          </w:rPr>
        </w:r>
        <w:r>
          <w:rPr>
            <w:noProof/>
            <w:webHidden/>
          </w:rPr>
          <w:fldChar w:fldCharType="separate"/>
        </w:r>
        <w:r>
          <w:rPr>
            <w:noProof/>
            <w:webHidden/>
          </w:rPr>
          <w:t>87</w:t>
        </w:r>
        <w:r>
          <w:rPr>
            <w:noProof/>
            <w:webHidden/>
          </w:rPr>
          <w:fldChar w:fldCharType="end"/>
        </w:r>
      </w:hyperlink>
    </w:p>
    <w:p w:rsidR="004D1D76" w:rsidRDefault="004D1D76">
      <w:pPr>
        <w:pStyle w:val="Sumrio2"/>
        <w:tabs>
          <w:tab w:val="left" w:pos="1134"/>
        </w:tabs>
        <w:rPr>
          <w:rFonts w:asciiTheme="minorHAnsi" w:eastAsiaTheme="minorEastAsia" w:hAnsiTheme="minorHAnsi" w:cstheme="minorBidi"/>
          <w:noProof/>
          <w:sz w:val="22"/>
          <w:lang w:eastAsia="pt-BR"/>
        </w:rPr>
      </w:pPr>
      <w:hyperlink w:anchor="_Toc497469013" w:history="1">
        <w:r w:rsidRPr="0010505A">
          <w:rPr>
            <w:rStyle w:val="Hyperlink"/>
            <w:noProof/>
          </w:rPr>
          <w:t>2.4.</w:t>
        </w:r>
        <w:r>
          <w:rPr>
            <w:rFonts w:asciiTheme="minorHAnsi" w:eastAsiaTheme="minorEastAsia" w:hAnsiTheme="minorHAnsi" w:cstheme="minorBidi"/>
            <w:noProof/>
            <w:sz w:val="22"/>
            <w:lang w:eastAsia="pt-BR"/>
          </w:rPr>
          <w:tab/>
        </w:r>
        <w:r w:rsidRPr="0010505A">
          <w:rPr>
            <w:rStyle w:val="Hyperlink"/>
            <w:noProof/>
          </w:rPr>
          <w:t>Sistema de Limpeza Urbana e Manejo de Resíduos Sólidos</w:t>
        </w:r>
        <w:r>
          <w:rPr>
            <w:noProof/>
            <w:webHidden/>
          </w:rPr>
          <w:tab/>
        </w:r>
        <w:r>
          <w:rPr>
            <w:noProof/>
            <w:webHidden/>
          </w:rPr>
          <w:fldChar w:fldCharType="begin"/>
        </w:r>
        <w:r>
          <w:rPr>
            <w:noProof/>
            <w:webHidden/>
          </w:rPr>
          <w:instrText xml:space="preserve"> PAGEREF _Toc497469013 \h </w:instrText>
        </w:r>
        <w:r>
          <w:rPr>
            <w:noProof/>
            <w:webHidden/>
          </w:rPr>
        </w:r>
        <w:r>
          <w:rPr>
            <w:noProof/>
            <w:webHidden/>
          </w:rPr>
          <w:fldChar w:fldCharType="separate"/>
        </w:r>
        <w:r>
          <w:rPr>
            <w:noProof/>
            <w:webHidden/>
          </w:rPr>
          <w:t>88</w:t>
        </w:r>
        <w:r>
          <w:rPr>
            <w:noProof/>
            <w:webHidden/>
          </w:rPr>
          <w:fldChar w:fldCharType="end"/>
        </w:r>
      </w:hyperlink>
    </w:p>
    <w:p w:rsidR="004D1D76" w:rsidRDefault="004D1D76">
      <w:pPr>
        <w:pStyle w:val="Sumrio3"/>
        <w:tabs>
          <w:tab w:val="left" w:pos="1418"/>
        </w:tabs>
        <w:rPr>
          <w:rFonts w:asciiTheme="minorHAnsi" w:eastAsiaTheme="minorEastAsia" w:hAnsiTheme="minorHAnsi" w:cstheme="minorBidi"/>
          <w:i w:val="0"/>
          <w:noProof/>
          <w:sz w:val="22"/>
          <w:lang w:eastAsia="pt-BR"/>
        </w:rPr>
      </w:pPr>
      <w:hyperlink w:anchor="_Toc497469014" w:history="1">
        <w:r w:rsidRPr="0010505A">
          <w:rPr>
            <w:rStyle w:val="Hyperlink"/>
            <w:noProof/>
          </w:rPr>
          <w:t>2.4.1.</w:t>
        </w:r>
        <w:r>
          <w:rPr>
            <w:rFonts w:asciiTheme="minorHAnsi" w:eastAsiaTheme="minorEastAsia" w:hAnsiTheme="minorHAnsi" w:cstheme="minorBidi"/>
            <w:i w:val="0"/>
            <w:noProof/>
            <w:sz w:val="22"/>
            <w:lang w:eastAsia="pt-BR"/>
          </w:rPr>
          <w:tab/>
        </w:r>
        <w:r w:rsidRPr="0010505A">
          <w:rPr>
            <w:rStyle w:val="Hyperlink"/>
            <w:noProof/>
          </w:rPr>
          <w:t>Projeções e estimativa de demanda do Sistema de Limpeza Urbana e Manejo de Resíduos Sólidos</w:t>
        </w:r>
        <w:r>
          <w:rPr>
            <w:noProof/>
            <w:webHidden/>
          </w:rPr>
          <w:tab/>
        </w:r>
        <w:r>
          <w:rPr>
            <w:noProof/>
            <w:webHidden/>
          </w:rPr>
          <w:fldChar w:fldCharType="begin"/>
        </w:r>
        <w:r>
          <w:rPr>
            <w:noProof/>
            <w:webHidden/>
          </w:rPr>
          <w:instrText xml:space="preserve"> PAGEREF _Toc497469014 \h </w:instrText>
        </w:r>
        <w:r>
          <w:rPr>
            <w:noProof/>
            <w:webHidden/>
          </w:rPr>
        </w:r>
        <w:r>
          <w:rPr>
            <w:noProof/>
            <w:webHidden/>
          </w:rPr>
          <w:fldChar w:fldCharType="separate"/>
        </w:r>
        <w:r>
          <w:rPr>
            <w:noProof/>
            <w:webHidden/>
          </w:rPr>
          <w:t>88</w:t>
        </w:r>
        <w:r>
          <w:rPr>
            <w:noProof/>
            <w:webHidden/>
          </w:rPr>
          <w:fldChar w:fldCharType="end"/>
        </w:r>
      </w:hyperlink>
    </w:p>
    <w:p w:rsidR="004D1D76" w:rsidRDefault="004D1D76">
      <w:pPr>
        <w:pStyle w:val="Sumrio4"/>
        <w:tabs>
          <w:tab w:val="left" w:pos="1805"/>
        </w:tabs>
        <w:rPr>
          <w:rFonts w:asciiTheme="minorHAnsi" w:eastAsiaTheme="minorEastAsia" w:hAnsiTheme="minorHAnsi" w:cstheme="minorBidi"/>
          <w:noProof/>
        </w:rPr>
      </w:pPr>
      <w:hyperlink w:anchor="_Toc497469015" w:history="1">
        <w:r w:rsidRPr="0010505A">
          <w:rPr>
            <w:rStyle w:val="Hyperlink"/>
            <w:noProof/>
          </w:rPr>
          <w:t>2.4.1.1.</w:t>
        </w:r>
        <w:r>
          <w:rPr>
            <w:rFonts w:asciiTheme="minorHAnsi" w:eastAsiaTheme="minorEastAsia" w:hAnsiTheme="minorHAnsi" w:cstheme="minorBidi"/>
            <w:noProof/>
          </w:rPr>
          <w:tab/>
        </w:r>
        <w:r w:rsidRPr="0010505A">
          <w:rPr>
            <w:rStyle w:val="Hyperlink"/>
            <w:noProof/>
          </w:rPr>
          <w:t>Resíduos sólidos domiciliares</w:t>
        </w:r>
        <w:r>
          <w:rPr>
            <w:noProof/>
            <w:webHidden/>
          </w:rPr>
          <w:tab/>
        </w:r>
        <w:r>
          <w:rPr>
            <w:noProof/>
            <w:webHidden/>
          </w:rPr>
          <w:fldChar w:fldCharType="begin"/>
        </w:r>
        <w:r>
          <w:rPr>
            <w:noProof/>
            <w:webHidden/>
          </w:rPr>
          <w:instrText xml:space="preserve"> PAGEREF _Toc497469015 \h </w:instrText>
        </w:r>
        <w:r>
          <w:rPr>
            <w:noProof/>
            <w:webHidden/>
          </w:rPr>
        </w:r>
        <w:r>
          <w:rPr>
            <w:noProof/>
            <w:webHidden/>
          </w:rPr>
          <w:fldChar w:fldCharType="separate"/>
        </w:r>
        <w:r>
          <w:rPr>
            <w:noProof/>
            <w:webHidden/>
          </w:rPr>
          <w:t>88</w:t>
        </w:r>
        <w:r>
          <w:rPr>
            <w:noProof/>
            <w:webHidden/>
          </w:rPr>
          <w:fldChar w:fldCharType="end"/>
        </w:r>
      </w:hyperlink>
    </w:p>
    <w:p w:rsidR="004D1D76" w:rsidRDefault="004D1D76">
      <w:pPr>
        <w:pStyle w:val="Sumrio4"/>
        <w:tabs>
          <w:tab w:val="left" w:pos="1805"/>
        </w:tabs>
        <w:rPr>
          <w:rFonts w:asciiTheme="minorHAnsi" w:eastAsiaTheme="minorEastAsia" w:hAnsiTheme="minorHAnsi" w:cstheme="minorBidi"/>
          <w:noProof/>
        </w:rPr>
      </w:pPr>
      <w:hyperlink w:anchor="_Toc497469016" w:history="1">
        <w:r w:rsidRPr="0010505A">
          <w:rPr>
            <w:rStyle w:val="Hyperlink"/>
            <w:noProof/>
          </w:rPr>
          <w:t>2.4.1.2.</w:t>
        </w:r>
        <w:r>
          <w:rPr>
            <w:rFonts w:asciiTheme="minorHAnsi" w:eastAsiaTheme="minorEastAsia" w:hAnsiTheme="minorHAnsi" w:cstheme="minorBidi"/>
            <w:noProof/>
          </w:rPr>
          <w:tab/>
        </w:r>
        <w:r w:rsidRPr="0010505A">
          <w:rPr>
            <w:rStyle w:val="Hyperlink"/>
            <w:noProof/>
          </w:rPr>
          <w:t>Resíduos recicláveis</w:t>
        </w:r>
        <w:r>
          <w:rPr>
            <w:noProof/>
            <w:webHidden/>
          </w:rPr>
          <w:tab/>
        </w:r>
        <w:r>
          <w:rPr>
            <w:noProof/>
            <w:webHidden/>
          </w:rPr>
          <w:fldChar w:fldCharType="begin"/>
        </w:r>
        <w:r>
          <w:rPr>
            <w:noProof/>
            <w:webHidden/>
          </w:rPr>
          <w:instrText xml:space="preserve"> PAGEREF _Toc497469016 \h </w:instrText>
        </w:r>
        <w:r>
          <w:rPr>
            <w:noProof/>
            <w:webHidden/>
          </w:rPr>
        </w:r>
        <w:r>
          <w:rPr>
            <w:noProof/>
            <w:webHidden/>
          </w:rPr>
          <w:fldChar w:fldCharType="separate"/>
        </w:r>
        <w:r>
          <w:rPr>
            <w:noProof/>
            <w:webHidden/>
          </w:rPr>
          <w:t>89</w:t>
        </w:r>
        <w:r>
          <w:rPr>
            <w:noProof/>
            <w:webHidden/>
          </w:rPr>
          <w:fldChar w:fldCharType="end"/>
        </w:r>
      </w:hyperlink>
    </w:p>
    <w:p w:rsidR="004D1D76" w:rsidRDefault="004D1D76">
      <w:pPr>
        <w:pStyle w:val="Sumrio4"/>
        <w:tabs>
          <w:tab w:val="left" w:pos="1805"/>
        </w:tabs>
        <w:rPr>
          <w:rFonts w:asciiTheme="minorHAnsi" w:eastAsiaTheme="minorEastAsia" w:hAnsiTheme="minorHAnsi" w:cstheme="minorBidi"/>
          <w:noProof/>
        </w:rPr>
      </w:pPr>
      <w:hyperlink w:anchor="_Toc497469017" w:history="1">
        <w:r w:rsidRPr="0010505A">
          <w:rPr>
            <w:rStyle w:val="Hyperlink"/>
            <w:noProof/>
          </w:rPr>
          <w:t>2.4.1.3.</w:t>
        </w:r>
        <w:r>
          <w:rPr>
            <w:rFonts w:asciiTheme="minorHAnsi" w:eastAsiaTheme="minorEastAsia" w:hAnsiTheme="minorHAnsi" w:cstheme="minorBidi"/>
            <w:noProof/>
          </w:rPr>
          <w:tab/>
        </w:r>
        <w:r w:rsidRPr="0010505A">
          <w:rPr>
            <w:rStyle w:val="Hyperlink"/>
            <w:noProof/>
          </w:rPr>
          <w:t>Resíduos orgânicos</w:t>
        </w:r>
        <w:r>
          <w:rPr>
            <w:noProof/>
            <w:webHidden/>
          </w:rPr>
          <w:tab/>
        </w:r>
        <w:r>
          <w:rPr>
            <w:noProof/>
            <w:webHidden/>
          </w:rPr>
          <w:fldChar w:fldCharType="begin"/>
        </w:r>
        <w:r>
          <w:rPr>
            <w:noProof/>
            <w:webHidden/>
          </w:rPr>
          <w:instrText xml:space="preserve"> PAGEREF _Toc497469017 \h </w:instrText>
        </w:r>
        <w:r>
          <w:rPr>
            <w:noProof/>
            <w:webHidden/>
          </w:rPr>
        </w:r>
        <w:r>
          <w:rPr>
            <w:noProof/>
            <w:webHidden/>
          </w:rPr>
          <w:fldChar w:fldCharType="separate"/>
        </w:r>
        <w:r>
          <w:rPr>
            <w:noProof/>
            <w:webHidden/>
          </w:rPr>
          <w:t>91</w:t>
        </w:r>
        <w:r>
          <w:rPr>
            <w:noProof/>
            <w:webHidden/>
          </w:rPr>
          <w:fldChar w:fldCharType="end"/>
        </w:r>
      </w:hyperlink>
    </w:p>
    <w:p w:rsidR="004D1D76" w:rsidRDefault="004D1D76">
      <w:pPr>
        <w:pStyle w:val="Sumrio4"/>
        <w:tabs>
          <w:tab w:val="left" w:pos="1805"/>
        </w:tabs>
        <w:rPr>
          <w:rFonts w:asciiTheme="minorHAnsi" w:eastAsiaTheme="minorEastAsia" w:hAnsiTheme="minorHAnsi" w:cstheme="minorBidi"/>
          <w:noProof/>
        </w:rPr>
      </w:pPr>
      <w:hyperlink w:anchor="_Toc497469018" w:history="1">
        <w:r w:rsidRPr="0010505A">
          <w:rPr>
            <w:rStyle w:val="Hyperlink"/>
            <w:noProof/>
          </w:rPr>
          <w:t>2.4.1.4.</w:t>
        </w:r>
        <w:r>
          <w:rPr>
            <w:rFonts w:asciiTheme="minorHAnsi" w:eastAsiaTheme="minorEastAsia" w:hAnsiTheme="minorHAnsi" w:cstheme="minorBidi"/>
            <w:noProof/>
          </w:rPr>
          <w:tab/>
        </w:r>
        <w:r w:rsidRPr="0010505A">
          <w:rPr>
            <w:rStyle w:val="Hyperlink"/>
            <w:noProof/>
          </w:rPr>
          <w:t>Rejeitos</w:t>
        </w:r>
        <w:r>
          <w:rPr>
            <w:noProof/>
            <w:webHidden/>
          </w:rPr>
          <w:tab/>
        </w:r>
        <w:r>
          <w:rPr>
            <w:noProof/>
            <w:webHidden/>
          </w:rPr>
          <w:fldChar w:fldCharType="begin"/>
        </w:r>
        <w:r>
          <w:rPr>
            <w:noProof/>
            <w:webHidden/>
          </w:rPr>
          <w:instrText xml:space="preserve"> PAGEREF _Toc497469018 \h </w:instrText>
        </w:r>
        <w:r>
          <w:rPr>
            <w:noProof/>
            <w:webHidden/>
          </w:rPr>
        </w:r>
        <w:r>
          <w:rPr>
            <w:noProof/>
            <w:webHidden/>
          </w:rPr>
          <w:fldChar w:fldCharType="separate"/>
        </w:r>
        <w:r>
          <w:rPr>
            <w:noProof/>
            <w:webHidden/>
          </w:rPr>
          <w:t>92</w:t>
        </w:r>
        <w:r>
          <w:rPr>
            <w:noProof/>
            <w:webHidden/>
          </w:rPr>
          <w:fldChar w:fldCharType="end"/>
        </w:r>
      </w:hyperlink>
    </w:p>
    <w:p w:rsidR="004D1D76" w:rsidRDefault="004D1D76">
      <w:pPr>
        <w:pStyle w:val="Sumrio3"/>
        <w:tabs>
          <w:tab w:val="left" w:pos="1418"/>
        </w:tabs>
        <w:rPr>
          <w:rFonts w:asciiTheme="minorHAnsi" w:eastAsiaTheme="minorEastAsia" w:hAnsiTheme="minorHAnsi" w:cstheme="minorBidi"/>
          <w:i w:val="0"/>
          <w:noProof/>
          <w:sz w:val="22"/>
          <w:lang w:eastAsia="pt-BR"/>
        </w:rPr>
      </w:pPr>
      <w:hyperlink w:anchor="_Toc497469019" w:history="1">
        <w:r w:rsidRPr="0010505A">
          <w:rPr>
            <w:rStyle w:val="Hyperlink"/>
            <w:noProof/>
          </w:rPr>
          <w:t>2.4.2.</w:t>
        </w:r>
        <w:r>
          <w:rPr>
            <w:rFonts w:asciiTheme="minorHAnsi" w:eastAsiaTheme="minorEastAsia" w:hAnsiTheme="minorHAnsi" w:cstheme="minorBidi"/>
            <w:i w:val="0"/>
            <w:noProof/>
            <w:sz w:val="22"/>
            <w:lang w:eastAsia="pt-BR"/>
          </w:rPr>
          <w:tab/>
        </w:r>
        <w:r w:rsidRPr="0010505A">
          <w:rPr>
            <w:rStyle w:val="Hyperlink"/>
            <w:noProof/>
          </w:rPr>
          <w:t>Cálculo dos custos da prestação dos serviços</w:t>
        </w:r>
        <w:r>
          <w:rPr>
            <w:noProof/>
            <w:webHidden/>
          </w:rPr>
          <w:tab/>
        </w:r>
        <w:r>
          <w:rPr>
            <w:noProof/>
            <w:webHidden/>
          </w:rPr>
          <w:fldChar w:fldCharType="begin"/>
        </w:r>
        <w:r>
          <w:rPr>
            <w:noProof/>
            <w:webHidden/>
          </w:rPr>
          <w:instrText xml:space="preserve"> PAGEREF _Toc497469019 \h </w:instrText>
        </w:r>
        <w:r>
          <w:rPr>
            <w:noProof/>
            <w:webHidden/>
          </w:rPr>
        </w:r>
        <w:r>
          <w:rPr>
            <w:noProof/>
            <w:webHidden/>
          </w:rPr>
          <w:fldChar w:fldCharType="separate"/>
        </w:r>
        <w:r>
          <w:rPr>
            <w:noProof/>
            <w:webHidden/>
          </w:rPr>
          <w:t>94</w:t>
        </w:r>
        <w:r>
          <w:rPr>
            <w:noProof/>
            <w:webHidden/>
          </w:rPr>
          <w:fldChar w:fldCharType="end"/>
        </w:r>
      </w:hyperlink>
    </w:p>
    <w:p w:rsidR="004D1D76" w:rsidRDefault="004D1D76">
      <w:pPr>
        <w:pStyle w:val="Sumrio4"/>
        <w:tabs>
          <w:tab w:val="left" w:pos="1805"/>
        </w:tabs>
        <w:rPr>
          <w:rFonts w:asciiTheme="minorHAnsi" w:eastAsiaTheme="minorEastAsia" w:hAnsiTheme="minorHAnsi" w:cstheme="minorBidi"/>
          <w:noProof/>
        </w:rPr>
      </w:pPr>
      <w:hyperlink w:anchor="_Toc497469020" w:history="1">
        <w:r w:rsidRPr="0010505A">
          <w:rPr>
            <w:rStyle w:val="Hyperlink"/>
            <w:noProof/>
          </w:rPr>
          <w:t>2.4.2.1.</w:t>
        </w:r>
        <w:r>
          <w:rPr>
            <w:rFonts w:asciiTheme="minorHAnsi" w:eastAsiaTheme="minorEastAsia" w:hAnsiTheme="minorHAnsi" w:cstheme="minorBidi"/>
            <w:noProof/>
          </w:rPr>
          <w:tab/>
        </w:r>
        <w:r w:rsidRPr="0010505A">
          <w:rPr>
            <w:rStyle w:val="Hyperlink"/>
            <w:noProof/>
          </w:rPr>
          <w:t>Panorama do setor</w:t>
        </w:r>
        <w:r>
          <w:rPr>
            <w:noProof/>
            <w:webHidden/>
          </w:rPr>
          <w:tab/>
        </w:r>
        <w:r>
          <w:rPr>
            <w:noProof/>
            <w:webHidden/>
          </w:rPr>
          <w:fldChar w:fldCharType="begin"/>
        </w:r>
        <w:r>
          <w:rPr>
            <w:noProof/>
            <w:webHidden/>
          </w:rPr>
          <w:instrText xml:space="preserve"> PAGEREF _Toc497469020 \h </w:instrText>
        </w:r>
        <w:r>
          <w:rPr>
            <w:noProof/>
            <w:webHidden/>
          </w:rPr>
        </w:r>
        <w:r>
          <w:rPr>
            <w:noProof/>
            <w:webHidden/>
          </w:rPr>
          <w:fldChar w:fldCharType="separate"/>
        </w:r>
        <w:r>
          <w:rPr>
            <w:noProof/>
            <w:webHidden/>
          </w:rPr>
          <w:t>94</w:t>
        </w:r>
        <w:r>
          <w:rPr>
            <w:noProof/>
            <w:webHidden/>
          </w:rPr>
          <w:fldChar w:fldCharType="end"/>
        </w:r>
      </w:hyperlink>
    </w:p>
    <w:p w:rsidR="004D1D76" w:rsidRDefault="004D1D76">
      <w:pPr>
        <w:pStyle w:val="Sumrio4"/>
        <w:tabs>
          <w:tab w:val="left" w:pos="1805"/>
        </w:tabs>
        <w:rPr>
          <w:rFonts w:asciiTheme="minorHAnsi" w:eastAsiaTheme="minorEastAsia" w:hAnsiTheme="minorHAnsi" w:cstheme="minorBidi"/>
          <w:noProof/>
        </w:rPr>
      </w:pPr>
      <w:hyperlink w:anchor="_Toc497469021" w:history="1">
        <w:r w:rsidRPr="0010505A">
          <w:rPr>
            <w:rStyle w:val="Hyperlink"/>
            <w:noProof/>
          </w:rPr>
          <w:t>2.4.2.2.</w:t>
        </w:r>
        <w:r>
          <w:rPr>
            <w:rFonts w:asciiTheme="minorHAnsi" w:eastAsiaTheme="minorEastAsia" w:hAnsiTheme="minorHAnsi" w:cstheme="minorBidi"/>
            <w:noProof/>
          </w:rPr>
          <w:tab/>
        </w:r>
        <w:r w:rsidRPr="0010505A">
          <w:rPr>
            <w:rStyle w:val="Hyperlink"/>
            <w:noProof/>
          </w:rPr>
          <w:t>Princípio da isonomia</w:t>
        </w:r>
        <w:r>
          <w:rPr>
            <w:noProof/>
            <w:webHidden/>
          </w:rPr>
          <w:tab/>
        </w:r>
        <w:r>
          <w:rPr>
            <w:noProof/>
            <w:webHidden/>
          </w:rPr>
          <w:fldChar w:fldCharType="begin"/>
        </w:r>
        <w:r>
          <w:rPr>
            <w:noProof/>
            <w:webHidden/>
          </w:rPr>
          <w:instrText xml:space="preserve"> PAGEREF _Toc497469021 \h </w:instrText>
        </w:r>
        <w:r>
          <w:rPr>
            <w:noProof/>
            <w:webHidden/>
          </w:rPr>
        </w:r>
        <w:r>
          <w:rPr>
            <w:noProof/>
            <w:webHidden/>
          </w:rPr>
          <w:fldChar w:fldCharType="separate"/>
        </w:r>
        <w:r>
          <w:rPr>
            <w:noProof/>
            <w:webHidden/>
          </w:rPr>
          <w:t>95</w:t>
        </w:r>
        <w:r>
          <w:rPr>
            <w:noProof/>
            <w:webHidden/>
          </w:rPr>
          <w:fldChar w:fldCharType="end"/>
        </w:r>
      </w:hyperlink>
    </w:p>
    <w:p w:rsidR="004D1D76" w:rsidRDefault="004D1D76">
      <w:pPr>
        <w:pStyle w:val="Sumrio4"/>
        <w:tabs>
          <w:tab w:val="left" w:pos="1805"/>
        </w:tabs>
        <w:rPr>
          <w:rFonts w:asciiTheme="minorHAnsi" w:eastAsiaTheme="minorEastAsia" w:hAnsiTheme="minorHAnsi" w:cstheme="minorBidi"/>
          <w:noProof/>
        </w:rPr>
      </w:pPr>
      <w:hyperlink w:anchor="_Toc497469022" w:history="1">
        <w:r w:rsidRPr="0010505A">
          <w:rPr>
            <w:rStyle w:val="Hyperlink"/>
            <w:noProof/>
          </w:rPr>
          <w:t>2.4.2.3.</w:t>
        </w:r>
        <w:r>
          <w:rPr>
            <w:rFonts w:asciiTheme="minorHAnsi" w:eastAsiaTheme="minorEastAsia" w:hAnsiTheme="minorHAnsi" w:cstheme="minorBidi"/>
            <w:noProof/>
          </w:rPr>
          <w:tab/>
        </w:r>
        <w:r w:rsidRPr="0010505A">
          <w:rPr>
            <w:rStyle w:val="Hyperlink"/>
            <w:noProof/>
          </w:rPr>
          <w:t>Princípio da capacidade contributiva</w:t>
        </w:r>
        <w:r>
          <w:rPr>
            <w:noProof/>
            <w:webHidden/>
          </w:rPr>
          <w:tab/>
        </w:r>
        <w:r>
          <w:rPr>
            <w:noProof/>
            <w:webHidden/>
          </w:rPr>
          <w:fldChar w:fldCharType="begin"/>
        </w:r>
        <w:r>
          <w:rPr>
            <w:noProof/>
            <w:webHidden/>
          </w:rPr>
          <w:instrText xml:space="preserve"> PAGEREF _Toc497469022 \h </w:instrText>
        </w:r>
        <w:r>
          <w:rPr>
            <w:noProof/>
            <w:webHidden/>
          </w:rPr>
        </w:r>
        <w:r>
          <w:rPr>
            <w:noProof/>
            <w:webHidden/>
          </w:rPr>
          <w:fldChar w:fldCharType="separate"/>
        </w:r>
        <w:r>
          <w:rPr>
            <w:noProof/>
            <w:webHidden/>
          </w:rPr>
          <w:t>95</w:t>
        </w:r>
        <w:r>
          <w:rPr>
            <w:noProof/>
            <w:webHidden/>
          </w:rPr>
          <w:fldChar w:fldCharType="end"/>
        </w:r>
      </w:hyperlink>
    </w:p>
    <w:p w:rsidR="004D1D76" w:rsidRDefault="004D1D76">
      <w:pPr>
        <w:pStyle w:val="Sumrio4"/>
        <w:tabs>
          <w:tab w:val="left" w:pos="1805"/>
        </w:tabs>
        <w:rPr>
          <w:rFonts w:asciiTheme="minorHAnsi" w:eastAsiaTheme="minorEastAsia" w:hAnsiTheme="minorHAnsi" w:cstheme="minorBidi"/>
          <w:noProof/>
        </w:rPr>
      </w:pPr>
      <w:hyperlink w:anchor="_Toc497469023" w:history="1">
        <w:r w:rsidRPr="0010505A">
          <w:rPr>
            <w:rStyle w:val="Hyperlink"/>
            <w:noProof/>
          </w:rPr>
          <w:t>2.4.2.4.</w:t>
        </w:r>
        <w:r>
          <w:rPr>
            <w:rFonts w:asciiTheme="minorHAnsi" w:eastAsiaTheme="minorEastAsia" w:hAnsiTheme="minorHAnsi" w:cstheme="minorBidi"/>
            <w:noProof/>
          </w:rPr>
          <w:tab/>
        </w:r>
        <w:r w:rsidRPr="0010505A">
          <w:rPr>
            <w:rStyle w:val="Hyperlink"/>
            <w:noProof/>
          </w:rPr>
          <w:t>Metodologias de cálculo da taxa de coleta de lixo</w:t>
        </w:r>
        <w:r>
          <w:rPr>
            <w:noProof/>
            <w:webHidden/>
          </w:rPr>
          <w:tab/>
        </w:r>
        <w:r>
          <w:rPr>
            <w:noProof/>
            <w:webHidden/>
          </w:rPr>
          <w:fldChar w:fldCharType="begin"/>
        </w:r>
        <w:r>
          <w:rPr>
            <w:noProof/>
            <w:webHidden/>
          </w:rPr>
          <w:instrText xml:space="preserve"> PAGEREF _Toc497469023 \h </w:instrText>
        </w:r>
        <w:r>
          <w:rPr>
            <w:noProof/>
            <w:webHidden/>
          </w:rPr>
        </w:r>
        <w:r>
          <w:rPr>
            <w:noProof/>
            <w:webHidden/>
          </w:rPr>
          <w:fldChar w:fldCharType="separate"/>
        </w:r>
        <w:r>
          <w:rPr>
            <w:noProof/>
            <w:webHidden/>
          </w:rPr>
          <w:t>96</w:t>
        </w:r>
        <w:r>
          <w:rPr>
            <w:noProof/>
            <w:webHidden/>
          </w:rPr>
          <w:fldChar w:fldCharType="end"/>
        </w:r>
      </w:hyperlink>
    </w:p>
    <w:p w:rsidR="004D1D76" w:rsidRDefault="004D1D76">
      <w:pPr>
        <w:pStyle w:val="Sumrio5"/>
        <w:tabs>
          <w:tab w:val="left" w:pos="2271"/>
        </w:tabs>
        <w:rPr>
          <w:rFonts w:asciiTheme="minorHAnsi" w:eastAsiaTheme="minorEastAsia" w:hAnsiTheme="minorHAnsi" w:cstheme="minorBidi"/>
          <w:i w:val="0"/>
          <w:noProof/>
        </w:rPr>
      </w:pPr>
      <w:hyperlink w:anchor="_Toc497469024" w:history="1">
        <w:r w:rsidRPr="0010505A">
          <w:rPr>
            <w:rStyle w:val="Hyperlink"/>
            <w:noProof/>
          </w:rPr>
          <w:t>2.4.2.4.1.</w:t>
        </w:r>
        <w:r>
          <w:rPr>
            <w:rFonts w:asciiTheme="minorHAnsi" w:eastAsiaTheme="minorEastAsia" w:hAnsiTheme="minorHAnsi" w:cstheme="minorBidi"/>
            <w:i w:val="0"/>
            <w:noProof/>
          </w:rPr>
          <w:tab/>
        </w:r>
        <w:r w:rsidRPr="0010505A">
          <w:rPr>
            <w:rStyle w:val="Hyperlink"/>
            <w:noProof/>
          </w:rPr>
          <w:t>Rateio dos custos pelo número de economias</w:t>
        </w:r>
        <w:r>
          <w:rPr>
            <w:noProof/>
            <w:webHidden/>
          </w:rPr>
          <w:tab/>
        </w:r>
        <w:r>
          <w:rPr>
            <w:noProof/>
            <w:webHidden/>
          </w:rPr>
          <w:fldChar w:fldCharType="begin"/>
        </w:r>
        <w:r>
          <w:rPr>
            <w:noProof/>
            <w:webHidden/>
          </w:rPr>
          <w:instrText xml:space="preserve"> PAGEREF _Toc497469024 \h </w:instrText>
        </w:r>
        <w:r>
          <w:rPr>
            <w:noProof/>
            <w:webHidden/>
          </w:rPr>
        </w:r>
        <w:r>
          <w:rPr>
            <w:noProof/>
            <w:webHidden/>
          </w:rPr>
          <w:fldChar w:fldCharType="separate"/>
        </w:r>
        <w:r>
          <w:rPr>
            <w:noProof/>
            <w:webHidden/>
          </w:rPr>
          <w:t>97</w:t>
        </w:r>
        <w:r>
          <w:rPr>
            <w:noProof/>
            <w:webHidden/>
          </w:rPr>
          <w:fldChar w:fldCharType="end"/>
        </w:r>
      </w:hyperlink>
    </w:p>
    <w:p w:rsidR="004D1D76" w:rsidRDefault="004D1D76">
      <w:pPr>
        <w:pStyle w:val="Sumrio5"/>
        <w:tabs>
          <w:tab w:val="left" w:pos="2271"/>
        </w:tabs>
        <w:rPr>
          <w:rFonts w:asciiTheme="minorHAnsi" w:eastAsiaTheme="minorEastAsia" w:hAnsiTheme="minorHAnsi" w:cstheme="minorBidi"/>
          <w:i w:val="0"/>
          <w:noProof/>
        </w:rPr>
      </w:pPr>
      <w:hyperlink w:anchor="_Toc497469025" w:history="1">
        <w:r w:rsidRPr="0010505A">
          <w:rPr>
            <w:rStyle w:val="Hyperlink"/>
            <w:noProof/>
          </w:rPr>
          <w:t>2.4.2.4.2.</w:t>
        </w:r>
        <w:r>
          <w:rPr>
            <w:rFonts w:asciiTheme="minorHAnsi" w:eastAsiaTheme="minorEastAsia" w:hAnsiTheme="minorHAnsi" w:cstheme="minorBidi"/>
            <w:i w:val="0"/>
            <w:noProof/>
          </w:rPr>
          <w:tab/>
        </w:r>
        <w:r w:rsidRPr="0010505A">
          <w:rPr>
            <w:rStyle w:val="Hyperlink"/>
            <w:noProof/>
          </w:rPr>
          <w:t>Cálculo baseado na tipologia do gerador</w:t>
        </w:r>
        <w:r>
          <w:rPr>
            <w:noProof/>
            <w:webHidden/>
          </w:rPr>
          <w:tab/>
        </w:r>
        <w:r>
          <w:rPr>
            <w:noProof/>
            <w:webHidden/>
          </w:rPr>
          <w:fldChar w:fldCharType="begin"/>
        </w:r>
        <w:r>
          <w:rPr>
            <w:noProof/>
            <w:webHidden/>
          </w:rPr>
          <w:instrText xml:space="preserve"> PAGEREF _Toc497469025 \h </w:instrText>
        </w:r>
        <w:r>
          <w:rPr>
            <w:noProof/>
            <w:webHidden/>
          </w:rPr>
        </w:r>
        <w:r>
          <w:rPr>
            <w:noProof/>
            <w:webHidden/>
          </w:rPr>
          <w:fldChar w:fldCharType="separate"/>
        </w:r>
        <w:r>
          <w:rPr>
            <w:noProof/>
            <w:webHidden/>
          </w:rPr>
          <w:t>98</w:t>
        </w:r>
        <w:r>
          <w:rPr>
            <w:noProof/>
            <w:webHidden/>
          </w:rPr>
          <w:fldChar w:fldCharType="end"/>
        </w:r>
      </w:hyperlink>
    </w:p>
    <w:p w:rsidR="004D1D76" w:rsidRDefault="004D1D76">
      <w:pPr>
        <w:pStyle w:val="Sumrio5"/>
        <w:tabs>
          <w:tab w:val="left" w:pos="2271"/>
        </w:tabs>
        <w:rPr>
          <w:rFonts w:asciiTheme="minorHAnsi" w:eastAsiaTheme="minorEastAsia" w:hAnsiTheme="minorHAnsi" w:cstheme="minorBidi"/>
          <w:i w:val="0"/>
          <w:noProof/>
        </w:rPr>
      </w:pPr>
      <w:hyperlink w:anchor="_Toc497469026" w:history="1">
        <w:r w:rsidRPr="0010505A">
          <w:rPr>
            <w:rStyle w:val="Hyperlink"/>
            <w:noProof/>
          </w:rPr>
          <w:t>2.4.2.4.3.</w:t>
        </w:r>
        <w:r>
          <w:rPr>
            <w:rFonts w:asciiTheme="minorHAnsi" w:eastAsiaTheme="minorEastAsia" w:hAnsiTheme="minorHAnsi" w:cstheme="minorBidi"/>
            <w:i w:val="0"/>
            <w:noProof/>
          </w:rPr>
          <w:tab/>
        </w:r>
        <w:r w:rsidRPr="0010505A">
          <w:rPr>
            <w:rStyle w:val="Hyperlink"/>
            <w:noProof/>
          </w:rPr>
          <w:t>Cálculo baseado na área construída do imóvel</w:t>
        </w:r>
        <w:r>
          <w:rPr>
            <w:noProof/>
            <w:webHidden/>
          </w:rPr>
          <w:tab/>
        </w:r>
        <w:r>
          <w:rPr>
            <w:noProof/>
            <w:webHidden/>
          </w:rPr>
          <w:fldChar w:fldCharType="begin"/>
        </w:r>
        <w:r>
          <w:rPr>
            <w:noProof/>
            <w:webHidden/>
          </w:rPr>
          <w:instrText xml:space="preserve"> PAGEREF _Toc497469026 \h </w:instrText>
        </w:r>
        <w:r>
          <w:rPr>
            <w:noProof/>
            <w:webHidden/>
          </w:rPr>
        </w:r>
        <w:r>
          <w:rPr>
            <w:noProof/>
            <w:webHidden/>
          </w:rPr>
          <w:fldChar w:fldCharType="separate"/>
        </w:r>
        <w:r>
          <w:rPr>
            <w:noProof/>
            <w:webHidden/>
          </w:rPr>
          <w:t>100</w:t>
        </w:r>
        <w:r>
          <w:rPr>
            <w:noProof/>
            <w:webHidden/>
          </w:rPr>
          <w:fldChar w:fldCharType="end"/>
        </w:r>
      </w:hyperlink>
    </w:p>
    <w:p w:rsidR="004D1D76" w:rsidRDefault="004D1D76">
      <w:pPr>
        <w:pStyle w:val="Sumrio5"/>
        <w:tabs>
          <w:tab w:val="left" w:pos="2271"/>
        </w:tabs>
        <w:rPr>
          <w:rFonts w:asciiTheme="minorHAnsi" w:eastAsiaTheme="minorEastAsia" w:hAnsiTheme="minorHAnsi" w:cstheme="minorBidi"/>
          <w:i w:val="0"/>
          <w:noProof/>
        </w:rPr>
      </w:pPr>
      <w:hyperlink w:anchor="_Toc497469027" w:history="1">
        <w:r w:rsidRPr="0010505A">
          <w:rPr>
            <w:rStyle w:val="Hyperlink"/>
            <w:noProof/>
          </w:rPr>
          <w:t>2.4.2.4.4.</w:t>
        </w:r>
        <w:r>
          <w:rPr>
            <w:rFonts w:asciiTheme="minorHAnsi" w:eastAsiaTheme="minorEastAsia" w:hAnsiTheme="minorHAnsi" w:cstheme="minorBidi"/>
            <w:i w:val="0"/>
            <w:noProof/>
          </w:rPr>
          <w:tab/>
        </w:r>
        <w:r w:rsidRPr="0010505A">
          <w:rPr>
            <w:rStyle w:val="Hyperlink"/>
            <w:noProof/>
          </w:rPr>
          <w:t>Cálculo baseado no consumo de água</w:t>
        </w:r>
        <w:r>
          <w:rPr>
            <w:noProof/>
            <w:webHidden/>
          </w:rPr>
          <w:tab/>
        </w:r>
        <w:r>
          <w:rPr>
            <w:noProof/>
            <w:webHidden/>
          </w:rPr>
          <w:fldChar w:fldCharType="begin"/>
        </w:r>
        <w:r>
          <w:rPr>
            <w:noProof/>
            <w:webHidden/>
          </w:rPr>
          <w:instrText xml:space="preserve"> PAGEREF _Toc497469027 \h </w:instrText>
        </w:r>
        <w:r>
          <w:rPr>
            <w:noProof/>
            <w:webHidden/>
          </w:rPr>
        </w:r>
        <w:r>
          <w:rPr>
            <w:noProof/>
            <w:webHidden/>
          </w:rPr>
          <w:fldChar w:fldCharType="separate"/>
        </w:r>
        <w:r>
          <w:rPr>
            <w:noProof/>
            <w:webHidden/>
          </w:rPr>
          <w:t>101</w:t>
        </w:r>
        <w:r>
          <w:rPr>
            <w:noProof/>
            <w:webHidden/>
          </w:rPr>
          <w:fldChar w:fldCharType="end"/>
        </w:r>
      </w:hyperlink>
    </w:p>
    <w:p w:rsidR="004D1D76" w:rsidRDefault="004D1D76">
      <w:pPr>
        <w:pStyle w:val="Sumrio5"/>
        <w:tabs>
          <w:tab w:val="left" w:pos="2271"/>
        </w:tabs>
        <w:rPr>
          <w:rFonts w:asciiTheme="minorHAnsi" w:eastAsiaTheme="minorEastAsia" w:hAnsiTheme="minorHAnsi" w:cstheme="minorBidi"/>
          <w:i w:val="0"/>
          <w:noProof/>
        </w:rPr>
      </w:pPr>
      <w:hyperlink w:anchor="_Toc497469028" w:history="1">
        <w:r w:rsidRPr="0010505A">
          <w:rPr>
            <w:rStyle w:val="Hyperlink"/>
            <w:noProof/>
          </w:rPr>
          <w:t>2.4.2.4.5.</w:t>
        </w:r>
        <w:r>
          <w:rPr>
            <w:rFonts w:asciiTheme="minorHAnsi" w:eastAsiaTheme="minorEastAsia" w:hAnsiTheme="minorHAnsi" w:cstheme="minorBidi"/>
            <w:i w:val="0"/>
            <w:noProof/>
          </w:rPr>
          <w:tab/>
        </w:r>
        <w:r w:rsidRPr="0010505A">
          <w:rPr>
            <w:rStyle w:val="Hyperlink"/>
            <w:noProof/>
          </w:rPr>
          <w:t>Cálculo alternativo baseado no consumo de água</w:t>
        </w:r>
        <w:r>
          <w:rPr>
            <w:noProof/>
            <w:webHidden/>
          </w:rPr>
          <w:tab/>
        </w:r>
        <w:r>
          <w:rPr>
            <w:noProof/>
            <w:webHidden/>
          </w:rPr>
          <w:fldChar w:fldCharType="begin"/>
        </w:r>
        <w:r>
          <w:rPr>
            <w:noProof/>
            <w:webHidden/>
          </w:rPr>
          <w:instrText xml:space="preserve"> PAGEREF _Toc497469028 \h </w:instrText>
        </w:r>
        <w:r>
          <w:rPr>
            <w:noProof/>
            <w:webHidden/>
          </w:rPr>
        </w:r>
        <w:r>
          <w:rPr>
            <w:noProof/>
            <w:webHidden/>
          </w:rPr>
          <w:fldChar w:fldCharType="separate"/>
        </w:r>
        <w:r>
          <w:rPr>
            <w:noProof/>
            <w:webHidden/>
          </w:rPr>
          <w:t>102</w:t>
        </w:r>
        <w:r>
          <w:rPr>
            <w:noProof/>
            <w:webHidden/>
          </w:rPr>
          <w:fldChar w:fldCharType="end"/>
        </w:r>
      </w:hyperlink>
    </w:p>
    <w:p w:rsidR="004D1D76" w:rsidRDefault="004D1D76">
      <w:pPr>
        <w:pStyle w:val="Sumrio4"/>
        <w:tabs>
          <w:tab w:val="left" w:pos="1805"/>
        </w:tabs>
        <w:rPr>
          <w:rFonts w:asciiTheme="minorHAnsi" w:eastAsiaTheme="minorEastAsia" w:hAnsiTheme="minorHAnsi" w:cstheme="minorBidi"/>
          <w:noProof/>
        </w:rPr>
      </w:pPr>
      <w:hyperlink w:anchor="_Toc497469029" w:history="1">
        <w:r w:rsidRPr="0010505A">
          <w:rPr>
            <w:rStyle w:val="Hyperlink"/>
            <w:noProof/>
          </w:rPr>
          <w:t>2.4.2.5.</w:t>
        </w:r>
        <w:r>
          <w:rPr>
            <w:rFonts w:asciiTheme="minorHAnsi" w:eastAsiaTheme="minorEastAsia" w:hAnsiTheme="minorHAnsi" w:cstheme="minorBidi"/>
            <w:noProof/>
          </w:rPr>
          <w:tab/>
        </w:r>
        <w:r w:rsidRPr="0010505A">
          <w:rPr>
            <w:rStyle w:val="Hyperlink"/>
            <w:noProof/>
          </w:rPr>
          <w:t>Formas de cobrança da taxa de coleta de lixo</w:t>
        </w:r>
        <w:r>
          <w:rPr>
            <w:noProof/>
            <w:webHidden/>
          </w:rPr>
          <w:tab/>
        </w:r>
        <w:r>
          <w:rPr>
            <w:noProof/>
            <w:webHidden/>
          </w:rPr>
          <w:fldChar w:fldCharType="begin"/>
        </w:r>
        <w:r>
          <w:rPr>
            <w:noProof/>
            <w:webHidden/>
          </w:rPr>
          <w:instrText xml:space="preserve"> PAGEREF _Toc497469029 \h </w:instrText>
        </w:r>
        <w:r>
          <w:rPr>
            <w:noProof/>
            <w:webHidden/>
          </w:rPr>
        </w:r>
        <w:r>
          <w:rPr>
            <w:noProof/>
            <w:webHidden/>
          </w:rPr>
          <w:fldChar w:fldCharType="separate"/>
        </w:r>
        <w:r>
          <w:rPr>
            <w:noProof/>
            <w:webHidden/>
          </w:rPr>
          <w:t>104</w:t>
        </w:r>
        <w:r>
          <w:rPr>
            <w:noProof/>
            <w:webHidden/>
          </w:rPr>
          <w:fldChar w:fldCharType="end"/>
        </w:r>
      </w:hyperlink>
    </w:p>
    <w:p w:rsidR="004D1D76" w:rsidRDefault="004D1D76">
      <w:pPr>
        <w:pStyle w:val="Sumrio3"/>
        <w:tabs>
          <w:tab w:val="left" w:pos="1418"/>
        </w:tabs>
        <w:rPr>
          <w:rFonts w:asciiTheme="minorHAnsi" w:eastAsiaTheme="minorEastAsia" w:hAnsiTheme="minorHAnsi" w:cstheme="minorBidi"/>
          <w:i w:val="0"/>
          <w:noProof/>
          <w:sz w:val="22"/>
          <w:lang w:eastAsia="pt-BR"/>
        </w:rPr>
      </w:pPr>
      <w:hyperlink w:anchor="_Toc497469030" w:history="1">
        <w:r w:rsidRPr="0010505A">
          <w:rPr>
            <w:rStyle w:val="Hyperlink"/>
            <w:noProof/>
          </w:rPr>
          <w:t>2.4.3.</w:t>
        </w:r>
        <w:r>
          <w:rPr>
            <w:rFonts w:asciiTheme="minorHAnsi" w:eastAsiaTheme="minorEastAsia" w:hAnsiTheme="minorHAnsi" w:cstheme="minorBidi"/>
            <w:i w:val="0"/>
            <w:noProof/>
            <w:sz w:val="22"/>
            <w:lang w:eastAsia="pt-BR"/>
          </w:rPr>
          <w:tab/>
        </w:r>
        <w:r w:rsidRPr="0010505A">
          <w:rPr>
            <w:rStyle w:val="Hyperlink"/>
            <w:noProof/>
          </w:rPr>
          <w:t>Identificação de áreas favoráveis à disposição final ambientalmente adequada de rejeitos</w:t>
        </w:r>
        <w:r>
          <w:rPr>
            <w:noProof/>
            <w:webHidden/>
          </w:rPr>
          <w:tab/>
        </w:r>
        <w:r>
          <w:rPr>
            <w:noProof/>
            <w:webHidden/>
          </w:rPr>
          <w:fldChar w:fldCharType="begin"/>
        </w:r>
        <w:r>
          <w:rPr>
            <w:noProof/>
            <w:webHidden/>
          </w:rPr>
          <w:instrText xml:space="preserve"> PAGEREF _Toc497469030 \h </w:instrText>
        </w:r>
        <w:r>
          <w:rPr>
            <w:noProof/>
            <w:webHidden/>
          </w:rPr>
        </w:r>
        <w:r>
          <w:rPr>
            <w:noProof/>
            <w:webHidden/>
          </w:rPr>
          <w:fldChar w:fldCharType="separate"/>
        </w:r>
        <w:r>
          <w:rPr>
            <w:noProof/>
            <w:webHidden/>
          </w:rPr>
          <w:t>105</w:t>
        </w:r>
        <w:r>
          <w:rPr>
            <w:noProof/>
            <w:webHidden/>
          </w:rPr>
          <w:fldChar w:fldCharType="end"/>
        </w:r>
      </w:hyperlink>
    </w:p>
    <w:p w:rsidR="004D1D76" w:rsidRDefault="004D1D76">
      <w:pPr>
        <w:pStyle w:val="Sumrio4"/>
        <w:tabs>
          <w:tab w:val="left" w:pos="1805"/>
        </w:tabs>
        <w:rPr>
          <w:rFonts w:asciiTheme="minorHAnsi" w:eastAsiaTheme="minorEastAsia" w:hAnsiTheme="minorHAnsi" w:cstheme="minorBidi"/>
          <w:noProof/>
        </w:rPr>
      </w:pPr>
      <w:hyperlink w:anchor="_Toc497469031" w:history="1">
        <w:r w:rsidRPr="0010505A">
          <w:rPr>
            <w:rStyle w:val="Hyperlink"/>
            <w:noProof/>
          </w:rPr>
          <w:t>2.4.3.1.</w:t>
        </w:r>
        <w:r>
          <w:rPr>
            <w:rFonts w:asciiTheme="minorHAnsi" w:eastAsiaTheme="minorEastAsia" w:hAnsiTheme="minorHAnsi" w:cstheme="minorBidi"/>
            <w:noProof/>
          </w:rPr>
          <w:tab/>
        </w:r>
        <w:r w:rsidRPr="0010505A">
          <w:rPr>
            <w:rStyle w:val="Hyperlink"/>
            <w:noProof/>
          </w:rPr>
          <w:t>Dimensionamento da área necessária para instalação de um aterro sanitário em Córrego Novo</w:t>
        </w:r>
        <w:r>
          <w:rPr>
            <w:noProof/>
            <w:webHidden/>
          </w:rPr>
          <w:tab/>
        </w:r>
        <w:r>
          <w:rPr>
            <w:noProof/>
            <w:webHidden/>
          </w:rPr>
          <w:fldChar w:fldCharType="begin"/>
        </w:r>
        <w:r>
          <w:rPr>
            <w:noProof/>
            <w:webHidden/>
          </w:rPr>
          <w:instrText xml:space="preserve"> PAGEREF _Toc497469031 \h </w:instrText>
        </w:r>
        <w:r>
          <w:rPr>
            <w:noProof/>
            <w:webHidden/>
          </w:rPr>
        </w:r>
        <w:r>
          <w:rPr>
            <w:noProof/>
            <w:webHidden/>
          </w:rPr>
          <w:fldChar w:fldCharType="separate"/>
        </w:r>
        <w:r>
          <w:rPr>
            <w:noProof/>
            <w:webHidden/>
          </w:rPr>
          <w:t>108</w:t>
        </w:r>
        <w:r>
          <w:rPr>
            <w:noProof/>
            <w:webHidden/>
          </w:rPr>
          <w:fldChar w:fldCharType="end"/>
        </w:r>
      </w:hyperlink>
    </w:p>
    <w:p w:rsidR="004D1D76" w:rsidRDefault="004D1D76">
      <w:pPr>
        <w:pStyle w:val="Sumrio3"/>
        <w:tabs>
          <w:tab w:val="left" w:pos="1418"/>
        </w:tabs>
        <w:rPr>
          <w:rFonts w:asciiTheme="minorHAnsi" w:eastAsiaTheme="minorEastAsia" w:hAnsiTheme="minorHAnsi" w:cstheme="minorBidi"/>
          <w:i w:val="0"/>
          <w:noProof/>
          <w:sz w:val="22"/>
          <w:lang w:eastAsia="pt-BR"/>
        </w:rPr>
      </w:pPr>
      <w:hyperlink w:anchor="_Toc497469032" w:history="1">
        <w:r w:rsidRPr="0010505A">
          <w:rPr>
            <w:rStyle w:val="Hyperlink"/>
            <w:noProof/>
          </w:rPr>
          <w:t>2.4.4.</w:t>
        </w:r>
        <w:r>
          <w:rPr>
            <w:rFonts w:asciiTheme="minorHAnsi" w:eastAsiaTheme="minorEastAsia" w:hAnsiTheme="minorHAnsi" w:cstheme="minorBidi"/>
            <w:i w:val="0"/>
            <w:noProof/>
            <w:sz w:val="22"/>
            <w:lang w:eastAsia="pt-BR"/>
          </w:rPr>
          <w:tab/>
        </w:r>
        <w:r w:rsidRPr="0010505A">
          <w:rPr>
            <w:rStyle w:val="Hyperlink"/>
            <w:noProof/>
          </w:rPr>
          <w:t>Critérios para escolha da área para projeto e implantação de aterro de resíduos da construção civil e de resíduos inertes.</w:t>
        </w:r>
        <w:r>
          <w:rPr>
            <w:noProof/>
            <w:webHidden/>
          </w:rPr>
          <w:tab/>
        </w:r>
        <w:r>
          <w:rPr>
            <w:noProof/>
            <w:webHidden/>
          </w:rPr>
          <w:fldChar w:fldCharType="begin"/>
        </w:r>
        <w:r>
          <w:rPr>
            <w:noProof/>
            <w:webHidden/>
          </w:rPr>
          <w:instrText xml:space="preserve"> PAGEREF _Toc497469032 \h </w:instrText>
        </w:r>
        <w:r>
          <w:rPr>
            <w:noProof/>
            <w:webHidden/>
          </w:rPr>
        </w:r>
        <w:r>
          <w:rPr>
            <w:noProof/>
            <w:webHidden/>
          </w:rPr>
          <w:fldChar w:fldCharType="separate"/>
        </w:r>
        <w:r>
          <w:rPr>
            <w:noProof/>
            <w:webHidden/>
          </w:rPr>
          <w:t>112</w:t>
        </w:r>
        <w:r>
          <w:rPr>
            <w:noProof/>
            <w:webHidden/>
          </w:rPr>
          <w:fldChar w:fldCharType="end"/>
        </w:r>
      </w:hyperlink>
    </w:p>
    <w:p w:rsidR="004D1D76" w:rsidRDefault="004D1D76">
      <w:pPr>
        <w:pStyle w:val="Sumrio3"/>
        <w:tabs>
          <w:tab w:val="left" w:pos="1418"/>
        </w:tabs>
        <w:rPr>
          <w:rFonts w:asciiTheme="minorHAnsi" w:eastAsiaTheme="minorEastAsia" w:hAnsiTheme="minorHAnsi" w:cstheme="minorBidi"/>
          <w:i w:val="0"/>
          <w:noProof/>
          <w:sz w:val="22"/>
          <w:lang w:eastAsia="pt-BR"/>
        </w:rPr>
      </w:pPr>
      <w:hyperlink w:anchor="_Toc497469033" w:history="1">
        <w:r w:rsidRPr="0010505A">
          <w:rPr>
            <w:rStyle w:val="Hyperlink"/>
            <w:noProof/>
          </w:rPr>
          <w:t>2.4.5.</w:t>
        </w:r>
        <w:r>
          <w:rPr>
            <w:rFonts w:asciiTheme="minorHAnsi" w:eastAsiaTheme="minorEastAsia" w:hAnsiTheme="minorHAnsi" w:cstheme="minorBidi"/>
            <w:i w:val="0"/>
            <w:noProof/>
            <w:sz w:val="22"/>
            <w:lang w:eastAsia="pt-BR"/>
          </w:rPr>
          <w:tab/>
        </w:r>
        <w:r w:rsidRPr="0010505A">
          <w:rPr>
            <w:rStyle w:val="Hyperlink"/>
            <w:noProof/>
          </w:rPr>
          <w:t>Análise preliminar de viabilidade de implantação de usina de reciclagem de resíduo de demolição da construção civil</w:t>
        </w:r>
        <w:r>
          <w:rPr>
            <w:noProof/>
            <w:webHidden/>
          </w:rPr>
          <w:tab/>
        </w:r>
        <w:r>
          <w:rPr>
            <w:noProof/>
            <w:webHidden/>
          </w:rPr>
          <w:fldChar w:fldCharType="begin"/>
        </w:r>
        <w:r>
          <w:rPr>
            <w:noProof/>
            <w:webHidden/>
          </w:rPr>
          <w:instrText xml:space="preserve"> PAGEREF _Toc497469033 \h </w:instrText>
        </w:r>
        <w:r>
          <w:rPr>
            <w:noProof/>
            <w:webHidden/>
          </w:rPr>
        </w:r>
        <w:r>
          <w:rPr>
            <w:noProof/>
            <w:webHidden/>
          </w:rPr>
          <w:fldChar w:fldCharType="separate"/>
        </w:r>
        <w:r>
          <w:rPr>
            <w:noProof/>
            <w:webHidden/>
          </w:rPr>
          <w:t>115</w:t>
        </w:r>
        <w:r>
          <w:rPr>
            <w:noProof/>
            <w:webHidden/>
          </w:rPr>
          <w:fldChar w:fldCharType="end"/>
        </w:r>
      </w:hyperlink>
    </w:p>
    <w:p w:rsidR="004D1D76" w:rsidRDefault="004D1D76">
      <w:pPr>
        <w:pStyle w:val="Sumrio3"/>
        <w:tabs>
          <w:tab w:val="left" w:pos="1418"/>
        </w:tabs>
        <w:rPr>
          <w:rFonts w:asciiTheme="minorHAnsi" w:eastAsiaTheme="minorEastAsia" w:hAnsiTheme="minorHAnsi" w:cstheme="minorBidi"/>
          <w:i w:val="0"/>
          <w:noProof/>
          <w:sz w:val="22"/>
          <w:lang w:eastAsia="pt-BR"/>
        </w:rPr>
      </w:pPr>
      <w:hyperlink w:anchor="_Toc497469034" w:history="1">
        <w:r w:rsidRPr="0010505A">
          <w:rPr>
            <w:rStyle w:val="Hyperlink"/>
            <w:noProof/>
          </w:rPr>
          <w:t>2.4.6.</w:t>
        </w:r>
        <w:r>
          <w:rPr>
            <w:rFonts w:asciiTheme="minorHAnsi" w:eastAsiaTheme="minorEastAsia" w:hAnsiTheme="minorHAnsi" w:cstheme="minorBidi"/>
            <w:i w:val="0"/>
            <w:noProof/>
            <w:sz w:val="22"/>
            <w:lang w:eastAsia="pt-BR"/>
          </w:rPr>
          <w:tab/>
        </w:r>
        <w:r w:rsidRPr="0010505A">
          <w:rPr>
            <w:rStyle w:val="Hyperlink"/>
            <w:noProof/>
          </w:rPr>
          <w:t>Eventos de Emergência e Contingência</w:t>
        </w:r>
        <w:r>
          <w:rPr>
            <w:noProof/>
            <w:webHidden/>
          </w:rPr>
          <w:tab/>
        </w:r>
        <w:r>
          <w:rPr>
            <w:noProof/>
            <w:webHidden/>
          </w:rPr>
          <w:fldChar w:fldCharType="begin"/>
        </w:r>
        <w:r>
          <w:rPr>
            <w:noProof/>
            <w:webHidden/>
          </w:rPr>
          <w:instrText xml:space="preserve"> PAGEREF _Toc497469034 \h </w:instrText>
        </w:r>
        <w:r>
          <w:rPr>
            <w:noProof/>
            <w:webHidden/>
          </w:rPr>
        </w:r>
        <w:r>
          <w:rPr>
            <w:noProof/>
            <w:webHidden/>
          </w:rPr>
          <w:fldChar w:fldCharType="separate"/>
        </w:r>
        <w:r>
          <w:rPr>
            <w:noProof/>
            <w:webHidden/>
          </w:rPr>
          <w:t>118</w:t>
        </w:r>
        <w:r>
          <w:rPr>
            <w:noProof/>
            <w:webHidden/>
          </w:rPr>
          <w:fldChar w:fldCharType="end"/>
        </w:r>
      </w:hyperlink>
    </w:p>
    <w:p w:rsidR="004D1D76" w:rsidRDefault="004D1D76">
      <w:pPr>
        <w:pStyle w:val="Sumrio4"/>
        <w:tabs>
          <w:tab w:val="left" w:pos="1805"/>
        </w:tabs>
        <w:rPr>
          <w:rFonts w:asciiTheme="minorHAnsi" w:eastAsiaTheme="minorEastAsia" w:hAnsiTheme="minorHAnsi" w:cstheme="minorBidi"/>
          <w:noProof/>
        </w:rPr>
      </w:pPr>
      <w:hyperlink w:anchor="_Toc497469035" w:history="1">
        <w:r w:rsidRPr="0010505A">
          <w:rPr>
            <w:rStyle w:val="Hyperlink"/>
            <w:noProof/>
          </w:rPr>
          <w:t>2.4.6.1.</w:t>
        </w:r>
        <w:r>
          <w:rPr>
            <w:rFonts w:asciiTheme="minorHAnsi" w:eastAsiaTheme="minorEastAsia" w:hAnsiTheme="minorHAnsi" w:cstheme="minorBidi"/>
            <w:noProof/>
          </w:rPr>
          <w:tab/>
        </w:r>
        <w:r w:rsidRPr="0010505A">
          <w:rPr>
            <w:rStyle w:val="Hyperlink"/>
            <w:noProof/>
          </w:rPr>
          <w:t>Eventos operacionais</w:t>
        </w:r>
        <w:r>
          <w:rPr>
            <w:noProof/>
            <w:webHidden/>
          </w:rPr>
          <w:tab/>
        </w:r>
        <w:r>
          <w:rPr>
            <w:noProof/>
            <w:webHidden/>
          </w:rPr>
          <w:fldChar w:fldCharType="begin"/>
        </w:r>
        <w:r>
          <w:rPr>
            <w:noProof/>
            <w:webHidden/>
          </w:rPr>
          <w:instrText xml:space="preserve"> PAGEREF _Toc497469035 \h </w:instrText>
        </w:r>
        <w:r>
          <w:rPr>
            <w:noProof/>
            <w:webHidden/>
          </w:rPr>
        </w:r>
        <w:r>
          <w:rPr>
            <w:noProof/>
            <w:webHidden/>
          </w:rPr>
          <w:fldChar w:fldCharType="separate"/>
        </w:r>
        <w:r>
          <w:rPr>
            <w:noProof/>
            <w:webHidden/>
          </w:rPr>
          <w:t>118</w:t>
        </w:r>
        <w:r>
          <w:rPr>
            <w:noProof/>
            <w:webHidden/>
          </w:rPr>
          <w:fldChar w:fldCharType="end"/>
        </w:r>
      </w:hyperlink>
    </w:p>
    <w:p w:rsidR="004D1D76" w:rsidRDefault="004D1D76">
      <w:pPr>
        <w:pStyle w:val="Sumrio4"/>
        <w:tabs>
          <w:tab w:val="left" w:pos="1805"/>
        </w:tabs>
        <w:rPr>
          <w:rFonts w:asciiTheme="minorHAnsi" w:eastAsiaTheme="minorEastAsia" w:hAnsiTheme="minorHAnsi" w:cstheme="minorBidi"/>
          <w:noProof/>
        </w:rPr>
      </w:pPr>
      <w:hyperlink w:anchor="_Toc497469036" w:history="1">
        <w:r w:rsidRPr="0010505A">
          <w:rPr>
            <w:rStyle w:val="Hyperlink"/>
            <w:noProof/>
          </w:rPr>
          <w:t>2.4.6.2.</w:t>
        </w:r>
        <w:r>
          <w:rPr>
            <w:rFonts w:asciiTheme="minorHAnsi" w:eastAsiaTheme="minorEastAsia" w:hAnsiTheme="minorHAnsi" w:cstheme="minorBidi"/>
            <w:noProof/>
          </w:rPr>
          <w:tab/>
        </w:r>
        <w:r w:rsidRPr="0010505A">
          <w:rPr>
            <w:rStyle w:val="Hyperlink"/>
            <w:noProof/>
          </w:rPr>
          <w:t>Eventos relacionados à gestão e ao gerenciamento</w:t>
        </w:r>
        <w:r>
          <w:rPr>
            <w:noProof/>
            <w:webHidden/>
          </w:rPr>
          <w:tab/>
        </w:r>
        <w:r>
          <w:rPr>
            <w:noProof/>
            <w:webHidden/>
          </w:rPr>
          <w:fldChar w:fldCharType="begin"/>
        </w:r>
        <w:r>
          <w:rPr>
            <w:noProof/>
            <w:webHidden/>
          </w:rPr>
          <w:instrText xml:space="preserve"> PAGEREF _Toc497469036 \h </w:instrText>
        </w:r>
        <w:r>
          <w:rPr>
            <w:noProof/>
            <w:webHidden/>
          </w:rPr>
        </w:r>
        <w:r>
          <w:rPr>
            <w:noProof/>
            <w:webHidden/>
          </w:rPr>
          <w:fldChar w:fldCharType="separate"/>
        </w:r>
        <w:r>
          <w:rPr>
            <w:noProof/>
            <w:webHidden/>
          </w:rPr>
          <w:t>119</w:t>
        </w:r>
        <w:r>
          <w:rPr>
            <w:noProof/>
            <w:webHidden/>
          </w:rPr>
          <w:fldChar w:fldCharType="end"/>
        </w:r>
      </w:hyperlink>
    </w:p>
    <w:p w:rsidR="004D1D76" w:rsidRDefault="004D1D76">
      <w:pPr>
        <w:pStyle w:val="Sumrio4"/>
        <w:tabs>
          <w:tab w:val="left" w:pos="1805"/>
        </w:tabs>
        <w:rPr>
          <w:rFonts w:asciiTheme="minorHAnsi" w:eastAsiaTheme="minorEastAsia" w:hAnsiTheme="minorHAnsi" w:cstheme="minorBidi"/>
          <w:noProof/>
        </w:rPr>
      </w:pPr>
      <w:hyperlink w:anchor="_Toc497469037" w:history="1">
        <w:r w:rsidRPr="0010505A">
          <w:rPr>
            <w:rStyle w:val="Hyperlink"/>
            <w:noProof/>
          </w:rPr>
          <w:t>2.4.6.3.</w:t>
        </w:r>
        <w:r>
          <w:rPr>
            <w:rFonts w:asciiTheme="minorHAnsi" w:eastAsiaTheme="minorEastAsia" w:hAnsiTheme="minorHAnsi" w:cstheme="minorBidi"/>
            <w:noProof/>
          </w:rPr>
          <w:tab/>
        </w:r>
        <w:r w:rsidRPr="0010505A">
          <w:rPr>
            <w:rStyle w:val="Hyperlink"/>
            <w:noProof/>
          </w:rPr>
          <w:t>Eventos imprevisíveis</w:t>
        </w:r>
        <w:r>
          <w:rPr>
            <w:noProof/>
            <w:webHidden/>
          </w:rPr>
          <w:tab/>
        </w:r>
        <w:r>
          <w:rPr>
            <w:noProof/>
            <w:webHidden/>
          </w:rPr>
          <w:fldChar w:fldCharType="begin"/>
        </w:r>
        <w:r>
          <w:rPr>
            <w:noProof/>
            <w:webHidden/>
          </w:rPr>
          <w:instrText xml:space="preserve"> PAGEREF _Toc497469037 \h </w:instrText>
        </w:r>
        <w:r>
          <w:rPr>
            <w:noProof/>
            <w:webHidden/>
          </w:rPr>
        </w:r>
        <w:r>
          <w:rPr>
            <w:noProof/>
            <w:webHidden/>
          </w:rPr>
          <w:fldChar w:fldCharType="separate"/>
        </w:r>
        <w:r>
          <w:rPr>
            <w:noProof/>
            <w:webHidden/>
          </w:rPr>
          <w:t>120</w:t>
        </w:r>
        <w:r>
          <w:rPr>
            <w:noProof/>
            <w:webHidden/>
          </w:rPr>
          <w:fldChar w:fldCharType="end"/>
        </w:r>
      </w:hyperlink>
    </w:p>
    <w:p w:rsidR="004D1D76" w:rsidRDefault="004D1D76">
      <w:pPr>
        <w:pStyle w:val="Sumrio1"/>
        <w:tabs>
          <w:tab w:val="left" w:pos="567"/>
        </w:tabs>
        <w:rPr>
          <w:rFonts w:asciiTheme="minorHAnsi" w:eastAsiaTheme="minorEastAsia" w:hAnsiTheme="minorHAnsi" w:cstheme="minorBidi"/>
          <w:b w:val="0"/>
          <w:noProof/>
          <w:sz w:val="22"/>
          <w:szCs w:val="22"/>
        </w:rPr>
      </w:pPr>
      <w:hyperlink w:anchor="_Toc497469038" w:history="1">
        <w:r w:rsidRPr="0010505A">
          <w:rPr>
            <w:rStyle w:val="Hyperlink"/>
            <w:noProof/>
          </w:rPr>
          <w:t>3.</w:t>
        </w:r>
        <w:r>
          <w:rPr>
            <w:rFonts w:asciiTheme="minorHAnsi" w:eastAsiaTheme="minorEastAsia" w:hAnsiTheme="minorHAnsi" w:cstheme="minorBidi"/>
            <w:b w:val="0"/>
            <w:noProof/>
            <w:sz w:val="22"/>
            <w:szCs w:val="22"/>
          </w:rPr>
          <w:tab/>
        </w:r>
        <w:r w:rsidRPr="0010505A">
          <w:rPr>
            <w:rStyle w:val="Hyperlink"/>
            <w:noProof/>
          </w:rPr>
          <w:t>PRESTAÇÃO, FISCALIZAÇÃO E REGULAÇÃO DOS SERVIÇOS PÚBLICOS DE SANEAMENTO BÁSICO</w:t>
        </w:r>
        <w:r>
          <w:rPr>
            <w:noProof/>
            <w:webHidden/>
          </w:rPr>
          <w:tab/>
        </w:r>
        <w:r>
          <w:rPr>
            <w:noProof/>
            <w:webHidden/>
          </w:rPr>
          <w:fldChar w:fldCharType="begin"/>
        </w:r>
        <w:r>
          <w:rPr>
            <w:noProof/>
            <w:webHidden/>
          </w:rPr>
          <w:instrText xml:space="preserve"> PAGEREF _Toc497469038 \h </w:instrText>
        </w:r>
        <w:r>
          <w:rPr>
            <w:noProof/>
            <w:webHidden/>
          </w:rPr>
        </w:r>
        <w:r>
          <w:rPr>
            <w:noProof/>
            <w:webHidden/>
          </w:rPr>
          <w:fldChar w:fldCharType="separate"/>
        </w:r>
        <w:r>
          <w:rPr>
            <w:noProof/>
            <w:webHidden/>
          </w:rPr>
          <w:t>121</w:t>
        </w:r>
        <w:r>
          <w:rPr>
            <w:noProof/>
            <w:webHidden/>
          </w:rPr>
          <w:fldChar w:fldCharType="end"/>
        </w:r>
      </w:hyperlink>
    </w:p>
    <w:p w:rsidR="004D1D76" w:rsidRDefault="004D1D76">
      <w:pPr>
        <w:pStyle w:val="Sumrio2"/>
        <w:tabs>
          <w:tab w:val="left" w:pos="1134"/>
        </w:tabs>
        <w:rPr>
          <w:rFonts w:asciiTheme="minorHAnsi" w:eastAsiaTheme="minorEastAsia" w:hAnsiTheme="minorHAnsi" w:cstheme="minorBidi"/>
          <w:noProof/>
          <w:sz w:val="22"/>
          <w:lang w:eastAsia="pt-BR"/>
        </w:rPr>
      </w:pPr>
      <w:hyperlink w:anchor="_Toc497469039" w:history="1">
        <w:r w:rsidRPr="0010505A">
          <w:rPr>
            <w:rStyle w:val="Hyperlink"/>
            <w:noProof/>
          </w:rPr>
          <w:t>3.1.</w:t>
        </w:r>
        <w:r>
          <w:rPr>
            <w:rFonts w:asciiTheme="minorHAnsi" w:eastAsiaTheme="minorEastAsia" w:hAnsiTheme="minorHAnsi" w:cstheme="minorBidi"/>
            <w:noProof/>
            <w:sz w:val="22"/>
            <w:lang w:eastAsia="pt-BR"/>
          </w:rPr>
          <w:tab/>
        </w:r>
        <w:r w:rsidRPr="0010505A">
          <w:rPr>
            <w:rStyle w:val="Hyperlink"/>
            <w:noProof/>
          </w:rPr>
          <w:t>Modelos de prestação de serviços</w:t>
        </w:r>
        <w:r>
          <w:rPr>
            <w:noProof/>
            <w:webHidden/>
          </w:rPr>
          <w:tab/>
        </w:r>
        <w:r>
          <w:rPr>
            <w:noProof/>
            <w:webHidden/>
          </w:rPr>
          <w:fldChar w:fldCharType="begin"/>
        </w:r>
        <w:r>
          <w:rPr>
            <w:noProof/>
            <w:webHidden/>
          </w:rPr>
          <w:instrText xml:space="preserve"> PAGEREF _Toc497469039 \h </w:instrText>
        </w:r>
        <w:r>
          <w:rPr>
            <w:noProof/>
            <w:webHidden/>
          </w:rPr>
        </w:r>
        <w:r>
          <w:rPr>
            <w:noProof/>
            <w:webHidden/>
          </w:rPr>
          <w:fldChar w:fldCharType="separate"/>
        </w:r>
        <w:r>
          <w:rPr>
            <w:noProof/>
            <w:webHidden/>
          </w:rPr>
          <w:t>121</w:t>
        </w:r>
        <w:r>
          <w:rPr>
            <w:noProof/>
            <w:webHidden/>
          </w:rPr>
          <w:fldChar w:fldCharType="end"/>
        </w:r>
      </w:hyperlink>
    </w:p>
    <w:p w:rsidR="004D1D76" w:rsidRDefault="004D1D76">
      <w:pPr>
        <w:pStyle w:val="Sumrio3"/>
        <w:tabs>
          <w:tab w:val="left" w:pos="1418"/>
        </w:tabs>
        <w:rPr>
          <w:rFonts w:asciiTheme="minorHAnsi" w:eastAsiaTheme="minorEastAsia" w:hAnsiTheme="minorHAnsi" w:cstheme="minorBidi"/>
          <w:i w:val="0"/>
          <w:noProof/>
          <w:sz w:val="22"/>
          <w:lang w:eastAsia="pt-BR"/>
        </w:rPr>
      </w:pPr>
      <w:hyperlink w:anchor="_Toc497469040" w:history="1">
        <w:r w:rsidRPr="0010505A">
          <w:rPr>
            <w:rStyle w:val="Hyperlink"/>
            <w:noProof/>
          </w:rPr>
          <w:t>3.1.1.</w:t>
        </w:r>
        <w:r>
          <w:rPr>
            <w:rFonts w:asciiTheme="minorHAnsi" w:eastAsiaTheme="minorEastAsia" w:hAnsiTheme="minorHAnsi" w:cstheme="minorBidi"/>
            <w:i w:val="0"/>
            <w:noProof/>
            <w:sz w:val="22"/>
            <w:lang w:eastAsia="pt-BR"/>
          </w:rPr>
          <w:tab/>
        </w:r>
        <w:r w:rsidRPr="0010505A">
          <w:rPr>
            <w:rStyle w:val="Hyperlink"/>
            <w:noProof/>
          </w:rPr>
          <w:t>Prestação direta</w:t>
        </w:r>
        <w:r>
          <w:rPr>
            <w:noProof/>
            <w:webHidden/>
          </w:rPr>
          <w:tab/>
        </w:r>
        <w:r>
          <w:rPr>
            <w:noProof/>
            <w:webHidden/>
          </w:rPr>
          <w:fldChar w:fldCharType="begin"/>
        </w:r>
        <w:r>
          <w:rPr>
            <w:noProof/>
            <w:webHidden/>
          </w:rPr>
          <w:instrText xml:space="preserve"> PAGEREF _Toc497469040 \h </w:instrText>
        </w:r>
        <w:r>
          <w:rPr>
            <w:noProof/>
            <w:webHidden/>
          </w:rPr>
        </w:r>
        <w:r>
          <w:rPr>
            <w:noProof/>
            <w:webHidden/>
          </w:rPr>
          <w:fldChar w:fldCharType="separate"/>
        </w:r>
        <w:r>
          <w:rPr>
            <w:noProof/>
            <w:webHidden/>
          </w:rPr>
          <w:t>122</w:t>
        </w:r>
        <w:r>
          <w:rPr>
            <w:noProof/>
            <w:webHidden/>
          </w:rPr>
          <w:fldChar w:fldCharType="end"/>
        </w:r>
      </w:hyperlink>
    </w:p>
    <w:p w:rsidR="004D1D76" w:rsidRDefault="004D1D76">
      <w:pPr>
        <w:pStyle w:val="Sumrio3"/>
        <w:tabs>
          <w:tab w:val="left" w:pos="1418"/>
        </w:tabs>
        <w:rPr>
          <w:rFonts w:asciiTheme="minorHAnsi" w:eastAsiaTheme="minorEastAsia" w:hAnsiTheme="minorHAnsi" w:cstheme="minorBidi"/>
          <w:i w:val="0"/>
          <w:noProof/>
          <w:sz w:val="22"/>
          <w:lang w:eastAsia="pt-BR"/>
        </w:rPr>
      </w:pPr>
      <w:hyperlink w:anchor="_Toc497469041" w:history="1">
        <w:r w:rsidRPr="0010505A">
          <w:rPr>
            <w:rStyle w:val="Hyperlink"/>
            <w:noProof/>
          </w:rPr>
          <w:t>3.1.2.</w:t>
        </w:r>
        <w:r>
          <w:rPr>
            <w:rFonts w:asciiTheme="minorHAnsi" w:eastAsiaTheme="minorEastAsia" w:hAnsiTheme="minorHAnsi" w:cstheme="minorBidi"/>
            <w:i w:val="0"/>
            <w:noProof/>
            <w:sz w:val="22"/>
            <w:lang w:eastAsia="pt-BR"/>
          </w:rPr>
          <w:tab/>
        </w:r>
        <w:r w:rsidRPr="0010505A">
          <w:rPr>
            <w:rStyle w:val="Hyperlink"/>
            <w:noProof/>
          </w:rPr>
          <w:t>Prestação indireta</w:t>
        </w:r>
        <w:r>
          <w:rPr>
            <w:noProof/>
            <w:webHidden/>
          </w:rPr>
          <w:tab/>
        </w:r>
        <w:r>
          <w:rPr>
            <w:noProof/>
            <w:webHidden/>
          </w:rPr>
          <w:fldChar w:fldCharType="begin"/>
        </w:r>
        <w:r>
          <w:rPr>
            <w:noProof/>
            <w:webHidden/>
          </w:rPr>
          <w:instrText xml:space="preserve"> PAGEREF _Toc497469041 \h </w:instrText>
        </w:r>
        <w:r>
          <w:rPr>
            <w:noProof/>
            <w:webHidden/>
          </w:rPr>
        </w:r>
        <w:r>
          <w:rPr>
            <w:noProof/>
            <w:webHidden/>
          </w:rPr>
          <w:fldChar w:fldCharType="separate"/>
        </w:r>
        <w:r>
          <w:rPr>
            <w:noProof/>
            <w:webHidden/>
          </w:rPr>
          <w:t>123</w:t>
        </w:r>
        <w:r>
          <w:rPr>
            <w:noProof/>
            <w:webHidden/>
          </w:rPr>
          <w:fldChar w:fldCharType="end"/>
        </w:r>
      </w:hyperlink>
    </w:p>
    <w:p w:rsidR="004D1D76" w:rsidRDefault="004D1D76">
      <w:pPr>
        <w:pStyle w:val="Sumrio4"/>
        <w:tabs>
          <w:tab w:val="left" w:pos="1805"/>
        </w:tabs>
        <w:rPr>
          <w:rFonts w:asciiTheme="minorHAnsi" w:eastAsiaTheme="minorEastAsia" w:hAnsiTheme="minorHAnsi" w:cstheme="minorBidi"/>
          <w:noProof/>
        </w:rPr>
      </w:pPr>
      <w:hyperlink w:anchor="_Toc497469042" w:history="1">
        <w:r w:rsidRPr="0010505A">
          <w:rPr>
            <w:rStyle w:val="Hyperlink"/>
            <w:noProof/>
          </w:rPr>
          <w:t>3.1.2.1.</w:t>
        </w:r>
        <w:r>
          <w:rPr>
            <w:rFonts w:asciiTheme="minorHAnsi" w:eastAsiaTheme="minorEastAsia" w:hAnsiTheme="minorHAnsi" w:cstheme="minorBidi"/>
            <w:noProof/>
          </w:rPr>
          <w:tab/>
        </w:r>
        <w:r w:rsidRPr="0010505A">
          <w:rPr>
            <w:rStyle w:val="Hyperlink"/>
            <w:noProof/>
          </w:rPr>
          <w:t>Prestação por concessão</w:t>
        </w:r>
        <w:r>
          <w:rPr>
            <w:noProof/>
            <w:webHidden/>
          </w:rPr>
          <w:tab/>
        </w:r>
        <w:r>
          <w:rPr>
            <w:noProof/>
            <w:webHidden/>
          </w:rPr>
          <w:fldChar w:fldCharType="begin"/>
        </w:r>
        <w:r>
          <w:rPr>
            <w:noProof/>
            <w:webHidden/>
          </w:rPr>
          <w:instrText xml:space="preserve"> PAGEREF _Toc497469042 \h </w:instrText>
        </w:r>
        <w:r>
          <w:rPr>
            <w:noProof/>
            <w:webHidden/>
          </w:rPr>
        </w:r>
        <w:r>
          <w:rPr>
            <w:noProof/>
            <w:webHidden/>
          </w:rPr>
          <w:fldChar w:fldCharType="separate"/>
        </w:r>
        <w:r>
          <w:rPr>
            <w:noProof/>
            <w:webHidden/>
          </w:rPr>
          <w:t>123</w:t>
        </w:r>
        <w:r>
          <w:rPr>
            <w:noProof/>
            <w:webHidden/>
          </w:rPr>
          <w:fldChar w:fldCharType="end"/>
        </w:r>
      </w:hyperlink>
    </w:p>
    <w:p w:rsidR="004D1D76" w:rsidRDefault="004D1D76">
      <w:pPr>
        <w:pStyle w:val="Sumrio4"/>
        <w:tabs>
          <w:tab w:val="left" w:pos="1805"/>
        </w:tabs>
        <w:rPr>
          <w:rFonts w:asciiTheme="minorHAnsi" w:eastAsiaTheme="minorEastAsia" w:hAnsiTheme="minorHAnsi" w:cstheme="minorBidi"/>
          <w:noProof/>
        </w:rPr>
      </w:pPr>
      <w:hyperlink w:anchor="_Toc497469043" w:history="1">
        <w:r w:rsidRPr="0010505A">
          <w:rPr>
            <w:rStyle w:val="Hyperlink"/>
            <w:noProof/>
          </w:rPr>
          <w:t>3.1.2.2.</w:t>
        </w:r>
        <w:r>
          <w:rPr>
            <w:rFonts w:asciiTheme="minorHAnsi" w:eastAsiaTheme="minorEastAsia" w:hAnsiTheme="minorHAnsi" w:cstheme="minorBidi"/>
            <w:noProof/>
          </w:rPr>
          <w:tab/>
        </w:r>
        <w:r w:rsidRPr="0010505A">
          <w:rPr>
            <w:rStyle w:val="Hyperlink"/>
            <w:noProof/>
          </w:rPr>
          <w:t>Prestação público-privada</w:t>
        </w:r>
        <w:r>
          <w:rPr>
            <w:noProof/>
            <w:webHidden/>
          </w:rPr>
          <w:tab/>
        </w:r>
        <w:r>
          <w:rPr>
            <w:noProof/>
            <w:webHidden/>
          </w:rPr>
          <w:fldChar w:fldCharType="begin"/>
        </w:r>
        <w:r>
          <w:rPr>
            <w:noProof/>
            <w:webHidden/>
          </w:rPr>
          <w:instrText xml:space="preserve"> PAGEREF _Toc497469043 \h </w:instrText>
        </w:r>
        <w:r>
          <w:rPr>
            <w:noProof/>
            <w:webHidden/>
          </w:rPr>
        </w:r>
        <w:r>
          <w:rPr>
            <w:noProof/>
            <w:webHidden/>
          </w:rPr>
          <w:fldChar w:fldCharType="separate"/>
        </w:r>
        <w:r>
          <w:rPr>
            <w:noProof/>
            <w:webHidden/>
          </w:rPr>
          <w:t>124</w:t>
        </w:r>
        <w:r>
          <w:rPr>
            <w:noProof/>
            <w:webHidden/>
          </w:rPr>
          <w:fldChar w:fldCharType="end"/>
        </w:r>
      </w:hyperlink>
    </w:p>
    <w:p w:rsidR="004D1D76" w:rsidRDefault="004D1D76">
      <w:pPr>
        <w:pStyle w:val="Sumrio4"/>
        <w:tabs>
          <w:tab w:val="left" w:pos="1805"/>
        </w:tabs>
        <w:rPr>
          <w:rFonts w:asciiTheme="minorHAnsi" w:eastAsiaTheme="minorEastAsia" w:hAnsiTheme="minorHAnsi" w:cstheme="minorBidi"/>
          <w:noProof/>
        </w:rPr>
      </w:pPr>
      <w:hyperlink w:anchor="_Toc497469044" w:history="1">
        <w:r w:rsidRPr="0010505A">
          <w:rPr>
            <w:rStyle w:val="Hyperlink"/>
            <w:noProof/>
          </w:rPr>
          <w:t>3.1.2.3.</w:t>
        </w:r>
        <w:r>
          <w:rPr>
            <w:rFonts w:asciiTheme="minorHAnsi" w:eastAsiaTheme="minorEastAsia" w:hAnsiTheme="minorHAnsi" w:cstheme="minorBidi"/>
            <w:noProof/>
          </w:rPr>
          <w:tab/>
        </w:r>
        <w:r w:rsidRPr="0010505A">
          <w:rPr>
            <w:rStyle w:val="Hyperlink"/>
            <w:noProof/>
          </w:rPr>
          <w:t>Prestação privada</w:t>
        </w:r>
        <w:r>
          <w:rPr>
            <w:noProof/>
            <w:webHidden/>
          </w:rPr>
          <w:tab/>
        </w:r>
        <w:r>
          <w:rPr>
            <w:noProof/>
            <w:webHidden/>
          </w:rPr>
          <w:fldChar w:fldCharType="begin"/>
        </w:r>
        <w:r>
          <w:rPr>
            <w:noProof/>
            <w:webHidden/>
          </w:rPr>
          <w:instrText xml:space="preserve"> PAGEREF _Toc497469044 \h </w:instrText>
        </w:r>
        <w:r>
          <w:rPr>
            <w:noProof/>
            <w:webHidden/>
          </w:rPr>
        </w:r>
        <w:r>
          <w:rPr>
            <w:noProof/>
            <w:webHidden/>
          </w:rPr>
          <w:fldChar w:fldCharType="separate"/>
        </w:r>
        <w:r>
          <w:rPr>
            <w:noProof/>
            <w:webHidden/>
          </w:rPr>
          <w:t>124</w:t>
        </w:r>
        <w:r>
          <w:rPr>
            <w:noProof/>
            <w:webHidden/>
          </w:rPr>
          <w:fldChar w:fldCharType="end"/>
        </w:r>
      </w:hyperlink>
    </w:p>
    <w:p w:rsidR="004D1D76" w:rsidRDefault="004D1D76">
      <w:pPr>
        <w:pStyle w:val="Sumrio3"/>
        <w:tabs>
          <w:tab w:val="left" w:pos="1418"/>
        </w:tabs>
        <w:rPr>
          <w:rFonts w:asciiTheme="minorHAnsi" w:eastAsiaTheme="minorEastAsia" w:hAnsiTheme="minorHAnsi" w:cstheme="minorBidi"/>
          <w:i w:val="0"/>
          <w:noProof/>
          <w:sz w:val="22"/>
          <w:lang w:eastAsia="pt-BR"/>
        </w:rPr>
      </w:pPr>
      <w:hyperlink w:anchor="_Toc497469045" w:history="1">
        <w:r w:rsidRPr="0010505A">
          <w:rPr>
            <w:rStyle w:val="Hyperlink"/>
            <w:noProof/>
          </w:rPr>
          <w:t>3.1.3.</w:t>
        </w:r>
        <w:r>
          <w:rPr>
            <w:rFonts w:asciiTheme="minorHAnsi" w:eastAsiaTheme="minorEastAsia" w:hAnsiTheme="minorHAnsi" w:cstheme="minorBidi"/>
            <w:i w:val="0"/>
            <w:noProof/>
            <w:sz w:val="22"/>
            <w:lang w:eastAsia="pt-BR"/>
          </w:rPr>
          <w:tab/>
        </w:r>
        <w:r w:rsidRPr="0010505A">
          <w:rPr>
            <w:rStyle w:val="Hyperlink"/>
            <w:noProof/>
          </w:rPr>
          <w:t>Gestão associada</w:t>
        </w:r>
        <w:r>
          <w:rPr>
            <w:noProof/>
            <w:webHidden/>
          </w:rPr>
          <w:tab/>
        </w:r>
        <w:r>
          <w:rPr>
            <w:noProof/>
            <w:webHidden/>
          </w:rPr>
          <w:fldChar w:fldCharType="begin"/>
        </w:r>
        <w:r>
          <w:rPr>
            <w:noProof/>
            <w:webHidden/>
          </w:rPr>
          <w:instrText xml:space="preserve"> PAGEREF _Toc497469045 \h </w:instrText>
        </w:r>
        <w:r>
          <w:rPr>
            <w:noProof/>
            <w:webHidden/>
          </w:rPr>
        </w:r>
        <w:r>
          <w:rPr>
            <w:noProof/>
            <w:webHidden/>
          </w:rPr>
          <w:fldChar w:fldCharType="separate"/>
        </w:r>
        <w:r>
          <w:rPr>
            <w:noProof/>
            <w:webHidden/>
          </w:rPr>
          <w:t>125</w:t>
        </w:r>
        <w:r>
          <w:rPr>
            <w:noProof/>
            <w:webHidden/>
          </w:rPr>
          <w:fldChar w:fldCharType="end"/>
        </w:r>
      </w:hyperlink>
    </w:p>
    <w:p w:rsidR="004D1D76" w:rsidRDefault="004D1D76">
      <w:pPr>
        <w:pStyle w:val="Sumrio2"/>
        <w:tabs>
          <w:tab w:val="left" w:pos="1134"/>
        </w:tabs>
        <w:rPr>
          <w:rFonts w:asciiTheme="minorHAnsi" w:eastAsiaTheme="minorEastAsia" w:hAnsiTheme="minorHAnsi" w:cstheme="minorBidi"/>
          <w:noProof/>
          <w:sz w:val="22"/>
          <w:lang w:eastAsia="pt-BR"/>
        </w:rPr>
      </w:pPr>
      <w:hyperlink w:anchor="_Toc497469046" w:history="1">
        <w:r w:rsidRPr="0010505A">
          <w:rPr>
            <w:rStyle w:val="Hyperlink"/>
            <w:noProof/>
          </w:rPr>
          <w:t>3.2.</w:t>
        </w:r>
        <w:r>
          <w:rPr>
            <w:rFonts w:asciiTheme="minorHAnsi" w:eastAsiaTheme="minorEastAsia" w:hAnsiTheme="minorHAnsi" w:cstheme="minorBidi"/>
            <w:noProof/>
            <w:sz w:val="22"/>
            <w:lang w:eastAsia="pt-BR"/>
          </w:rPr>
          <w:tab/>
        </w:r>
        <w:r w:rsidRPr="0010505A">
          <w:rPr>
            <w:rStyle w:val="Hyperlink"/>
            <w:noProof/>
          </w:rPr>
          <w:t>Avaliação dos modelos de prestação de serviços</w:t>
        </w:r>
        <w:r>
          <w:rPr>
            <w:noProof/>
            <w:webHidden/>
          </w:rPr>
          <w:tab/>
        </w:r>
        <w:r>
          <w:rPr>
            <w:noProof/>
            <w:webHidden/>
          </w:rPr>
          <w:fldChar w:fldCharType="begin"/>
        </w:r>
        <w:r>
          <w:rPr>
            <w:noProof/>
            <w:webHidden/>
          </w:rPr>
          <w:instrText xml:space="preserve"> PAGEREF _Toc497469046 \h </w:instrText>
        </w:r>
        <w:r>
          <w:rPr>
            <w:noProof/>
            <w:webHidden/>
          </w:rPr>
        </w:r>
        <w:r>
          <w:rPr>
            <w:noProof/>
            <w:webHidden/>
          </w:rPr>
          <w:fldChar w:fldCharType="separate"/>
        </w:r>
        <w:r>
          <w:rPr>
            <w:noProof/>
            <w:webHidden/>
          </w:rPr>
          <w:t>127</w:t>
        </w:r>
        <w:r>
          <w:rPr>
            <w:noProof/>
            <w:webHidden/>
          </w:rPr>
          <w:fldChar w:fldCharType="end"/>
        </w:r>
      </w:hyperlink>
    </w:p>
    <w:p w:rsidR="004D1D76" w:rsidRDefault="004D1D76">
      <w:pPr>
        <w:pStyle w:val="Sumrio3"/>
        <w:tabs>
          <w:tab w:val="left" w:pos="1418"/>
        </w:tabs>
        <w:rPr>
          <w:rFonts w:asciiTheme="minorHAnsi" w:eastAsiaTheme="minorEastAsia" w:hAnsiTheme="minorHAnsi" w:cstheme="minorBidi"/>
          <w:i w:val="0"/>
          <w:noProof/>
          <w:sz w:val="22"/>
          <w:lang w:eastAsia="pt-BR"/>
        </w:rPr>
      </w:pPr>
      <w:hyperlink w:anchor="_Toc497469047" w:history="1">
        <w:r w:rsidRPr="0010505A">
          <w:rPr>
            <w:rStyle w:val="Hyperlink"/>
            <w:noProof/>
          </w:rPr>
          <w:t>3.2.1.</w:t>
        </w:r>
        <w:r>
          <w:rPr>
            <w:rFonts w:asciiTheme="minorHAnsi" w:eastAsiaTheme="minorEastAsia" w:hAnsiTheme="minorHAnsi" w:cstheme="minorBidi"/>
            <w:i w:val="0"/>
            <w:noProof/>
            <w:sz w:val="22"/>
            <w:lang w:eastAsia="pt-BR"/>
          </w:rPr>
          <w:tab/>
        </w:r>
        <w:r w:rsidRPr="0010505A">
          <w:rPr>
            <w:rStyle w:val="Hyperlink"/>
            <w:noProof/>
          </w:rPr>
          <w:t>Administração direta centralizada e descentralizada</w:t>
        </w:r>
        <w:r>
          <w:rPr>
            <w:noProof/>
            <w:webHidden/>
          </w:rPr>
          <w:tab/>
        </w:r>
        <w:r>
          <w:rPr>
            <w:noProof/>
            <w:webHidden/>
          </w:rPr>
          <w:fldChar w:fldCharType="begin"/>
        </w:r>
        <w:r>
          <w:rPr>
            <w:noProof/>
            <w:webHidden/>
          </w:rPr>
          <w:instrText xml:space="preserve"> PAGEREF _Toc497469047 \h </w:instrText>
        </w:r>
        <w:r>
          <w:rPr>
            <w:noProof/>
            <w:webHidden/>
          </w:rPr>
        </w:r>
        <w:r>
          <w:rPr>
            <w:noProof/>
            <w:webHidden/>
          </w:rPr>
          <w:fldChar w:fldCharType="separate"/>
        </w:r>
        <w:r>
          <w:rPr>
            <w:noProof/>
            <w:webHidden/>
          </w:rPr>
          <w:t>127</w:t>
        </w:r>
        <w:r>
          <w:rPr>
            <w:noProof/>
            <w:webHidden/>
          </w:rPr>
          <w:fldChar w:fldCharType="end"/>
        </w:r>
      </w:hyperlink>
    </w:p>
    <w:p w:rsidR="004D1D76" w:rsidRDefault="004D1D76">
      <w:pPr>
        <w:pStyle w:val="Sumrio3"/>
        <w:tabs>
          <w:tab w:val="left" w:pos="1418"/>
        </w:tabs>
        <w:rPr>
          <w:rFonts w:asciiTheme="minorHAnsi" w:eastAsiaTheme="minorEastAsia" w:hAnsiTheme="minorHAnsi" w:cstheme="minorBidi"/>
          <w:i w:val="0"/>
          <w:noProof/>
          <w:sz w:val="22"/>
          <w:lang w:eastAsia="pt-BR"/>
        </w:rPr>
      </w:pPr>
      <w:hyperlink w:anchor="_Toc497469048" w:history="1">
        <w:r w:rsidRPr="0010505A">
          <w:rPr>
            <w:rStyle w:val="Hyperlink"/>
            <w:noProof/>
          </w:rPr>
          <w:t>3.2.2.</w:t>
        </w:r>
        <w:r>
          <w:rPr>
            <w:rFonts w:asciiTheme="minorHAnsi" w:eastAsiaTheme="minorEastAsia" w:hAnsiTheme="minorHAnsi" w:cstheme="minorBidi"/>
            <w:i w:val="0"/>
            <w:noProof/>
            <w:sz w:val="22"/>
            <w:lang w:eastAsia="pt-BR"/>
          </w:rPr>
          <w:tab/>
        </w:r>
        <w:r w:rsidRPr="0010505A">
          <w:rPr>
            <w:rStyle w:val="Hyperlink"/>
            <w:noProof/>
          </w:rPr>
          <w:t>Administração indireta</w:t>
        </w:r>
        <w:r>
          <w:rPr>
            <w:noProof/>
            <w:webHidden/>
          </w:rPr>
          <w:tab/>
        </w:r>
        <w:r>
          <w:rPr>
            <w:noProof/>
            <w:webHidden/>
          </w:rPr>
          <w:fldChar w:fldCharType="begin"/>
        </w:r>
        <w:r>
          <w:rPr>
            <w:noProof/>
            <w:webHidden/>
          </w:rPr>
          <w:instrText xml:space="preserve"> PAGEREF _Toc497469048 \h </w:instrText>
        </w:r>
        <w:r>
          <w:rPr>
            <w:noProof/>
            <w:webHidden/>
          </w:rPr>
        </w:r>
        <w:r>
          <w:rPr>
            <w:noProof/>
            <w:webHidden/>
          </w:rPr>
          <w:fldChar w:fldCharType="separate"/>
        </w:r>
        <w:r>
          <w:rPr>
            <w:noProof/>
            <w:webHidden/>
          </w:rPr>
          <w:t>129</w:t>
        </w:r>
        <w:r>
          <w:rPr>
            <w:noProof/>
            <w:webHidden/>
          </w:rPr>
          <w:fldChar w:fldCharType="end"/>
        </w:r>
      </w:hyperlink>
    </w:p>
    <w:p w:rsidR="004D1D76" w:rsidRDefault="004D1D76">
      <w:pPr>
        <w:pStyle w:val="Sumrio3"/>
        <w:tabs>
          <w:tab w:val="left" w:pos="1418"/>
        </w:tabs>
        <w:rPr>
          <w:rFonts w:asciiTheme="minorHAnsi" w:eastAsiaTheme="minorEastAsia" w:hAnsiTheme="minorHAnsi" w:cstheme="minorBidi"/>
          <w:i w:val="0"/>
          <w:noProof/>
          <w:sz w:val="22"/>
          <w:lang w:eastAsia="pt-BR"/>
        </w:rPr>
      </w:pPr>
      <w:hyperlink w:anchor="_Toc497469049" w:history="1">
        <w:r w:rsidRPr="0010505A">
          <w:rPr>
            <w:rStyle w:val="Hyperlink"/>
            <w:noProof/>
          </w:rPr>
          <w:t>3.2.3.</w:t>
        </w:r>
        <w:r>
          <w:rPr>
            <w:rFonts w:asciiTheme="minorHAnsi" w:eastAsiaTheme="minorEastAsia" w:hAnsiTheme="minorHAnsi" w:cstheme="minorBidi"/>
            <w:i w:val="0"/>
            <w:noProof/>
            <w:sz w:val="22"/>
            <w:lang w:eastAsia="pt-BR"/>
          </w:rPr>
          <w:tab/>
        </w:r>
        <w:r w:rsidRPr="0010505A">
          <w:rPr>
            <w:rStyle w:val="Hyperlink"/>
            <w:noProof/>
          </w:rPr>
          <w:t>Gestão associada</w:t>
        </w:r>
        <w:r>
          <w:rPr>
            <w:noProof/>
            <w:webHidden/>
          </w:rPr>
          <w:tab/>
        </w:r>
        <w:r>
          <w:rPr>
            <w:noProof/>
            <w:webHidden/>
          </w:rPr>
          <w:fldChar w:fldCharType="begin"/>
        </w:r>
        <w:r>
          <w:rPr>
            <w:noProof/>
            <w:webHidden/>
          </w:rPr>
          <w:instrText xml:space="preserve"> PAGEREF _Toc497469049 \h </w:instrText>
        </w:r>
        <w:r>
          <w:rPr>
            <w:noProof/>
            <w:webHidden/>
          </w:rPr>
        </w:r>
        <w:r>
          <w:rPr>
            <w:noProof/>
            <w:webHidden/>
          </w:rPr>
          <w:fldChar w:fldCharType="separate"/>
        </w:r>
        <w:r>
          <w:rPr>
            <w:noProof/>
            <w:webHidden/>
          </w:rPr>
          <w:t>131</w:t>
        </w:r>
        <w:r>
          <w:rPr>
            <w:noProof/>
            <w:webHidden/>
          </w:rPr>
          <w:fldChar w:fldCharType="end"/>
        </w:r>
      </w:hyperlink>
    </w:p>
    <w:p w:rsidR="004D1D76" w:rsidRDefault="004D1D76">
      <w:pPr>
        <w:pStyle w:val="Sumrio2"/>
        <w:tabs>
          <w:tab w:val="left" w:pos="1134"/>
        </w:tabs>
        <w:rPr>
          <w:rFonts w:asciiTheme="minorHAnsi" w:eastAsiaTheme="minorEastAsia" w:hAnsiTheme="minorHAnsi" w:cstheme="minorBidi"/>
          <w:noProof/>
          <w:sz w:val="22"/>
          <w:lang w:eastAsia="pt-BR"/>
        </w:rPr>
      </w:pPr>
      <w:hyperlink w:anchor="_Toc497469050" w:history="1">
        <w:r w:rsidRPr="0010505A">
          <w:rPr>
            <w:rStyle w:val="Hyperlink"/>
            <w:noProof/>
          </w:rPr>
          <w:t>3.3.</w:t>
        </w:r>
        <w:r>
          <w:rPr>
            <w:rFonts w:asciiTheme="minorHAnsi" w:eastAsiaTheme="minorEastAsia" w:hAnsiTheme="minorHAnsi" w:cstheme="minorBidi"/>
            <w:noProof/>
            <w:sz w:val="22"/>
            <w:lang w:eastAsia="pt-BR"/>
          </w:rPr>
          <w:tab/>
        </w:r>
        <w:r w:rsidRPr="0010505A">
          <w:rPr>
            <w:rStyle w:val="Hyperlink"/>
            <w:noProof/>
          </w:rPr>
          <w:t>Alternativas de regulação e fiscalização</w:t>
        </w:r>
        <w:r>
          <w:rPr>
            <w:noProof/>
            <w:webHidden/>
          </w:rPr>
          <w:tab/>
        </w:r>
        <w:r>
          <w:rPr>
            <w:noProof/>
            <w:webHidden/>
          </w:rPr>
          <w:fldChar w:fldCharType="begin"/>
        </w:r>
        <w:r>
          <w:rPr>
            <w:noProof/>
            <w:webHidden/>
          </w:rPr>
          <w:instrText xml:space="preserve"> PAGEREF _Toc497469050 \h </w:instrText>
        </w:r>
        <w:r>
          <w:rPr>
            <w:noProof/>
            <w:webHidden/>
          </w:rPr>
        </w:r>
        <w:r>
          <w:rPr>
            <w:noProof/>
            <w:webHidden/>
          </w:rPr>
          <w:fldChar w:fldCharType="separate"/>
        </w:r>
        <w:r>
          <w:rPr>
            <w:noProof/>
            <w:webHidden/>
          </w:rPr>
          <w:t>132</w:t>
        </w:r>
        <w:r>
          <w:rPr>
            <w:noProof/>
            <w:webHidden/>
          </w:rPr>
          <w:fldChar w:fldCharType="end"/>
        </w:r>
      </w:hyperlink>
    </w:p>
    <w:p w:rsidR="004D1D76" w:rsidRDefault="004D1D76">
      <w:pPr>
        <w:pStyle w:val="Sumrio3"/>
        <w:tabs>
          <w:tab w:val="left" w:pos="1418"/>
        </w:tabs>
        <w:rPr>
          <w:rFonts w:asciiTheme="minorHAnsi" w:eastAsiaTheme="minorEastAsia" w:hAnsiTheme="minorHAnsi" w:cstheme="minorBidi"/>
          <w:i w:val="0"/>
          <w:noProof/>
          <w:sz w:val="22"/>
          <w:lang w:eastAsia="pt-BR"/>
        </w:rPr>
      </w:pPr>
      <w:hyperlink w:anchor="_Toc497469051" w:history="1">
        <w:r w:rsidRPr="0010505A">
          <w:rPr>
            <w:rStyle w:val="Hyperlink"/>
            <w:noProof/>
          </w:rPr>
          <w:t>3.3.1.</w:t>
        </w:r>
        <w:r>
          <w:rPr>
            <w:rFonts w:asciiTheme="minorHAnsi" w:eastAsiaTheme="minorEastAsia" w:hAnsiTheme="minorHAnsi" w:cstheme="minorBidi"/>
            <w:i w:val="0"/>
            <w:noProof/>
            <w:sz w:val="22"/>
            <w:lang w:eastAsia="pt-BR"/>
          </w:rPr>
          <w:tab/>
        </w:r>
        <w:r w:rsidRPr="0010505A">
          <w:rPr>
            <w:rStyle w:val="Hyperlink"/>
            <w:noProof/>
          </w:rPr>
          <w:t>Regulação</w:t>
        </w:r>
        <w:r>
          <w:rPr>
            <w:noProof/>
            <w:webHidden/>
          </w:rPr>
          <w:tab/>
        </w:r>
        <w:r>
          <w:rPr>
            <w:noProof/>
            <w:webHidden/>
          </w:rPr>
          <w:fldChar w:fldCharType="begin"/>
        </w:r>
        <w:r>
          <w:rPr>
            <w:noProof/>
            <w:webHidden/>
          </w:rPr>
          <w:instrText xml:space="preserve"> PAGEREF _Toc497469051 \h </w:instrText>
        </w:r>
        <w:r>
          <w:rPr>
            <w:noProof/>
            <w:webHidden/>
          </w:rPr>
        </w:r>
        <w:r>
          <w:rPr>
            <w:noProof/>
            <w:webHidden/>
          </w:rPr>
          <w:fldChar w:fldCharType="separate"/>
        </w:r>
        <w:r>
          <w:rPr>
            <w:noProof/>
            <w:webHidden/>
          </w:rPr>
          <w:t>132</w:t>
        </w:r>
        <w:r>
          <w:rPr>
            <w:noProof/>
            <w:webHidden/>
          </w:rPr>
          <w:fldChar w:fldCharType="end"/>
        </w:r>
      </w:hyperlink>
    </w:p>
    <w:p w:rsidR="004D1D76" w:rsidRDefault="004D1D76">
      <w:pPr>
        <w:pStyle w:val="Sumrio3"/>
        <w:tabs>
          <w:tab w:val="left" w:pos="1418"/>
        </w:tabs>
        <w:rPr>
          <w:rFonts w:asciiTheme="minorHAnsi" w:eastAsiaTheme="minorEastAsia" w:hAnsiTheme="minorHAnsi" w:cstheme="minorBidi"/>
          <w:i w:val="0"/>
          <w:noProof/>
          <w:sz w:val="22"/>
          <w:lang w:eastAsia="pt-BR"/>
        </w:rPr>
      </w:pPr>
      <w:hyperlink w:anchor="_Toc497469052" w:history="1">
        <w:r w:rsidRPr="0010505A">
          <w:rPr>
            <w:rStyle w:val="Hyperlink"/>
            <w:noProof/>
          </w:rPr>
          <w:t>3.3.2.</w:t>
        </w:r>
        <w:r>
          <w:rPr>
            <w:rFonts w:asciiTheme="minorHAnsi" w:eastAsiaTheme="minorEastAsia" w:hAnsiTheme="minorHAnsi" w:cstheme="minorBidi"/>
            <w:i w:val="0"/>
            <w:noProof/>
            <w:sz w:val="22"/>
            <w:lang w:eastAsia="pt-BR"/>
          </w:rPr>
          <w:tab/>
        </w:r>
        <w:r w:rsidRPr="0010505A">
          <w:rPr>
            <w:rStyle w:val="Hyperlink"/>
            <w:noProof/>
          </w:rPr>
          <w:t>Fiscalização</w:t>
        </w:r>
        <w:r>
          <w:rPr>
            <w:noProof/>
            <w:webHidden/>
          </w:rPr>
          <w:tab/>
        </w:r>
        <w:r>
          <w:rPr>
            <w:noProof/>
            <w:webHidden/>
          </w:rPr>
          <w:fldChar w:fldCharType="begin"/>
        </w:r>
        <w:r>
          <w:rPr>
            <w:noProof/>
            <w:webHidden/>
          </w:rPr>
          <w:instrText xml:space="preserve"> PAGEREF _Toc497469052 \h </w:instrText>
        </w:r>
        <w:r>
          <w:rPr>
            <w:noProof/>
            <w:webHidden/>
          </w:rPr>
        </w:r>
        <w:r>
          <w:rPr>
            <w:noProof/>
            <w:webHidden/>
          </w:rPr>
          <w:fldChar w:fldCharType="separate"/>
        </w:r>
        <w:r>
          <w:rPr>
            <w:noProof/>
            <w:webHidden/>
          </w:rPr>
          <w:t>135</w:t>
        </w:r>
        <w:r>
          <w:rPr>
            <w:noProof/>
            <w:webHidden/>
          </w:rPr>
          <w:fldChar w:fldCharType="end"/>
        </w:r>
      </w:hyperlink>
    </w:p>
    <w:p w:rsidR="004D1D76" w:rsidRDefault="004D1D76">
      <w:pPr>
        <w:pStyle w:val="Sumrio2"/>
        <w:tabs>
          <w:tab w:val="left" w:pos="1134"/>
        </w:tabs>
        <w:rPr>
          <w:rFonts w:asciiTheme="minorHAnsi" w:eastAsiaTheme="minorEastAsia" w:hAnsiTheme="minorHAnsi" w:cstheme="minorBidi"/>
          <w:noProof/>
          <w:sz w:val="22"/>
          <w:lang w:eastAsia="pt-BR"/>
        </w:rPr>
      </w:pPr>
      <w:hyperlink w:anchor="_Toc497469053" w:history="1">
        <w:r w:rsidRPr="0010505A">
          <w:rPr>
            <w:rStyle w:val="Hyperlink"/>
            <w:noProof/>
          </w:rPr>
          <w:t>3.4.</w:t>
        </w:r>
        <w:r>
          <w:rPr>
            <w:rFonts w:asciiTheme="minorHAnsi" w:eastAsiaTheme="minorEastAsia" w:hAnsiTheme="minorHAnsi" w:cstheme="minorBidi"/>
            <w:noProof/>
            <w:sz w:val="22"/>
            <w:lang w:eastAsia="pt-BR"/>
          </w:rPr>
          <w:tab/>
        </w:r>
        <w:r w:rsidRPr="0010505A">
          <w:rPr>
            <w:rStyle w:val="Hyperlink"/>
            <w:noProof/>
          </w:rPr>
          <w:t>Regulamentação do setor de limpeza urbana e manejo de resíduos sólidos considerando o PMGIRS</w:t>
        </w:r>
        <w:r>
          <w:rPr>
            <w:noProof/>
            <w:webHidden/>
          </w:rPr>
          <w:tab/>
        </w:r>
        <w:r>
          <w:rPr>
            <w:noProof/>
            <w:webHidden/>
          </w:rPr>
          <w:fldChar w:fldCharType="begin"/>
        </w:r>
        <w:r>
          <w:rPr>
            <w:noProof/>
            <w:webHidden/>
          </w:rPr>
          <w:instrText xml:space="preserve"> PAGEREF _Toc497469053 \h </w:instrText>
        </w:r>
        <w:r>
          <w:rPr>
            <w:noProof/>
            <w:webHidden/>
          </w:rPr>
        </w:r>
        <w:r>
          <w:rPr>
            <w:noProof/>
            <w:webHidden/>
          </w:rPr>
          <w:fldChar w:fldCharType="separate"/>
        </w:r>
        <w:r>
          <w:rPr>
            <w:noProof/>
            <w:webHidden/>
          </w:rPr>
          <w:t>136</w:t>
        </w:r>
        <w:r>
          <w:rPr>
            <w:noProof/>
            <w:webHidden/>
          </w:rPr>
          <w:fldChar w:fldCharType="end"/>
        </w:r>
      </w:hyperlink>
    </w:p>
    <w:p w:rsidR="004D1D76" w:rsidRDefault="004D1D76">
      <w:pPr>
        <w:pStyle w:val="Sumrio3"/>
        <w:tabs>
          <w:tab w:val="left" w:pos="1418"/>
        </w:tabs>
        <w:rPr>
          <w:rFonts w:asciiTheme="minorHAnsi" w:eastAsiaTheme="minorEastAsia" w:hAnsiTheme="minorHAnsi" w:cstheme="minorBidi"/>
          <w:i w:val="0"/>
          <w:noProof/>
          <w:sz w:val="22"/>
          <w:lang w:eastAsia="pt-BR"/>
        </w:rPr>
      </w:pPr>
      <w:hyperlink w:anchor="_Toc497469054" w:history="1">
        <w:r w:rsidRPr="0010505A">
          <w:rPr>
            <w:rStyle w:val="Hyperlink"/>
            <w:noProof/>
          </w:rPr>
          <w:t>3.4.1.</w:t>
        </w:r>
        <w:r>
          <w:rPr>
            <w:rFonts w:asciiTheme="minorHAnsi" w:eastAsiaTheme="minorEastAsia" w:hAnsiTheme="minorHAnsi" w:cstheme="minorBidi"/>
            <w:i w:val="0"/>
            <w:noProof/>
            <w:sz w:val="22"/>
            <w:lang w:eastAsia="pt-BR"/>
          </w:rPr>
          <w:tab/>
        </w:r>
        <w:r w:rsidRPr="0010505A">
          <w:rPr>
            <w:rStyle w:val="Hyperlink"/>
            <w:noProof/>
          </w:rPr>
          <w:t>Regras para o transporte e outras etapas do gerenciamento de resíduos sólidos</w:t>
        </w:r>
        <w:r>
          <w:rPr>
            <w:noProof/>
            <w:webHidden/>
          </w:rPr>
          <w:tab/>
        </w:r>
        <w:r>
          <w:rPr>
            <w:noProof/>
            <w:webHidden/>
          </w:rPr>
          <w:fldChar w:fldCharType="begin"/>
        </w:r>
        <w:r>
          <w:rPr>
            <w:noProof/>
            <w:webHidden/>
          </w:rPr>
          <w:instrText xml:space="preserve"> PAGEREF _Toc497469054 \h </w:instrText>
        </w:r>
        <w:r>
          <w:rPr>
            <w:noProof/>
            <w:webHidden/>
          </w:rPr>
        </w:r>
        <w:r>
          <w:rPr>
            <w:noProof/>
            <w:webHidden/>
          </w:rPr>
          <w:fldChar w:fldCharType="separate"/>
        </w:r>
        <w:r>
          <w:rPr>
            <w:noProof/>
            <w:webHidden/>
          </w:rPr>
          <w:t>137</w:t>
        </w:r>
        <w:r>
          <w:rPr>
            <w:noProof/>
            <w:webHidden/>
          </w:rPr>
          <w:fldChar w:fldCharType="end"/>
        </w:r>
      </w:hyperlink>
    </w:p>
    <w:p w:rsidR="004D1D76" w:rsidRDefault="004D1D76">
      <w:pPr>
        <w:pStyle w:val="Sumrio4"/>
        <w:tabs>
          <w:tab w:val="left" w:pos="1805"/>
        </w:tabs>
        <w:rPr>
          <w:rFonts w:asciiTheme="minorHAnsi" w:eastAsiaTheme="minorEastAsia" w:hAnsiTheme="minorHAnsi" w:cstheme="minorBidi"/>
          <w:noProof/>
        </w:rPr>
      </w:pPr>
      <w:hyperlink w:anchor="_Toc497469055" w:history="1">
        <w:r w:rsidRPr="0010505A">
          <w:rPr>
            <w:rStyle w:val="Hyperlink"/>
            <w:noProof/>
          </w:rPr>
          <w:t>3.4.1.1.</w:t>
        </w:r>
        <w:r>
          <w:rPr>
            <w:rFonts w:asciiTheme="minorHAnsi" w:eastAsiaTheme="minorEastAsia" w:hAnsiTheme="minorHAnsi" w:cstheme="minorBidi"/>
            <w:noProof/>
          </w:rPr>
          <w:tab/>
        </w:r>
        <w:r w:rsidRPr="0010505A">
          <w:rPr>
            <w:rStyle w:val="Hyperlink"/>
            <w:noProof/>
          </w:rPr>
          <w:t>Resíduos dos serviços públicos de saneamento básico</w:t>
        </w:r>
        <w:r>
          <w:rPr>
            <w:noProof/>
            <w:webHidden/>
          </w:rPr>
          <w:tab/>
        </w:r>
        <w:r>
          <w:rPr>
            <w:noProof/>
            <w:webHidden/>
          </w:rPr>
          <w:fldChar w:fldCharType="begin"/>
        </w:r>
        <w:r>
          <w:rPr>
            <w:noProof/>
            <w:webHidden/>
          </w:rPr>
          <w:instrText xml:space="preserve"> PAGEREF _Toc497469055 \h </w:instrText>
        </w:r>
        <w:r>
          <w:rPr>
            <w:noProof/>
            <w:webHidden/>
          </w:rPr>
        </w:r>
        <w:r>
          <w:rPr>
            <w:noProof/>
            <w:webHidden/>
          </w:rPr>
          <w:fldChar w:fldCharType="separate"/>
        </w:r>
        <w:r>
          <w:rPr>
            <w:noProof/>
            <w:webHidden/>
          </w:rPr>
          <w:t>137</w:t>
        </w:r>
        <w:r>
          <w:rPr>
            <w:noProof/>
            <w:webHidden/>
          </w:rPr>
          <w:fldChar w:fldCharType="end"/>
        </w:r>
      </w:hyperlink>
    </w:p>
    <w:p w:rsidR="004D1D76" w:rsidRDefault="004D1D76">
      <w:pPr>
        <w:pStyle w:val="Sumrio4"/>
        <w:tabs>
          <w:tab w:val="left" w:pos="1805"/>
        </w:tabs>
        <w:rPr>
          <w:rFonts w:asciiTheme="minorHAnsi" w:eastAsiaTheme="minorEastAsia" w:hAnsiTheme="minorHAnsi" w:cstheme="minorBidi"/>
          <w:noProof/>
        </w:rPr>
      </w:pPr>
      <w:hyperlink w:anchor="_Toc497469056" w:history="1">
        <w:r w:rsidRPr="0010505A">
          <w:rPr>
            <w:rStyle w:val="Hyperlink"/>
            <w:noProof/>
          </w:rPr>
          <w:t>3.4.1.2.</w:t>
        </w:r>
        <w:r>
          <w:rPr>
            <w:rFonts w:asciiTheme="minorHAnsi" w:eastAsiaTheme="minorEastAsia" w:hAnsiTheme="minorHAnsi" w:cstheme="minorBidi"/>
            <w:noProof/>
          </w:rPr>
          <w:tab/>
        </w:r>
        <w:r w:rsidRPr="0010505A">
          <w:rPr>
            <w:rStyle w:val="Hyperlink"/>
            <w:noProof/>
          </w:rPr>
          <w:t>Resíduos dos serviços de transporte</w:t>
        </w:r>
        <w:r>
          <w:rPr>
            <w:noProof/>
            <w:webHidden/>
          </w:rPr>
          <w:tab/>
        </w:r>
        <w:r>
          <w:rPr>
            <w:noProof/>
            <w:webHidden/>
          </w:rPr>
          <w:fldChar w:fldCharType="begin"/>
        </w:r>
        <w:r>
          <w:rPr>
            <w:noProof/>
            <w:webHidden/>
          </w:rPr>
          <w:instrText xml:space="preserve"> PAGEREF _Toc497469056 \h </w:instrText>
        </w:r>
        <w:r>
          <w:rPr>
            <w:noProof/>
            <w:webHidden/>
          </w:rPr>
        </w:r>
        <w:r>
          <w:rPr>
            <w:noProof/>
            <w:webHidden/>
          </w:rPr>
          <w:fldChar w:fldCharType="separate"/>
        </w:r>
        <w:r>
          <w:rPr>
            <w:noProof/>
            <w:webHidden/>
          </w:rPr>
          <w:t>140</w:t>
        </w:r>
        <w:r>
          <w:rPr>
            <w:noProof/>
            <w:webHidden/>
          </w:rPr>
          <w:fldChar w:fldCharType="end"/>
        </w:r>
      </w:hyperlink>
    </w:p>
    <w:p w:rsidR="004D1D76" w:rsidRDefault="004D1D76">
      <w:pPr>
        <w:pStyle w:val="Sumrio4"/>
        <w:tabs>
          <w:tab w:val="left" w:pos="1805"/>
        </w:tabs>
        <w:rPr>
          <w:rFonts w:asciiTheme="minorHAnsi" w:eastAsiaTheme="minorEastAsia" w:hAnsiTheme="minorHAnsi" w:cstheme="minorBidi"/>
          <w:noProof/>
        </w:rPr>
      </w:pPr>
      <w:hyperlink w:anchor="_Toc497469057" w:history="1">
        <w:r w:rsidRPr="0010505A">
          <w:rPr>
            <w:rStyle w:val="Hyperlink"/>
            <w:noProof/>
          </w:rPr>
          <w:t>3.4.1.3.</w:t>
        </w:r>
        <w:r>
          <w:rPr>
            <w:rFonts w:asciiTheme="minorHAnsi" w:eastAsiaTheme="minorEastAsia" w:hAnsiTheme="minorHAnsi" w:cstheme="minorBidi"/>
            <w:noProof/>
          </w:rPr>
          <w:tab/>
        </w:r>
        <w:r w:rsidRPr="0010505A">
          <w:rPr>
            <w:rStyle w:val="Hyperlink"/>
            <w:noProof/>
          </w:rPr>
          <w:t>Resíduos dos serviços de saúde</w:t>
        </w:r>
        <w:r>
          <w:rPr>
            <w:noProof/>
            <w:webHidden/>
          </w:rPr>
          <w:tab/>
        </w:r>
        <w:r>
          <w:rPr>
            <w:noProof/>
            <w:webHidden/>
          </w:rPr>
          <w:fldChar w:fldCharType="begin"/>
        </w:r>
        <w:r>
          <w:rPr>
            <w:noProof/>
            <w:webHidden/>
          </w:rPr>
          <w:instrText xml:space="preserve"> PAGEREF _Toc497469057 \h </w:instrText>
        </w:r>
        <w:r>
          <w:rPr>
            <w:noProof/>
            <w:webHidden/>
          </w:rPr>
        </w:r>
        <w:r>
          <w:rPr>
            <w:noProof/>
            <w:webHidden/>
          </w:rPr>
          <w:fldChar w:fldCharType="separate"/>
        </w:r>
        <w:r>
          <w:rPr>
            <w:noProof/>
            <w:webHidden/>
          </w:rPr>
          <w:t>142</w:t>
        </w:r>
        <w:r>
          <w:rPr>
            <w:noProof/>
            <w:webHidden/>
          </w:rPr>
          <w:fldChar w:fldCharType="end"/>
        </w:r>
      </w:hyperlink>
    </w:p>
    <w:p w:rsidR="004D1D76" w:rsidRDefault="004D1D76">
      <w:pPr>
        <w:pStyle w:val="Sumrio4"/>
        <w:tabs>
          <w:tab w:val="left" w:pos="1805"/>
        </w:tabs>
        <w:rPr>
          <w:rFonts w:asciiTheme="minorHAnsi" w:eastAsiaTheme="minorEastAsia" w:hAnsiTheme="minorHAnsi" w:cstheme="minorBidi"/>
          <w:noProof/>
        </w:rPr>
      </w:pPr>
      <w:hyperlink w:anchor="_Toc497469058" w:history="1">
        <w:r w:rsidRPr="0010505A">
          <w:rPr>
            <w:rStyle w:val="Hyperlink"/>
            <w:noProof/>
          </w:rPr>
          <w:t>3.4.1.4.</w:t>
        </w:r>
        <w:r>
          <w:rPr>
            <w:rFonts w:asciiTheme="minorHAnsi" w:eastAsiaTheme="minorEastAsia" w:hAnsiTheme="minorHAnsi" w:cstheme="minorBidi"/>
            <w:noProof/>
          </w:rPr>
          <w:tab/>
        </w:r>
        <w:r w:rsidRPr="0010505A">
          <w:rPr>
            <w:rStyle w:val="Hyperlink"/>
            <w:noProof/>
          </w:rPr>
          <w:t>Resíduos de mineração</w:t>
        </w:r>
        <w:r>
          <w:rPr>
            <w:noProof/>
            <w:webHidden/>
          </w:rPr>
          <w:tab/>
        </w:r>
        <w:r>
          <w:rPr>
            <w:noProof/>
            <w:webHidden/>
          </w:rPr>
          <w:fldChar w:fldCharType="begin"/>
        </w:r>
        <w:r>
          <w:rPr>
            <w:noProof/>
            <w:webHidden/>
          </w:rPr>
          <w:instrText xml:space="preserve"> PAGEREF _Toc497469058 \h </w:instrText>
        </w:r>
        <w:r>
          <w:rPr>
            <w:noProof/>
            <w:webHidden/>
          </w:rPr>
        </w:r>
        <w:r>
          <w:rPr>
            <w:noProof/>
            <w:webHidden/>
          </w:rPr>
          <w:fldChar w:fldCharType="separate"/>
        </w:r>
        <w:r>
          <w:rPr>
            <w:noProof/>
            <w:webHidden/>
          </w:rPr>
          <w:t>147</w:t>
        </w:r>
        <w:r>
          <w:rPr>
            <w:noProof/>
            <w:webHidden/>
          </w:rPr>
          <w:fldChar w:fldCharType="end"/>
        </w:r>
      </w:hyperlink>
    </w:p>
    <w:p w:rsidR="004D1D76" w:rsidRDefault="004D1D76">
      <w:pPr>
        <w:pStyle w:val="Sumrio4"/>
        <w:tabs>
          <w:tab w:val="left" w:pos="1805"/>
        </w:tabs>
        <w:rPr>
          <w:rFonts w:asciiTheme="minorHAnsi" w:eastAsiaTheme="minorEastAsia" w:hAnsiTheme="minorHAnsi" w:cstheme="minorBidi"/>
          <w:noProof/>
        </w:rPr>
      </w:pPr>
      <w:hyperlink w:anchor="_Toc497469059" w:history="1">
        <w:r w:rsidRPr="0010505A">
          <w:rPr>
            <w:rStyle w:val="Hyperlink"/>
            <w:noProof/>
          </w:rPr>
          <w:t>3.4.1.5.</w:t>
        </w:r>
        <w:r>
          <w:rPr>
            <w:rFonts w:asciiTheme="minorHAnsi" w:eastAsiaTheme="minorEastAsia" w:hAnsiTheme="minorHAnsi" w:cstheme="minorBidi"/>
            <w:noProof/>
          </w:rPr>
          <w:tab/>
        </w:r>
        <w:r w:rsidRPr="0010505A">
          <w:rPr>
            <w:rStyle w:val="Hyperlink"/>
            <w:noProof/>
          </w:rPr>
          <w:t>Resíduos de construção civil</w:t>
        </w:r>
        <w:r>
          <w:rPr>
            <w:noProof/>
            <w:webHidden/>
          </w:rPr>
          <w:tab/>
        </w:r>
        <w:r>
          <w:rPr>
            <w:noProof/>
            <w:webHidden/>
          </w:rPr>
          <w:fldChar w:fldCharType="begin"/>
        </w:r>
        <w:r>
          <w:rPr>
            <w:noProof/>
            <w:webHidden/>
          </w:rPr>
          <w:instrText xml:space="preserve"> PAGEREF _Toc497469059 \h </w:instrText>
        </w:r>
        <w:r>
          <w:rPr>
            <w:noProof/>
            <w:webHidden/>
          </w:rPr>
        </w:r>
        <w:r>
          <w:rPr>
            <w:noProof/>
            <w:webHidden/>
          </w:rPr>
          <w:fldChar w:fldCharType="separate"/>
        </w:r>
        <w:r>
          <w:rPr>
            <w:noProof/>
            <w:webHidden/>
          </w:rPr>
          <w:t>148</w:t>
        </w:r>
        <w:r>
          <w:rPr>
            <w:noProof/>
            <w:webHidden/>
          </w:rPr>
          <w:fldChar w:fldCharType="end"/>
        </w:r>
      </w:hyperlink>
    </w:p>
    <w:p w:rsidR="004D1D76" w:rsidRDefault="004D1D76">
      <w:pPr>
        <w:pStyle w:val="Sumrio4"/>
        <w:tabs>
          <w:tab w:val="left" w:pos="1805"/>
        </w:tabs>
        <w:rPr>
          <w:rFonts w:asciiTheme="minorHAnsi" w:eastAsiaTheme="minorEastAsia" w:hAnsiTheme="minorHAnsi" w:cstheme="minorBidi"/>
          <w:noProof/>
        </w:rPr>
      </w:pPr>
      <w:hyperlink w:anchor="_Toc497469060" w:history="1">
        <w:r w:rsidRPr="0010505A">
          <w:rPr>
            <w:rStyle w:val="Hyperlink"/>
            <w:noProof/>
          </w:rPr>
          <w:t>3.4.1.6.</w:t>
        </w:r>
        <w:r>
          <w:rPr>
            <w:rFonts w:asciiTheme="minorHAnsi" w:eastAsiaTheme="minorEastAsia" w:hAnsiTheme="minorHAnsi" w:cstheme="minorBidi"/>
            <w:noProof/>
          </w:rPr>
          <w:tab/>
        </w:r>
        <w:r w:rsidRPr="0010505A">
          <w:rPr>
            <w:rStyle w:val="Hyperlink"/>
            <w:noProof/>
          </w:rPr>
          <w:t>Resíduos agrossilvopastoris – embalagens de agrotóxicos</w:t>
        </w:r>
        <w:r>
          <w:rPr>
            <w:noProof/>
            <w:webHidden/>
          </w:rPr>
          <w:tab/>
        </w:r>
        <w:r>
          <w:rPr>
            <w:noProof/>
            <w:webHidden/>
          </w:rPr>
          <w:fldChar w:fldCharType="begin"/>
        </w:r>
        <w:r>
          <w:rPr>
            <w:noProof/>
            <w:webHidden/>
          </w:rPr>
          <w:instrText xml:space="preserve"> PAGEREF _Toc497469060 \h </w:instrText>
        </w:r>
        <w:r>
          <w:rPr>
            <w:noProof/>
            <w:webHidden/>
          </w:rPr>
        </w:r>
        <w:r>
          <w:rPr>
            <w:noProof/>
            <w:webHidden/>
          </w:rPr>
          <w:fldChar w:fldCharType="separate"/>
        </w:r>
        <w:r>
          <w:rPr>
            <w:noProof/>
            <w:webHidden/>
          </w:rPr>
          <w:t>150</w:t>
        </w:r>
        <w:r>
          <w:rPr>
            <w:noProof/>
            <w:webHidden/>
          </w:rPr>
          <w:fldChar w:fldCharType="end"/>
        </w:r>
      </w:hyperlink>
    </w:p>
    <w:p w:rsidR="004D1D76" w:rsidRDefault="004D1D76">
      <w:pPr>
        <w:pStyle w:val="Sumrio4"/>
        <w:tabs>
          <w:tab w:val="left" w:pos="1805"/>
        </w:tabs>
        <w:rPr>
          <w:rFonts w:asciiTheme="minorHAnsi" w:eastAsiaTheme="minorEastAsia" w:hAnsiTheme="minorHAnsi" w:cstheme="minorBidi"/>
          <w:noProof/>
        </w:rPr>
      </w:pPr>
      <w:hyperlink w:anchor="_Toc497469061" w:history="1">
        <w:r w:rsidRPr="0010505A">
          <w:rPr>
            <w:rStyle w:val="Hyperlink"/>
            <w:noProof/>
          </w:rPr>
          <w:t>3.4.1.7.</w:t>
        </w:r>
        <w:r>
          <w:rPr>
            <w:rFonts w:asciiTheme="minorHAnsi" w:eastAsiaTheme="minorEastAsia" w:hAnsiTheme="minorHAnsi" w:cstheme="minorBidi"/>
            <w:noProof/>
          </w:rPr>
          <w:tab/>
        </w:r>
        <w:r w:rsidRPr="0010505A">
          <w:rPr>
            <w:rStyle w:val="Hyperlink"/>
            <w:noProof/>
          </w:rPr>
          <w:t>Resíduos industriais</w:t>
        </w:r>
        <w:r>
          <w:rPr>
            <w:noProof/>
            <w:webHidden/>
          </w:rPr>
          <w:tab/>
        </w:r>
        <w:r>
          <w:rPr>
            <w:noProof/>
            <w:webHidden/>
          </w:rPr>
          <w:fldChar w:fldCharType="begin"/>
        </w:r>
        <w:r>
          <w:rPr>
            <w:noProof/>
            <w:webHidden/>
          </w:rPr>
          <w:instrText xml:space="preserve"> PAGEREF _Toc497469061 \h </w:instrText>
        </w:r>
        <w:r>
          <w:rPr>
            <w:noProof/>
            <w:webHidden/>
          </w:rPr>
        </w:r>
        <w:r>
          <w:rPr>
            <w:noProof/>
            <w:webHidden/>
          </w:rPr>
          <w:fldChar w:fldCharType="separate"/>
        </w:r>
        <w:r>
          <w:rPr>
            <w:noProof/>
            <w:webHidden/>
          </w:rPr>
          <w:t>153</w:t>
        </w:r>
        <w:r>
          <w:rPr>
            <w:noProof/>
            <w:webHidden/>
          </w:rPr>
          <w:fldChar w:fldCharType="end"/>
        </w:r>
      </w:hyperlink>
    </w:p>
    <w:p w:rsidR="004D1D76" w:rsidRDefault="004D1D76">
      <w:pPr>
        <w:pStyle w:val="Sumrio4"/>
        <w:tabs>
          <w:tab w:val="left" w:pos="1805"/>
        </w:tabs>
        <w:rPr>
          <w:rFonts w:asciiTheme="minorHAnsi" w:eastAsiaTheme="minorEastAsia" w:hAnsiTheme="minorHAnsi" w:cstheme="minorBidi"/>
          <w:noProof/>
        </w:rPr>
      </w:pPr>
      <w:hyperlink w:anchor="_Toc497469062" w:history="1">
        <w:r w:rsidRPr="0010505A">
          <w:rPr>
            <w:rStyle w:val="Hyperlink"/>
            <w:noProof/>
          </w:rPr>
          <w:t>3.4.1.8.</w:t>
        </w:r>
        <w:r>
          <w:rPr>
            <w:rFonts w:asciiTheme="minorHAnsi" w:eastAsiaTheme="minorEastAsia" w:hAnsiTheme="minorHAnsi" w:cstheme="minorBidi"/>
            <w:noProof/>
          </w:rPr>
          <w:tab/>
        </w:r>
        <w:r w:rsidRPr="0010505A">
          <w:rPr>
            <w:rStyle w:val="Hyperlink"/>
            <w:noProof/>
          </w:rPr>
          <w:t>Resíduos de estabelecimentos comerciais e prestação de serviço</w:t>
        </w:r>
        <w:r>
          <w:rPr>
            <w:noProof/>
            <w:webHidden/>
          </w:rPr>
          <w:tab/>
        </w:r>
        <w:r>
          <w:rPr>
            <w:noProof/>
            <w:webHidden/>
          </w:rPr>
          <w:fldChar w:fldCharType="begin"/>
        </w:r>
        <w:r>
          <w:rPr>
            <w:noProof/>
            <w:webHidden/>
          </w:rPr>
          <w:instrText xml:space="preserve"> PAGEREF _Toc497469062 \h </w:instrText>
        </w:r>
        <w:r>
          <w:rPr>
            <w:noProof/>
            <w:webHidden/>
          </w:rPr>
        </w:r>
        <w:r>
          <w:rPr>
            <w:noProof/>
            <w:webHidden/>
          </w:rPr>
          <w:fldChar w:fldCharType="separate"/>
        </w:r>
        <w:r>
          <w:rPr>
            <w:noProof/>
            <w:webHidden/>
          </w:rPr>
          <w:t>154</w:t>
        </w:r>
        <w:r>
          <w:rPr>
            <w:noProof/>
            <w:webHidden/>
          </w:rPr>
          <w:fldChar w:fldCharType="end"/>
        </w:r>
      </w:hyperlink>
    </w:p>
    <w:p w:rsidR="004D1D76" w:rsidRDefault="004D1D76">
      <w:pPr>
        <w:pStyle w:val="Sumrio3"/>
        <w:tabs>
          <w:tab w:val="left" w:pos="1418"/>
        </w:tabs>
        <w:rPr>
          <w:rFonts w:asciiTheme="minorHAnsi" w:eastAsiaTheme="minorEastAsia" w:hAnsiTheme="minorHAnsi" w:cstheme="minorBidi"/>
          <w:i w:val="0"/>
          <w:noProof/>
          <w:sz w:val="22"/>
          <w:lang w:eastAsia="pt-BR"/>
        </w:rPr>
      </w:pPr>
      <w:hyperlink w:anchor="_Toc497469063" w:history="1">
        <w:r w:rsidRPr="0010505A">
          <w:rPr>
            <w:rStyle w:val="Hyperlink"/>
            <w:noProof/>
          </w:rPr>
          <w:t>3.4.2.</w:t>
        </w:r>
        <w:r>
          <w:rPr>
            <w:rFonts w:asciiTheme="minorHAnsi" w:eastAsiaTheme="minorEastAsia" w:hAnsiTheme="minorHAnsi" w:cstheme="minorBidi"/>
            <w:i w:val="0"/>
            <w:noProof/>
            <w:sz w:val="22"/>
            <w:lang w:eastAsia="pt-BR"/>
          </w:rPr>
          <w:tab/>
        </w:r>
        <w:r w:rsidRPr="0010505A">
          <w:rPr>
            <w:rStyle w:val="Hyperlink"/>
            <w:noProof/>
          </w:rPr>
          <w:t>Critérios para pontos de apoio a serem adotados nos serviços públicos de limpeza urbana e manejo de resíduos sólidos</w:t>
        </w:r>
        <w:r>
          <w:rPr>
            <w:noProof/>
            <w:webHidden/>
          </w:rPr>
          <w:tab/>
        </w:r>
        <w:r>
          <w:rPr>
            <w:noProof/>
            <w:webHidden/>
          </w:rPr>
          <w:fldChar w:fldCharType="begin"/>
        </w:r>
        <w:r>
          <w:rPr>
            <w:noProof/>
            <w:webHidden/>
          </w:rPr>
          <w:instrText xml:space="preserve"> PAGEREF _Toc497469063 \h </w:instrText>
        </w:r>
        <w:r>
          <w:rPr>
            <w:noProof/>
            <w:webHidden/>
          </w:rPr>
        </w:r>
        <w:r>
          <w:rPr>
            <w:noProof/>
            <w:webHidden/>
          </w:rPr>
          <w:fldChar w:fldCharType="separate"/>
        </w:r>
        <w:r>
          <w:rPr>
            <w:noProof/>
            <w:webHidden/>
          </w:rPr>
          <w:t>156</w:t>
        </w:r>
        <w:r>
          <w:rPr>
            <w:noProof/>
            <w:webHidden/>
          </w:rPr>
          <w:fldChar w:fldCharType="end"/>
        </w:r>
      </w:hyperlink>
    </w:p>
    <w:p w:rsidR="004D1D76" w:rsidRDefault="004D1D76">
      <w:pPr>
        <w:pStyle w:val="Sumrio4"/>
        <w:tabs>
          <w:tab w:val="left" w:pos="1805"/>
        </w:tabs>
        <w:rPr>
          <w:rFonts w:asciiTheme="minorHAnsi" w:eastAsiaTheme="minorEastAsia" w:hAnsiTheme="minorHAnsi" w:cstheme="minorBidi"/>
          <w:noProof/>
        </w:rPr>
      </w:pPr>
      <w:hyperlink w:anchor="_Toc497469064" w:history="1">
        <w:r w:rsidRPr="0010505A">
          <w:rPr>
            <w:rStyle w:val="Hyperlink"/>
            <w:noProof/>
          </w:rPr>
          <w:t>3.4.2.1.</w:t>
        </w:r>
        <w:r>
          <w:rPr>
            <w:rFonts w:asciiTheme="minorHAnsi" w:eastAsiaTheme="minorEastAsia" w:hAnsiTheme="minorHAnsi" w:cstheme="minorBidi"/>
            <w:noProof/>
          </w:rPr>
          <w:tab/>
        </w:r>
        <w:r w:rsidRPr="0010505A">
          <w:rPr>
            <w:rStyle w:val="Hyperlink"/>
            <w:noProof/>
          </w:rPr>
          <w:t>Caracterização física</w:t>
        </w:r>
        <w:r>
          <w:rPr>
            <w:noProof/>
            <w:webHidden/>
          </w:rPr>
          <w:tab/>
        </w:r>
        <w:r>
          <w:rPr>
            <w:noProof/>
            <w:webHidden/>
          </w:rPr>
          <w:fldChar w:fldCharType="begin"/>
        </w:r>
        <w:r>
          <w:rPr>
            <w:noProof/>
            <w:webHidden/>
          </w:rPr>
          <w:instrText xml:space="preserve"> PAGEREF _Toc497469064 \h </w:instrText>
        </w:r>
        <w:r>
          <w:rPr>
            <w:noProof/>
            <w:webHidden/>
          </w:rPr>
        </w:r>
        <w:r>
          <w:rPr>
            <w:noProof/>
            <w:webHidden/>
          </w:rPr>
          <w:fldChar w:fldCharType="separate"/>
        </w:r>
        <w:r>
          <w:rPr>
            <w:noProof/>
            <w:webHidden/>
          </w:rPr>
          <w:t>158</w:t>
        </w:r>
        <w:r>
          <w:rPr>
            <w:noProof/>
            <w:webHidden/>
          </w:rPr>
          <w:fldChar w:fldCharType="end"/>
        </w:r>
      </w:hyperlink>
    </w:p>
    <w:p w:rsidR="004D1D76" w:rsidRDefault="004D1D76">
      <w:pPr>
        <w:pStyle w:val="Sumrio4"/>
        <w:tabs>
          <w:tab w:val="left" w:pos="1805"/>
        </w:tabs>
        <w:rPr>
          <w:rFonts w:asciiTheme="minorHAnsi" w:eastAsiaTheme="minorEastAsia" w:hAnsiTheme="minorHAnsi" w:cstheme="minorBidi"/>
          <w:noProof/>
        </w:rPr>
      </w:pPr>
      <w:hyperlink w:anchor="_Toc497469065" w:history="1">
        <w:r w:rsidRPr="0010505A">
          <w:rPr>
            <w:rStyle w:val="Hyperlink"/>
            <w:noProof/>
          </w:rPr>
          <w:t>3.4.2.2.</w:t>
        </w:r>
        <w:r>
          <w:rPr>
            <w:rFonts w:asciiTheme="minorHAnsi" w:eastAsiaTheme="minorEastAsia" w:hAnsiTheme="minorHAnsi" w:cstheme="minorBidi"/>
            <w:noProof/>
          </w:rPr>
          <w:tab/>
        </w:r>
        <w:r w:rsidRPr="0010505A">
          <w:rPr>
            <w:rStyle w:val="Hyperlink"/>
            <w:noProof/>
          </w:rPr>
          <w:t>Acondicionamento</w:t>
        </w:r>
        <w:r>
          <w:rPr>
            <w:noProof/>
            <w:webHidden/>
          </w:rPr>
          <w:tab/>
        </w:r>
        <w:r>
          <w:rPr>
            <w:noProof/>
            <w:webHidden/>
          </w:rPr>
          <w:fldChar w:fldCharType="begin"/>
        </w:r>
        <w:r>
          <w:rPr>
            <w:noProof/>
            <w:webHidden/>
          </w:rPr>
          <w:instrText xml:space="preserve"> PAGEREF _Toc497469065 \h </w:instrText>
        </w:r>
        <w:r>
          <w:rPr>
            <w:noProof/>
            <w:webHidden/>
          </w:rPr>
        </w:r>
        <w:r>
          <w:rPr>
            <w:noProof/>
            <w:webHidden/>
          </w:rPr>
          <w:fldChar w:fldCharType="separate"/>
        </w:r>
        <w:r>
          <w:rPr>
            <w:noProof/>
            <w:webHidden/>
          </w:rPr>
          <w:t>160</w:t>
        </w:r>
        <w:r>
          <w:rPr>
            <w:noProof/>
            <w:webHidden/>
          </w:rPr>
          <w:fldChar w:fldCharType="end"/>
        </w:r>
      </w:hyperlink>
    </w:p>
    <w:p w:rsidR="004D1D76" w:rsidRDefault="004D1D76">
      <w:pPr>
        <w:pStyle w:val="Sumrio4"/>
        <w:tabs>
          <w:tab w:val="left" w:pos="1805"/>
        </w:tabs>
        <w:rPr>
          <w:rFonts w:asciiTheme="minorHAnsi" w:eastAsiaTheme="minorEastAsia" w:hAnsiTheme="minorHAnsi" w:cstheme="minorBidi"/>
          <w:noProof/>
        </w:rPr>
      </w:pPr>
      <w:hyperlink w:anchor="_Toc497469066" w:history="1">
        <w:r w:rsidRPr="0010505A">
          <w:rPr>
            <w:rStyle w:val="Hyperlink"/>
            <w:noProof/>
          </w:rPr>
          <w:t>3.4.2.3.</w:t>
        </w:r>
        <w:r>
          <w:rPr>
            <w:rFonts w:asciiTheme="minorHAnsi" w:eastAsiaTheme="minorEastAsia" w:hAnsiTheme="minorHAnsi" w:cstheme="minorBidi"/>
            <w:noProof/>
          </w:rPr>
          <w:tab/>
        </w:r>
        <w:r w:rsidRPr="0010505A">
          <w:rPr>
            <w:rStyle w:val="Hyperlink"/>
            <w:noProof/>
          </w:rPr>
          <w:t>Coleta e transporte</w:t>
        </w:r>
        <w:r>
          <w:rPr>
            <w:noProof/>
            <w:webHidden/>
          </w:rPr>
          <w:tab/>
        </w:r>
        <w:r>
          <w:rPr>
            <w:noProof/>
            <w:webHidden/>
          </w:rPr>
          <w:fldChar w:fldCharType="begin"/>
        </w:r>
        <w:r>
          <w:rPr>
            <w:noProof/>
            <w:webHidden/>
          </w:rPr>
          <w:instrText xml:space="preserve"> PAGEREF _Toc497469066 \h </w:instrText>
        </w:r>
        <w:r>
          <w:rPr>
            <w:noProof/>
            <w:webHidden/>
          </w:rPr>
        </w:r>
        <w:r>
          <w:rPr>
            <w:noProof/>
            <w:webHidden/>
          </w:rPr>
          <w:fldChar w:fldCharType="separate"/>
        </w:r>
        <w:r>
          <w:rPr>
            <w:noProof/>
            <w:webHidden/>
          </w:rPr>
          <w:t>161</w:t>
        </w:r>
        <w:r>
          <w:rPr>
            <w:noProof/>
            <w:webHidden/>
          </w:rPr>
          <w:fldChar w:fldCharType="end"/>
        </w:r>
      </w:hyperlink>
    </w:p>
    <w:p w:rsidR="004D1D76" w:rsidRDefault="004D1D76">
      <w:pPr>
        <w:pStyle w:val="Sumrio4"/>
        <w:tabs>
          <w:tab w:val="left" w:pos="1805"/>
        </w:tabs>
        <w:rPr>
          <w:rFonts w:asciiTheme="minorHAnsi" w:eastAsiaTheme="minorEastAsia" w:hAnsiTheme="minorHAnsi" w:cstheme="minorBidi"/>
          <w:noProof/>
        </w:rPr>
      </w:pPr>
      <w:hyperlink w:anchor="_Toc497469067" w:history="1">
        <w:r w:rsidRPr="0010505A">
          <w:rPr>
            <w:rStyle w:val="Hyperlink"/>
            <w:noProof/>
          </w:rPr>
          <w:t>3.4.2.4.</w:t>
        </w:r>
        <w:r>
          <w:rPr>
            <w:rFonts w:asciiTheme="minorHAnsi" w:eastAsiaTheme="minorEastAsia" w:hAnsiTheme="minorHAnsi" w:cstheme="minorBidi"/>
            <w:noProof/>
          </w:rPr>
          <w:tab/>
        </w:r>
        <w:r w:rsidRPr="0010505A">
          <w:rPr>
            <w:rStyle w:val="Hyperlink"/>
            <w:noProof/>
          </w:rPr>
          <w:t>Transbordo de rejeitos</w:t>
        </w:r>
        <w:r>
          <w:rPr>
            <w:noProof/>
            <w:webHidden/>
          </w:rPr>
          <w:tab/>
        </w:r>
        <w:r>
          <w:rPr>
            <w:noProof/>
            <w:webHidden/>
          </w:rPr>
          <w:fldChar w:fldCharType="begin"/>
        </w:r>
        <w:r>
          <w:rPr>
            <w:noProof/>
            <w:webHidden/>
          </w:rPr>
          <w:instrText xml:space="preserve"> PAGEREF _Toc497469067 \h </w:instrText>
        </w:r>
        <w:r>
          <w:rPr>
            <w:noProof/>
            <w:webHidden/>
          </w:rPr>
        </w:r>
        <w:r>
          <w:rPr>
            <w:noProof/>
            <w:webHidden/>
          </w:rPr>
          <w:fldChar w:fldCharType="separate"/>
        </w:r>
        <w:r>
          <w:rPr>
            <w:noProof/>
            <w:webHidden/>
          </w:rPr>
          <w:t>165</w:t>
        </w:r>
        <w:r>
          <w:rPr>
            <w:noProof/>
            <w:webHidden/>
          </w:rPr>
          <w:fldChar w:fldCharType="end"/>
        </w:r>
      </w:hyperlink>
    </w:p>
    <w:p w:rsidR="004D1D76" w:rsidRDefault="004D1D76">
      <w:pPr>
        <w:pStyle w:val="Sumrio4"/>
        <w:tabs>
          <w:tab w:val="left" w:pos="1805"/>
        </w:tabs>
        <w:rPr>
          <w:rFonts w:asciiTheme="minorHAnsi" w:eastAsiaTheme="minorEastAsia" w:hAnsiTheme="minorHAnsi" w:cstheme="minorBidi"/>
          <w:noProof/>
        </w:rPr>
      </w:pPr>
      <w:hyperlink w:anchor="_Toc497469068" w:history="1">
        <w:r w:rsidRPr="0010505A">
          <w:rPr>
            <w:rStyle w:val="Hyperlink"/>
            <w:noProof/>
          </w:rPr>
          <w:t>3.4.2.5.</w:t>
        </w:r>
        <w:r>
          <w:rPr>
            <w:rFonts w:asciiTheme="minorHAnsi" w:eastAsiaTheme="minorEastAsia" w:hAnsiTheme="minorHAnsi" w:cstheme="minorBidi"/>
            <w:noProof/>
          </w:rPr>
          <w:tab/>
        </w:r>
        <w:r w:rsidRPr="0010505A">
          <w:rPr>
            <w:rStyle w:val="Hyperlink"/>
            <w:noProof/>
          </w:rPr>
          <w:t>Pontos de Entrega Voluntária (PEVs)</w:t>
        </w:r>
        <w:r>
          <w:rPr>
            <w:noProof/>
            <w:webHidden/>
          </w:rPr>
          <w:tab/>
        </w:r>
        <w:r>
          <w:rPr>
            <w:noProof/>
            <w:webHidden/>
          </w:rPr>
          <w:fldChar w:fldCharType="begin"/>
        </w:r>
        <w:r>
          <w:rPr>
            <w:noProof/>
            <w:webHidden/>
          </w:rPr>
          <w:instrText xml:space="preserve"> PAGEREF _Toc497469068 \h </w:instrText>
        </w:r>
        <w:r>
          <w:rPr>
            <w:noProof/>
            <w:webHidden/>
          </w:rPr>
        </w:r>
        <w:r>
          <w:rPr>
            <w:noProof/>
            <w:webHidden/>
          </w:rPr>
          <w:fldChar w:fldCharType="separate"/>
        </w:r>
        <w:r>
          <w:rPr>
            <w:noProof/>
            <w:webHidden/>
          </w:rPr>
          <w:t>165</w:t>
        </w:r>
        <w:r>
          <w:rPr>
            <w:noProof/>
            <w:webHidden/>
          </w:rPr>
          <w:fldChar w:fldCharType="end"/>
        </w:r>
      </w:hyperlink>
    </w:p>
    <w:p w:rsidR="004D1D76" w:rsidRDefault="004D1D76">
      <w:pPr>
        <w:pStyle w:val="Sumrio4"/>
        <w:tabs>
          <w:tab w:val="left" w:pos="1805"/>
        </w:tabs>
        <w:rPr>
          <w:rFonts w:asciiTheme="minorHAnsi" w:eastAsiaTheme="minorEastAsia" w:hAnsiTheme="minorHAnsi" w:cstheme="minorBidi"/>
          <w:noProof/>
        </w:rPr>
      </w:pPr>
      <w:hyperlink w:anchor="_Toc497469069" w:history="1">
        <w:r w:rsidRPr="0010505A">
          <w:rPr>
            <w:rStyle w:val="Hyperlink"/>
            <w:noProof/>
          </w:rPr>
          <w:t>3.4.2.6.</w:t>
        </w:r>
        <w:r>
          <w:rPr>
            <w:rFonts w:asciiTheme="minorHAnsi" w:eastAsiaTheme="minorEastAsia" w:hAnsiTheme="minorHAnsi" w:cstheme="minorBidi"/>
            <w:noProof/>
          </w:rPr>
          <w:tab/>
        </w:r>
        <w:r w:rsidRPr="0010505A">
          <w:rPr>
            <w:rStyle w:val="Hyperlink"/>
            <w:noProof/>
          </w:rPr>
          <w:t>Área de Transbordo e Triagem de Resíduos</w:t>
        </w:r>
        <w:r>
          <w:rPr>
            <w:noProof/>
            <w:webHidden/>
          </w:rPr>
          <w:tab/>
        </w:r>
        <w:r>
          <w:rPr>
            <w:noProof/>
            <w:webHidden/>
          </w:rPr>
          <w:fldChar w:fldCharType="begin"/>
        </w:r>
        <w:r>
          <w:rPr>
            <w:noProof/>
            <w:webHidden/>
          </w:rPr>
          <w:instrText xml:space="preserve"> PAGEREF _Toc497469069 \h </w:instrText>
        </w:r>
        <w:r>
          <w:rPr>
            <w:noProof/>
            <w:webHidden/>
          </w:rPr>
        </w:r>
        <w:r>
          <w:rPr>
            <w:noProof/>
            <w:webHidden/>
          </w:rPr>
          <w:fldChar w:fldCharType="separate"/>
        </w:r>
        <w:r>
          <w:rPr>
            <w:noProof/>
            <w:webHidden/>
          </w:rPr>
          <w:t>167</w:t>
        </w:r>
        <w:r>
          <w:rPr>
            <w:noProof/>
            <w:webHidden/>
          </w:rPr>
          <w:fldChar w:fldCharType="end"/>
        </w:r>
      </w:hyperlink>
    </w:p>
    <w:p w:rsidR="004D1D76" w:rsidRDefault="004D1D76">
      <w:pPr>
        <w:pStyle w:val="Sumrio4"/>
        <w:tabs>
          <w:tab w:val="left" w:pos="1805"/>
        </w:tabs>
        <w:rPr>
          <w:rFonts w:asciiTheme="minorHAnsi" w:eastAsiaTheme="minorEastAsia" w:hAnsiTheme="minorHAnsi" w:cstheme="minorBidi"/>
          <w:noProof/>
        </w:rPr>
      </w:pPr>
      <w:hyperlink w:anchor="_Toc497469070" w:history="1">
        <w:r w:rsidRPr="0010505A">
          <w:rPr>
            <w:rStyle w:val="Hyperlink"/>
            <w:noProof/>
          </w:rPr>
          <w:t>3.4.2.7.</w:t>
        </w:r>
        <w:r>
          <w:rPr>
            <w:rFonts w:asciiTheme="minorHAnsi" w:eastAsiaTheme="minorEastAsia" w:hAnsiTheme="minorHAnsi" w:cstheme="minorBidi"/>
            <w:noProof/>
          </w:rPr>
          <w:tab/>
        </w:r>
        <w:r w:rsidRPr="0010505A">
          <w:rPr>
            <w:rStyle w:val="Hyperlink"/>
            <w:noProof/>
          </w:rPr>
          <w:t>Central de Triagem de Resíduos (CTR)</w:t>
        </w:r>
        <w:r>
          <w:rPr>
            <w:noProof/>
            <w:webHidden/>
          </w:rPr>
          <w:tab/>
        </w:r>
        <w:r>
          <w:rPr>
            <w:noProof/>
            <w:webHidden/>
          </w:rPr>
          <w:fldChar w:fldCharType="begin"/>
        </w:r>
        <w:r>
          <w:rPr>
            <w:noProof/>
            <w:webHidden/>
          </w:rPr>
          <w:instrText xml:space="preserve"> PAGEREF _Toc497469070 \h </w:instrText>
        </w:r>
        <w:r>
          <w:rPr>
            <w:noProof/>
            <w:webHidden/>
          </w:rPr>
        </w:r>
        <w:r>
          <w:rPr>
            <w:noProof/>
            <w:webHidden/>
          </w:rPr>
          <w:fldChar w:fldCharType="separate"/>
        </w:r>
        <w:r>
          <w:rPr>
            <w:noProof/>
            <w:webHidden/>
          </w:rPr>
          <w:t>168</w:t>
        </w:r>
        <w:r>
          <w:rPr>
            <w:noProof/>
            <w:webHidden/>
          </w:rPr>
          <w:fldChar w:fldCharType="end"/>
        </w:r>
      </w:hyperlink>
    </w:p>
    <w:p w:rsidR="004D1D76" w:rsidRDefault="004D1D76">
      <w:pPr>
        <w:pStyle w:val="Sumrio4"/>
        <w:tabs>
          <w:tab w:val="left" w:pos="1805"/>
        </w:tabs>
        <w:rPr>
          <w:rFonts w:asciiTheme="minorHAnsi" w:eastAsiaTheme="minorEastAsia" w:hAnsiTheme="minorHAnsi" w:cstheme="minorBidi"/>
          <w:noProof/>
        </w:rPr>
      </w:pPr>
      <w:hyperlink w:anchor="_Toc497469071" w:history="1">
        <w:r w:rsidRPr="0010505A">
          <w:rPr>
            <w:rStyle w:val="Hyperlink"/>
            <w:noProof/>
          </w:rPr>
          <w:t>3.4.2.8.</w:t>
        </w:r>
        <w:r>
          <w:rPr>
            <w:rFonts w:asciiTheme="minorHAnsi" w:eastAsiaTheme="minorEastAsia" w:hAnsiTheme="minorHAnsi" w:cstheme="minorBidi"/>
            <w:noProof/>
          </w:rPr>
          <w:tab/>
        </w:r>
        <w:r w:rsidRPr="0010505A">
          <w:rPr>
            <w:rStyle w:val="Hyperlink"/>
            <w:noProof/>
          </w:rPr>
          <w:t>Aterro sanitário</w:t>
        </w:r>
        <w:r>
          <w:rPr>
            <w:noProof/>
            <w:webHidden/>
          </w:rPr>
          <w:tab/>
        </w:r>
        <w:r>
          <w:rPr>
            <w:noProof/>
            <w:webHidden/>
          </w:rPr>
          <w:fldChar w:fldCharType="begin"/>
        </w:r>
        <w:r>
          <w:rPr>
            <w:noProof/>
            <w:webHidden/>
          </w:rPr>
          <w:instrText xml:space="preserve"> PAGEREF _Toc497469071 \h </w:instrText>
        </w:r>
        <w:r>
          <w:rPr>
            <w:noProof/>
            <w:webHidden/>
          </w:rPr>
        </w:r>
        <w:r>
          <w:rPr>
            <w:noProof/>
            <w:webHidden/>
          </w:rPr>
          <w:fldChar w:fldCharType="separate"/>
        </w:r>
        <w:r>
          <w:rPr>
            <w:noProof/>
            <w:webHidden/>
          </w:rPr>
          <w:t>169</w:t>
        </w:r>
        <w:r>
          <w:rPr>
            <w:noProof/>
            <w:webHidden/>
          </w:rPr>
          <w:fldChar w:fldCharType="end"/>
        </w:r>
      </w:hyperlink>
    </w:p>
    <w:p w:rsidR="004D1D76" w:rsidRDefault="004D1D76">
      <w:pPr>
        <w:pStyle w:val="Sumrio4"/>
        <w:tabs>
          <w:tab w:val="left" w:pos="1805"/>
        </w:tabs>
        <w:rPr>
          <w:rFonts w:asciiTheme="minorHAnsi" w:eastAsiaTheme="minorEastAsia" w:hAnsiTheme="minorHAnsi" w:cstheme="minorBidi"/>
          <w:noProof/>
        </w:rPr>
      </w:pPr>
      <w:hyperlink w:anchor="_Toc497469072" w:history="1">
        <w:r w:rsidRPr="0010505A">
          <w:rPr>
            <w:rStyle w:val="Hyperlink"/>
            <w:noProof/>
          </w:rPr>
          <w:t>3.4.2.9.</w:t>
        </w:r>
        <w:r>
          <w:rPr>
            <w:rFonts w:asciiTheme="minorHAnsi" w:eastAsiaTheme="minorEastAsia" w:hAnsiTheme="minorHAnsi" w:cstheme="minorBidi"/>
            <w:noProof/>
          </w:rPr>
          <w:tab/>
        </w:r>
        <w:r w:rsidRPr="0010505A">
          <w:rPr>
            <w:rStyle w:val="Hyperlink"/>
            <w:noProof/>
          </w:rPr>
          <w:t>Acondicionamento e destinação de Resíduos de Serviços de Saúde</w:t>
        </w:r>
        <w:r>
          <w:rPr>
            <w:noProof/>
            <w:webHidden/>
          </w:rPr>
          <w:tab/>
        </w:r>
        <w:r>
          <w:rPr>
            <w:noProof/>
            <w:webHidden/>
          </w:rPr>
          <w:fldChar w:fldCharType="begin"/>
        </w:r>
        <w:r>
          <w:rPr>
            <w:noProof/>
            <w:webHidden/>
          </w:rPr>
          <w:instrText xml:space="preserve"> PAGEREF _Toc497469072 \h </w:instrText>
        </w:r>
        <w:r>
          <w:rPr>
            <w:noProof/>
            <w:webHidden/>
          </w:rPr>
        </w:r>
        <w:r>
          <w:rPr>
            <w:noProof/>
            <w:webHidden/>
          </w:rPr>
          <w:fldChar w:fldCharType="separate"/>
        </w:r>
        <w:r>
          <w:rPr>
            <w:noProof/>
            <w:webHidden/>
          </w:rPr>
          <w:t>170</w:t>
        </w:r>
        <w:r>
          <w:rPr>
            <w:noProof/>
            <w:webHidden/>
          </w:rPr>
          <w:fldChar w:fldCharType="end"/>
        </w:r>
      </w:hyperlink>
    </w:p>
    <w:p w:rsidR="004D1D76" w:rsidRDefault="004D1D76">
      <w:pPr>
        <w:pStyle w:val="Sumrio4"/>
        <w:tabs>
          <w:tab w:val="left" w:pos="1927"/>
        </w:tabs>
        <w:rPr>
          <w:rFonts w:asciiTheme="minorHAnsi" w:eastAsiaTheme="minorEastAsia" w:hAnsiTheme="minorHAnsi" w:cstheme="minorBidi"/>
          <w:noProof/>
        </w:rPr>
      </w:pPr>
      <w:hyperlink w:anchor="_Toc497469073" w:history="1">
        <w:r w:rsidRPr="0010505A">
          <w:rPr>
            <w:rStyle w:val="Hyperlink"/>
            <w:noProof/>
          </w:rPr>
          <w:t>3.4.2.10.</w:t>
        </w:r>
        <w:r>
          <w:rPr>
            <w:rFonts w:asciiTheme="minorHAnsi" w:eastAsiaTheme="minorEastAsia" w:hAnsiTheme="minorHAnsi" w:cstheme="minorBidi"/>
            <w:noProof/>
          </w:rPr>
          <w:tab/>
        </w:r>
        <w:r w:rsidRPr="0010505A">
          <w:rPr>
            <w:rStyle w:val="Hyperlink"/>
            <w:noProof/>
          </w:rPr>
          <w:t>Controle de Planos de Gerenciamento de Resíduos Sólidos (PGRSs)</w:t>
        </w:r>
        <w:r>
          <w:rPr>
            <w:noProof/>
            <w:webHidden/>
          </w:rPr>
          <w:tab/>
        </w:r>
        <w:r>
          <w:rPr>
            <w:noProof/>
            <w:webHidden/>
          </w:rPr>
          <w:fldChar w:fldCharType="begin"/>
        </w:r>
        <w:r>
          <w:rPr>
            <w:noProof/>
            <w:webHidden/>
          </w:rPr>
          <w:instrText xml:space="preserve"> PAGEREF _Toc497469073 \h </w:instrText>
        </w:r>
        <w:r>
          <w:rPr>
            <w:noProof/>
            <w:webHidden/>
          </w:rPr>
        </w:r>
        <w:r>
          <w:rPr>
            <w:noProof/>
            <w:webHidden/>
          </w:rPr>
          <w:fldChar w:fldCharType="separate"/>
        </w:r>
        <w:r>
          <w:rPr>
            <w:noProof/>
            <w:webHidden/>
          </w:rPr>
          <w:t>171</w:t>
        </w:r>
        <w:r>
          <w:rPr>
            <w:noProof/>
            <w:webHidden/>
          </w:rPr>
          <w:fldChar w:fldCharType="end"/>
        </w:r>
      </w:hyperlink>
    </w:p>
    <w:p w:rsidR="004D1D76" w:rsidRDefault="004D1D76">
      <w:pPr>
        <w:pStyle w:val="Sumrio3"/>
        <w:tabs>
          <w:tab w:val="left" w:pos="1418"/>
        </w:tabs>
        <w:rPr>
          <w:rFonts w:asciiTheme="minorHAnsi" w:eastAsiaTheme="minorEastAsia" w:hAnsiTheme="minorHAnsi" w:cstheme="minorBidi"/>
          <w:i w:val="0"/>
          <w:noProof/>
          <w:sz w:val="22"/>
          <w:lang w:eastAsia="pt-BR"/>
        </w:rPr>
      </w:pPr>
      <w:hyperlink w:anchor="_Toc497469074" w:history="1">
        <w:r w:rsidRPr="0010505A">
          <w:rPr>
            <w:rStyle w:val="Hyperlink"/>
            <w:rFonts w:eastAsia="Times New Roman" w:cs="Arial"/>
            <w:b/>
            <w:noProof/>
            <w:lang w:eastAsia="pt-BR"/>
          </w:rPr>
          <w:t>3.4.3.</w:t>
        </w:r>
        <w:r>
          <w:rPr>
            <w:rFonts w:asciiTheme="minorHAnsi" w:eastAsiaTheme="minorEastAsia" w:hAnsiTheme="minorHAnsi" w:cstheme="minorBidi"/>
            <w:i w:val="0"/>
            <w:noProof/>
            <w:sz w:val="22"/>
            <w:lang w:eastAsia="pt-BR"/>
          </w:rPr>
          <w:tab/>
        </w:r>
        <w:r w:rsidRPr="0010505A">
          <w:rPr>
            <w:rStyle w:val="Hyperlink"/>
            <w:rFonts w:eastAsia="Times New Roman" w:cs="Arial"/>
            <w:b/>
            <w:noProof/>
            <w:lang w:eastAsia="pt-BR"/>
          </w:rPr>
          <w:t>Responsabilidades quanto à implementação e operacionalização do PMGIRS</w:t>
        </w:r>
        <w:r>
          <w:rPr>
            <w:noProof/>
            <w:webHidden/>
          </w:rPr>
          <w:tab/>
        </w:r>
        <w:r>
          <w:rPr>
            <w:noProof/>
            <w:webHidden/>
          </w:rPr>
          <w:fldChar w:fldCharType="begin"/>
        </w:r>
        <w:r>
          <w:rPr>
            <w:noProof/>
            <w:webHidden/>
          </w:rPr>
          <w:instrText xml:space="preserve"> PAGEREF _Toc497469074 \h </w:instrText>
        </w:r>
        <w:r>
          <w:rPr>
            <w:noProof/>
            <w:webHidden/>
          </w:rPr>
        </w:r>
        <w:r>
          <w:rPr>
            <w:noProof/>
            <w:webHidden/>
          </w:rPr>
          <w:fldChar w:fldCharType="separate"/>
        </w:r>
        <w:r>
          <w:rPr>
            <w:noProof/>
            <w:webHidden/>
          </w:rPr>
          <w:t>172</w:t>
        </w:r>
        <w:r>
          <w:rPr>
            <w:noProof/>
            <w:webHidden/>
          </w:rPr>
          <w:fldChar w:fldCharType="end"/>
        </w:r>
      </w:hyperlink>
    </w:p>
    <w:p w:rsidR="004D1D76" w:rsidRDefault="004D1D76">
      <w:pPr>
        <w:pStyle w:val="Sumrio3"/>
        <w:tabs>
          <w:tab w:val="left" w:pos="1418"/>
        </w:tabs>
        <w:rPr>
          <w:rFonts w:asciiTheme="minorHAnsi" w:eastAsiaTheme="minorEastAsia" w:hAnsiTheme="minorHAnsi" w:cstheme="minorBidi"/>
          <w:i w:val="0"/>
          <w:noProof/>
          <w:sz w:val="22"/>
          <w:lang w:eastAsia="pt-BR"/>
        </w:rPr>
      </w:pPr>
      <w:hyperlink w:anchor="_Toc497469075" w:history="1">
        <w:r w:rsidRPr="0010505A">
          <w:rPr>
            <w:rStyle w:val="Hyperlink"/>
            <w:rFonts w:eastAsia="Times New Roman" w:cs="Arial"/>
            <w:b/>
            <w:noProof/>
            <w:lang w:eastAsia="pt-BR"/>
          </w:rPr>
          <w:t>3.4.4.</w:t>
        </w:r>
        <w:r>
          <w:rPr>
            <w:rFonts w:asciiTheme="minorHAnsi" w:eastAsiaTheme="minorEastAsia" w:hAnsiTheme="minorHAnsi" w:cstheme="minorBidi"/>
            <w:i w:val="0"/>
            <w:noProof/>
            <w:sz w:val="22"/>
            <w:lang w:eastAsia="pt-BR"/>
          </w:rPr>
          <w:tab/>
        </w:r>
        <w:r w:rsidRPr="0010505A">
          <w:rPr>
            <w:rStyle w:val="Hyperlink"/>
            <w:rFonts w:eastAsia="Times New Roman" w:cs="Arial"/>
            <w:b/>
            <w:noProof/>
            <w:lang w:eastAsia="pt-BR"/>
          </w:rPr>
          <w:t>Formas e limites da participação do Poder Público local na coleta seletiva e na logística reversa</w:t>
        </w:r>
        <w:r>
          <w:rPr>
            <w:noProof/>
            <w:webHidden/>
          </w:rPr>
          <w:tab/>
        </w:r>
        <w:r>
          <w:rPr>
            <w:noProof/>
            <w:webHidden/>
          </w:rPr>
          <w:fldChar w:fldCharType="begin"/>
        </w:r>
        <w:r>
          <w:rPr>
            <w:noProof/>
            <w:webHidden/>
          </w:rPr>
          <w:instrText xml:space="preserve"> PAGEREF _Toc497469075 \h </w:instrText>
        </w:r>
        <w:r>
          <w:rPr>
            <w:noProof/>
            <w:webHidden/>
          </w:rPr>
        </w:r>
        <w:r>
          <w:rPr>
            <w:noProof/>
            <w:webHidden/>
          </w:rPr>
          <w:fldChar w:fldCharType="separate"/>
        </w:r>
        <w:r>
          <w:rPr>
            <w:noProof/>
            <w:webHidden/>
          </w:rPr>
          <w:t>174</w:t>
        </w:r>
        <w:r>
          <w:rPr>
            <w:noProof/>
            <w:webHidden/>
          </w:rPr>
          <w:fldChar w:fldCharType="end"/>
        </w:r>
      </w:hyperlink>
    </w:p>
    <w:p w:rsidR="004D1D76" w:rsidRDefault="004D1D76">
      <w:pPr>
        <w:pStyle w:val="Sumrio4"/>
        <w:tabs>
          <w:tab w:val="left" w:pos="1805"/>
        </w:tabs>
        <w:rPr>
          <w:rFonts w:asciiTheme="minorHAnsi" w:eastAsiaTheme="minorEastAsia" w:hAnsiTheme="minorHAnsi" w:cstheme="minorBidi"/>
          <w:noProof/>
        </w:rPr>
      </w:pPr>
      <w:hyperlink w:anchor="_Toc497469076" w:history="1">
        <w:r w:rsidRPr="0010505A">
          <w:rPr>
            <w:rStyle w:val="Hyperlink"/>
            <w:noProof/>
          </w:rPr>
          <w:t>3.4.4.1.</w:t>
        </w:r>
        <w:r>
          <w:rPr>
            <w:rFonts w:asciiTheme="minorHAnsi" w:eastAsiaTheme="minorEastAsia" w:hAnsiTheme="minorHAnsi" w:cstheme="minorBidi"/>
            <w:noProof/>
          </w:rPr>
          <w:tab/>
        </w:r>
        <w:r w:rsidRPr="0010505A">
          <w:rPr>
            <w:rStyle w:val="Hyperlink"/>
            <w:noProof/>
          </w:rPr>
          <w:t>Coleta seletiva</w:t>
        </w:r>
        <w:r>
          <w:rPr>
            <w:noProof/>
            <w:webHidden/>
          </w:rPr>
          <w:tab/>
        </w:r>
        <w:r>
          <w:rPr>
            <w:noProof/>
            <w:webHidden/>
          </w:rPr>
          <w:fldChar w:fldCharType="begin"/>
        </w:r>
        <w:r>
          <w:rPr>
            <w:noProof/>
            <w:webHidden/>
          </w:rPr>
          <w:instrText xml:space="preserve"> PAGEREF _Toc497469076 \h </w:instrText>
        </w:r>
        <w:r>
          <w:rPr>
            <w:noProof/>
            <w:webHidden/>
          </w:rPr>
        </w:r>
        <w:r>
          <w:rPr>
            <w:noProof/>
            <w:webHidden/>
          </w:rPr>
          <w:fldChar w:fldCharType="separate"/>
        </w:r>
        <w:r>
          <w:rPr>
            <w:noProof/>
            <w:webHidden/>
          </w:rPr>
          <w:t>175</w:t>
        </w:r>
        <w:r>
          <w:rPr>
            <w:noProof/>
            <w:webHidden/>
          </w:rPr>
          <w:fldChar w:fldCharType="end"/>
        </w:r>
      </w:hyperlink>
    </w:p>
    <w:p w:rsidR="004D1D76" w:rsidRDefault="004D1D76">
      <w:pPr>
        <w:pStyle w:val="Sumrio4"/>
        <w:tabs>
          <w:tab w:val="left" w:pos="1805"/>
        </w:tabs>
        <w:rPr>
          <w:rFonts w:asciiTheme="minorHAnsi" w:eastAsiaTheme="minorEastAsia" w:hAnsiTheme="minorHAnsi" w:cstheme="minorBidi"/>
          <w:noProof/>
        </w:rPr>
      </w:pPr>
      <w:hyperlink w:anchor="_Toc497469077" w:history="1">
        <w:r w:rsidRPr="0010505A">
          <w:rPr>
            <w:rStyle w:val="Hyperlink"/>
            <w:noProof/>
          </w:rPr>
          <w:t>3.4.4.2.</w:t>
        </w:r>
        <w:r>
          <w:rPr>
            <w:rFonts w:asciiTheme="minorHAnsi" w:eastAsiaTheme="minorEastAsia" w:hAnsiTheme="minorHAnsi" w:cstheme="minorBidi"/>
            <w:noProof/>
          </w:rPr>
          <w:tab/>
        </w:r>
        <w:r w:rsidRPr="0010505A">
          <w:rPr>
            <w:rStyle w:val="Hyperlink"/>
            <w:noProof/>
          </w:rPr>
          <w:t>Logística reversa</w:t>
        </w:r>
        <w:r>
          <w:rPr>
            <w:noProof/>
            <w:webHidden/>
          </w:rPr>
          <w:tab/>
        </w:r>
        <w:r>
          <w:rPr>
            <w:noProof/>
            <w:webHidden/>
          </w:rPr>
          <w:fldChar w:fldCharType="begin"/>
        </w:r>
        <w:r>
          <w:rPr>
            <w:noProof/>
            <w:webHidden/>
          </w:rPr>
          <w:instrText xml:space="preserve"> PAGEREF _Toc497469077 \h </w:instrText>
        </w:r>
        <w:r>
          <w:rPr>
            <w:noProof/>
            <w:webHidden/>
          </w:rPr>
        </w:r>
        <w:r>
          <w:rPr>
            <w:noProof/>
            <w:webHidden/>
          </w:rPr>
          <w:fldChar w:fldCharType="separate"/>
        </w:r>
        <w:r>
          <w:rPr>
            <w:noProof/>
            <w:webHidden/>
          </w:rPr>
          <w:t>178</w:t>
        </w:r>
        <w:r>
          <w:rPr>
            <w:noProof/>
            <w:webHidden/>
          </w:rPr>
          <w:fldChar w:fldCharType="end"/>
        </w:r>
      </w:hyperlink>
    </w:p>
    <w:p w:rsidR="004D1D76" w:rsidRDefault="004D1D76">
      <w:pPr>
        <w:pStyle w:val="Sumrio1"/>
        <w:tabs>
          <w:tab w:val="left" w:pos="567"/>
        </w:tabs>
        <w:rPr>
          <w:rFonts w:asciiTheme="minorHAnsi" w:eastAsiaTheme="minorEastAsia" w:hAnsiTheme="minorHAnsi" w:cstheme="minorBidi"/>
          <w:b w:val="0"/>
          <w:noProof/>
          <w:sz w:val="22"/>
          <w:szCs w:val="22"/>
        </w:rPr>
      </w:pPr>
      <w:hyperlink w:anchor="_Toc497469078" w:history="1">
        <w:r w:rsidRPr="0010505A">
          <w:rPr>
            <w:rStyle w:val="Hyperlink"/>
            <w:noProof/>
          </w:rPr>
          <w:t>4.</w:t>
        </w:r>
        <w:r>
          <w:rPr>
            <w:rFonts w:asciiTheme="minorHAnsi" w:eastAsiaTheme="minorEastAsia" w:hAnsiTheme="minorHAnsi" w:cstheme="minorBidi"/>
            <w:b w:val="0"/>
            <w:noProof/>
            <w:sz w:val="22"/>
            <w:szCs w:val="22"/>
          </w:rPr>
          <w:tab/>
        </w:r>
        <w:r w:rsidRPr="0010505A">
          <w:rPr>
            <w:rStyle w:val="Hyperlink"/>
            <w:noProof/>
          </w:rPr>
          <w:t>PLANEJAMENTO ESTRATÉGICO DOS SERVIÇOS PÚBLICOS EM SANEAMENTO BÁSICO</w:t>
        </w:r>
        <w:r>
          <w:rPr>
            <w:noProof/>
            <w:webHidden/>
          </w:rPr>
          <w:tab/>
        </w:r>
        <w:r>
          <w:rPr>
            <w:noProof/>
            <w:webHidden/>
          </w:rPr>
          <w:fldChar w:fldCharType="begin"/>
        </w:r>
        <w:r>
          <w:rPr>
            <w:noProof/>
            <w:webHidden/>
          </w:rPr>
          <w:instrText xml:space="preserve"> PAGEREF _Toc497469078 \h </w:instrText>
        </w:r>
        <w:r>
          <w:rPr>
            <w:noProof/>
            <w:webHidden/>
          </w:rPr>
        </w:r>
        <w:r>
          <w:rPr>
            <w:noProof/>
            <w:webHidden/>
          </w:rPr>
          <w:fldChar w:fldCharType="separate"/>
        </w:r>
        <w:r>
          <w:rPr>
            <w:noProof/>
            <w:webHidden/>
          </w:rPr>
          <w:t>182</w:t>
        </w:r>
        <w:r>
          <w:rPr>
            <w:noProof/>
            <w:webHidden/>
          </w:rPr>
          <w:fldChar w:fldCharType="end"/>
        </w:r>
      </w:hyperlink>
    </w:p>
    <w:p w:rsidR="004D1D76" w:rsidRDefault="004D1D76">
      <w:pPr>
        <w:pStyle w:val="Sumrio2"/>
        <w:tabs>
          <w:tab w:val="left" w:pos="1134"/>
        </w:tabs>
        <w:rPr>
          <w:rFonts w:asciiTheme="minorHAnsi" w:eastAsiaTheme="minorEastAsia" w:hAnsiTheme="minorHAnsi" w:cstheme="minorBidi"/>
          <w:noProof/>
          <w:sz w:val="22"/>
          <w:lang w:eastAsia="pt-BR"/>
        </w:rPr>
      </w:pPr>
      <w:hyperlink w:anchor="_Toc497469079" w:history="1">
        <w:r w:rsidRPr="0010505A">
          <w:rPr>
            <w:rStyle w:val="Hyperlink"/>
            <w:noProof/>
          </w:rPr>
          <w:t>4.1.</w:t>
        </w:r>
        <w:r>
          <w:rPr>
            <w:rFonts w:asciiTheme="minorHAnsi" w:eastAsiaTheme="minorEastAsia" w:hAnsiTheme="minorHAnsi" w:cstheme="minorBidi"/>
            <w:noProof/>
            <w:sz w:val="22"/>
            <w:lang w:eastAsia="pt-BR"/>
          </w:rPr>
          <w:tab/>
        </w:r>
        <w:r w:rsidRPr="0010505A">
          <w:rPr>
            <w:rStyle w:val="Hyperlink"/>
            <w:noProof/>
          </w:rPr>
          <w:t>Sistema Geral do Saneamento Básico Municipal</w:t>
        </w:r>
        <w:r>
          <w:rPr>
            <w:noProof/>
            <w:webHidden/>
          </w:rPr>
          <w:tab/>
        </w:r>
        <w:r>
          <w:rPr>
            <w:noProof/>
            <w:webHidden/>
          </w:rPr>
          <w:fldChar w:fldCharType="begin"/>
        </w:r>
        <w:r>
          <w:rPr>
            <w:noProof/>
            <w:webHidden/>
          </w:rPr>
          <w:instrText xml:space="preserve"> PAGEREF _Toc497469079 \h </w:instrText>
        </w:r>
        <w:r>
          <w:rPr>
            <w:noProof/>
            <w:webHidden/>
          </w:rPr>
        </w:r>
        <w:r>
          <w:rPr>
            <w:noProof/>
            <w:webHidden/>
          </w:rPr>
          <w:fldChar w:fldCharType="separate"/>
        </w:r>
        <w:r>
          <w:rPr>
            <w:noProof/>
            <w:webHidden/>
          </w:rPr>
          <w:t>184</w:t>
        </w:r>
        <w:r>
          <w:rPr>
            <w:noProof/>
            <w:webHidden/>
          </w:rPr>
          <w:fldChar w:fldCharType="end"/>
        </w:r>
      </w:hyperlink>
    </w:p>
    <w:p w:rsidR="004D1D76" w:rsidRDefault="004D1D76">
      <w:pPr>
        <w:pStyle w:val="Sumrio3"/>
        <w:tabs>
          <w:tab w:val="left" w:pos="1418"/>
        </w:tabs>
        <w:rPr>
          <w:rFonts w:asciiTheme="minorHAnsi" w:eastAsiaTheme="minorEastAsia" w:hAnsiTheme="minorHAnsi" w:cstheme="minorBidi"/>
          <w:i w:val="0"/>
          <w:noProof/>
          <w:sz w:val="22"/>
          <w:lang w:eastAsia="pt-BR"/>
        </w:rPr>
      </w:pPr>
      <w:hyperlink w:anchor="_Toc497469080" w:history="1">
        <w:r w:rsidRPr="0010505A">
          <w:rPr>
            <w:rStyle w:val="Hyperlink"/>
            <w:noProof/>
          </w:rPr>
          <w:t>4.1.1.</w:t>
        </w:r>
        <w:r>
          <w:rPr>
            <w:rFonts w:asciiTheme="minorHAnsi" w:eastAsiaTheme="minorEastAsia" w:hAnsiTheme="minorHAnsi" w:cstheme="minorBidi"/>
            <w:i w:val="0"/>
            <w:noProof/>
            <w:sz w:val="22"/>
            <w:lang w:eastAsia="pt-BR"/>
          </w:rPr>
          <w:tab/>
        </w:r>
        <w:r w:rsidRPr="0010505A">
          <w:rPr>
            <w:rStyle w:val="Hyperlink"/>
            <w:noProof/>
          </w:rPr>
          <w:t>Proposição de cenários</w:t>
        </w:r>
        <w:r>
          <w:rPr>
            <w:noProof/>
            <w:webHidden/>
          </w:rPr>
          <w:tab/>
        </w:r>
        <w:r>
          <w:rPr>
            <w:noProof/>
            <w:webHidden/>
          </w:rPr>
          <w:fldChar w:fldCharType="begin"/>
        </w:r>
        <w:r>
          <w:rPr>
            <w:noProof/>
            <w:webHidden/>
          </w:rPr>
          <w:instrText xml:space="preserve"> PAGEREF _Toc497469080 \h </w:instrText>
        </w:r>
        <w:r>
          <w:rPr>
            <w:noProof/>
            <w:webHidden/>
          </w:rPr>
        </w:r>
        <w:r>
          <w:rPr>
            <w:noProof/>
            <w:webHidden/>
          </w:rPr>
          <w:fldChar w:fldCharType="separate"/>
        </w:r>
        <w:r>
          <w:rPr>
            <w:noProof/>
            <w:webHidden/>
          </w:rPr>
          <w:t>184</w:t>
        </w:r>
        <w:r>
          <w:rPr>
            <w:noProof/>
            <w:webHidden/>
          </w:rPr>
          <w:fldChar w:fldCharType="end"/>
        </w:r>
      </w:hyperlink>
    </w:p>
    <w:p w:rsidR="004D1D76" w:rsidRDefault="004D1D76">
      <w:pPr>
        <w:pStyle w:val="Sumrio3"/>
        <w:tabs>
          <w:tab w:val="left" w:pos="1418"/>
        </w:tabs>
        <w:rPr>
          <w:rFonts w:asciiTheme="minorHAnsi" w:eastAsiaTheme="minorEastAsia" w:hAnsiTheme="minorHAnsi" w:cstheme="minorBidi"/>
          <w:i w:val="0"/>
          <w:noProof/>
          <w:sz w:val="22"/>
          <w:lang w:eastAsia="pt-BR"/>
        </w:rPr>
      </w:pPr>
      <w:hyperlink w:anchor="_Toc497469081" w:history="1">
        <w:r w:rsidRPr="0010505A">
          <w:rPr>
            <w:rStyle w:val="Hyperlink"/>
            <w:noProof/>
          </w:rPr>
          <w:t>4.1.2.</w:t>
        </w:r>
        <w:r>
          <w:rPr>
            <w:rFonts w:asciiTheme="minorHAnsi" w:eastAsiaTheme="minorEastAsia" w:hAnsiTheme="minorHAnsi" w:cstheme="minorBidi"/>
            <w:i w:val="0"/>
            <w:noProof/>
            <w:sz w:val="22"/>
            <w:lang w:eastAsia="pt-BR"/>
          </w:rPr>
          <w:tab/>
        </w:r>
        <w:r w:rsidRPr="0010505A">
          <w:rPr>
            <w:rStyle w:val="Hyperlink"/>
            <w:noProof/>
          </w:rPr>
          <w:t>Objetivos e metas</w:t>
        </w:r>
        <w:r>
          <w:rPr>
            <w:noProof/>
            <w:webHidden/>
          </w:rPr>
          <w:tab/>
        </w:r>
        <w:r>
          <w:rPr>
            <w:noProof/>
            <w:webHidden/>
          </w:rPr>
          <w:fldChar w:fldCharType="begin"/>
        </w:r>
        <w:r>
          <w:rPr>
            <w:noProof/>
            <w:webHidden/>
          </w:rPr>
          <w:instrText xml:space="preserve"> PAGEREF _Toc497469081 \h </w:instrText>
        </w:r>
        <w:r>
          <w:rPr>
            <w:noProof/>
            <w:webHidden/>
          </w:rPr>
        </w:r>
        <w:r>
          <w:rPr>
            <w:noProof/>
            <w:webHidden/>
          </w:rPr>
          <w:fldChar w:fldCharType="separate"/>
        </w:r>
        <w:r>
          <w:rPr>
            <w:noProof/>
            <w:webHidden/>
          </w:rPr>
          <w:t>189</w:t>
        </w:r>
        <w:r>
          <w:rPr>
            <w:noProof/>
            <w:webHidden/>
          </w:rPr>
          <w:fldChar w:fldCharType="end"/>
        </w:r>
      </w:hyperlink>
    </w:p>
    <w:p w:rsidR="004D1D76" w:rsidRDefault="004D1D76">
      <w:pPr>
        <w:pStyle w:val="Sumrio2"/>
        <w:tabs>
          <w:tab w:val="left" w:pos="1134"/>
        </w:tabs>
        <w:rPr>
          <w:rFonts w:asciiTheme="minorHAnsi" w:eastAsiaTheme="minorEastAsia" w:hAnsiTheme="minorHAnsi" w:cstheme="minorBidi"/>
          <w:noProof/>
          <w:sz w:val="22"/>
          <w:lang w:eastAsia="pt-BR"/>
        </w:rPr>
      </w:pPr>
      <w:hyperlink w:anchor="_Toc497469082" w:history="1">
        <w:r w:rsidRPr="0010505A">
          <w:rPr>
            <w:rStyle w:val="Hyperlink"/>
            <w:noProof/>
          </w:rPr>
          <w:t>4.2.</w:t>
        </w:r>
        <w:r>
          <w:rPr>
            <w:rFonts w:asciiTheme="minorHAnsi" w:eastAsiaTheme="minorEastAsia" w:hAnsiTheme="minorHAnsi" w:cstheme="minorBidi"/>
            <w:noProof/>
            <w:sz w:val="22"/>
            <w:lang w:eastAsia="pt-BR"/>
          </w:rPr>
          <w:tab/>
        </w:r>
        <w:r w:rsidRPr="0010505A">
          <w:rPr>
            <w:rStyle w:val="Hyperlink"/>
            <w:noProof/>
          </w:rPr>
          <w:t>Sistema de Abastecimento de Água (SAA)</w:t>
        </w:r>
        <w:r>
          <w:rPr>
            <w:noProof/>
            <w:webHidden/>
          </w:rPr>
          <w:tab/>
        </w:r>
        <w:r>
          <w:rPr>
            <w:noProof/>
            <w:webHidden/>
          </w:rPr>
          <w:fldChar w:fldCharType="begin"/>
        </w:r>
        <w:r>
          <w:rPr>
            <w:noProof/>
            <w:webHidden/>
          </w:rPr>
          <w:instrText xml:space="preserve"> PAGEREF _Toc497469082 \h </w:instrText>
        </w:r>
        <w:r>
          <w:rPr>
            <w:noProof/>
            <w:webHidden/>
          </w:rPr>
        </w:r>
        <w:r>
          <w:rPr>
            <w:noProof/>
            <w:webHidden/>
          </w:rPr>
          <w:fldChar w:fldCharType="separate"/>
        </w:r>
        <w:r>
          <w:rPr>
            <w:noProof/>
            <w:webHidden/>
          </w:rPr>
          <w:t>194</w:t>
        </w:r>
        <w:r>
          <w:rPr>
            <w:noProof/>
            <w:webHidden/>
          </w:rPr>
          <w:fldChar w:fldCharType="end"/>
        </w:r>
      </w:hyperlink>
    </w:p>
    <w:p w:rsidR="004D1D76" w:rsidRDefault="004D1D76">
      <w:pPr>
        <w:pStyle w:val="Sumrio3"/>
        <w:tabs>
          <w:tab w:val="left" w:pos="1418"/>
        </w:tabs>
        <w:rPr>
          <w:rFonts w:asciiTheme="minorHAnsi" w:eastAsiaTheme="minorEastAsia" w:hAnsiTheme="minorHAnsi" w:cstheme="minorBidi"/>
          <w:i w:val="0"/>
          <w:noProof/>
          <w:sz w:val="22"/>
          <w:lang w:eastAsia="pt-BR"/>
        </w:rPr>
      </w:pPr>
      <w:hyperlink w:anchor="_Toc497469083" w:history="1">
        <w:r w:rsidRPr="0010505A">
          <w:rPr>
            <w:rStyle w:val="Hyperlink"/>
            <w:noProof/>
          </w:rPr>
          <w:t>4.2.1.</w:t>
        </w:r>
        <w:r>
          <w:rPr>
            <w:rFonts w:asciiTheme="minorHAnsi" w:eastAsiaTheme="minorEastAsia" w:hAnsiTheme="minorHAnsi" w:cstheme="minorBidi"/>
            <w:i w:val="0"/>
            <w:noProof/>
            <w:sz w:val="22"/>
            <w:lang w:eastAsia="pt-BR"/>
          </w:rPr>
          <w:tab/>
        </w:r>
        <w:r w:rsidRPr="0010505A">
          <w:rPr>
            <w:rStyle w:val="Hyperlink"/>
            <w:noProof/>
          </w:rPr>
          <w:t>Proposição de cenários</w:t>
        </w:r>
        <w:r>
          <w:rPr>
            <w:noProof/>
            <w:webHidden/>
          </w:rPr>
          <w:tab/>
        </w:r>
        <w:r>
          <w:rPr>
            <w:noProof/>
            <w:webHidden/>
          </w:rPr>
          <w:fldChar w:fldCharType="begin"/>
        </w:r>
        <w:r>
          <w:rPr>
            <w:noProof/>
            <w:webHidden/>
          </w:rPr>
          <w:instrText xml:space="preserve"> PAGEREF _Toc497469083 \h </w:instrText>
        </w:r>
        <w:r>
          <w:rPr>
            <w:noProof/>
            <w:webHidden/>
          </w:rPr>
        </w:r>
        <w:r>
          <w:rPr>
            <w:noProof/>
            <w:webHidden/>
          </w:rPr>
          <w:fldChar w:fldCharType="separate"/>
        </w:r>
        <w:r>
          <w:rPr>
            <w:noProof/>
            <w:webHidden/>
          </w:rPr>
          <w:t>194</w:t>
        </w:r>
        <w:r>
          <w:rPr>
            <w:noProof/>
            <w:webHidden/>
          </w:rPr>
          <w:fldChar w:fldCharType="end"/>
        </w:r>
      </w:hyperlink>
    </w:p>
    <w:p w:rsidR="004D1D76" w:rsidRDefault="004D1D76">
      <w:pPr>
        <w:pStyle w:val="Sumrio3"/>
        <w:tabs>
          <w:tab w:val="left" w:pos="1418"/>
        </w:tabs>
        <w:rPr>
          <w:rFonts w:asciiTheme="minorHAnsi" w:eastAsiaTheme="minorEastAsia" w:hAnsiTheme="minorHAnsi" w:cstheme="minorBidi"/>
          <w:i w:val="0"/>
          <w:noProof/>
          <w:sz w:val="22"/>
          <w:lang w:eastAsia="pt-BR"/>
        </w:rPr>
      </w:pPr>
      <w:hyperlink w:anchor="_Toc497469084" w:history="1">
        <w:r w:rsidRPr="0010505A">
          <w:rPr>
            <w:rStyle w:val="Hyperlink"/>
            <w:noProof/>
          </w:rPr>
          <w:t>4.2.2.</w:t>
        </w:r>
        <w:r>
          <w:rPr>
            <w:rFonts w:asciiTheme="minorHAnsi" w:eastAsiaTheme="minorEastAsia" w:hAnsiTheme="minorHAnsi" w:cstheme="minorBidi"/>
            <w:i w:val="0"/>
            <w:noProof/>
            <w:sz w:val="22"/>
            <w:lang w:eastAsia="pt-BR"/>
          </w:rPr>
          <w:tab/>
        </w:r>
        <w:r w:rsidRPr="0010505A">
          <w:rPr>
            <w:rStyle w:val="Hyperlink"/>
            <w:noProof/>
          </w:rPr>
          <w:t>Objetivos e metas</w:t>
        </w:r>
        <w:r>
          <w:rPr>
            <w:noProof/>
            <w:webHidden/>
          </w:rPr>
          <w:tab/>
        </w:r>
        <w:r>
          <w:rPr>
            <w:noProof/>
            <w:webHidden/>
          </w:rPr>
          <w:fldChar w:fldCharType="begin"/>
        </w:r>
        <w:r>
          <w:rPr>
            <w:noProof/>
            <w:webHidden/>
          </w:rPr>
          <w:instrText xml:space="preserve"> PAGEREF _Toc497469084 \h </w:instrText>
        </w:r>
        <w:r>
          <w:rPr>
            <w:noProof/>
            <w:webHidden/>
          </w:rPr>
        </w:r>
        <w:r>
          <w:rPr>
            <w:noProof/>
            <w:webHidden/>
          </w:rPr>
          <w:fldChar w:fldCharType="separate"/>
        </w:r>
        <w:r>
          <w:rPr>
            <w:noProof/>
            <w:webHidden/>
          </w:rPr>
          <w:t>197</w:t>
        </w:r>
        <w:r>
          <w:rPr>
            <w:noProof/>
            <w:webHidden/>
          </w:rPr>
          <w:fldChar w:fldCharType="end"/>
        </w:r>
      </w:hyperlink>
    </w:p>
    <w:p w:rsidR="004D1D76" w:rsidRDefault="004D1D76">
      <w:pPr>
        <w:pStyle w:val="Sumrio2"/>
        <w:tabs>
          <w:tab w:val="left" w:pos="1134"/>
        </w:tabs>
        <w:rPr>
          <w:rFonts w:asciiTheme="minorHAnsi" w:eastAsiaTheme="minorEastAsia" w:hAnsiTheme="minorHAnsi" w:cstheme="minorBidi"/>
          <w:noProof/>
          <w:sz w:val="22"/>
          <w:lang w:eastAsia="pt-BR"/>
        </w:rPr>
      </w:pPr>
      <w:hyperlink w:anchor="_Toc497469085" w:history="1">
        <w:r w:rsidRPr="0010505A">
          <w:rPr>
            <w:rStyle w:val="Hyperlink"/>
            <w:noProof/>
          </w:rPr>
          <w:t>4.3.</w:t>
        </w:r>
        <w:r>
          <w:rPr>
            <w:rFonts w:asciiTheme="minorHAnsi" w:eastAsiaTheme="minorEastAsia" w:hAnsiTheme="minorHAnsi" w:cstheme="minorBidi"/>
            <w:noProof/>
            <w:sz w:val="22"/>
            <w:lang w:eastAsia="pt-BR"/>
          </w:rPr>
          <w:tab/>
        </w:r>
        <w:r w:rsidRPr="0010505A">
          <w:rPr>
            <w:rStyle w:val="Hyperlink"/>
            <w:noProof/>
          </w:rPr>
          <w:t>Sistema de Esgotamento Sanitário (SES)</w:t>
        </w:r>
        <w:r>
          <w:rPr>
            <w:noProof/>
            <w:webHidden/>
          </w:rPr>
          <w:tab/>
        </w:r>
        <w:r>
          <w:rPr>
            <w:noProof/>
            <w:webHidden/>
          </w:rPr>
          <w:fldChar w:fldCharType="begin"/>
        </w:r>
        <w:r>
          <w:rPr>
            <w:noProof/>
            <w:webHidden/>
          </w:rPr>
          <w:instrText xml:space="preserve"> PAGEREF _Toc497469085 \h </w:instrText>
        </w:r>
        <w:r>
          <w:rPr>
            <w:noProof/>
            <w:webHidden/>
          </w:rPr>
        </w:r>
        <w:r>
          <w:rPr>
            <w:noProof/>
            <w:webHidden/>
          </w:rPr>
          <w:fldChar w:fldCharType="separate"/>
        </w:r>
        <w:r>
          <w:rPr>
            <w:noProof/>
            <w:webHidden/>
          </w:rPr>
          <w:t>201</w:t>
        </w:r>
        <w:r>
          <w:rPr>
            <w:noProof/>
            <w:webHidden/>
          </w:rPr>
          <w:fldChar w:fldCharType="end"/>
        </w:r>
      </w:hyperlink>
    </w:p>
    <w:p w:rsidR="004D1D76" w:rsidRDefault="004D1D76">
      <w:pPr>
        <w:pStyle w:val="Sumrio3"/>
        <w:tabs>
          <w:tab w:val="left" w:pos="1418"/>
        </w:tabs>
        <w:rPr>
          <w:rFonts w:asciiTheme="minorHAnsi" w:eastAsiaTheme="minorEastAsia" w:hAnsiTheme="minorHAnsi" w:cstheme="minorBidi"/>
          <w:i w:val="0"/>
          <w:noProof/>
          <w:sz w:val="22"/>
          <w:lang w:eastAsia="pt-BR"/>
        </w:rPr>
      </w:pPr>
      <w:hyperlink w:anchor="_Toc497469086" w:history="1">
        <w:r w:rsidRPr="0010505A">
          <w:rPr>
            <w:rStyle w:val="Hyperlink"/>
            <w:noProof/>
          </w:rPr>
          <w:t>4.3.1.</w:t>
        </w:r>
        <w:r>
          <w:rPr>
            <w:rFonts w:asciiTheme="minorHAnsi" w:eastAsiaTheme="minorEastAsia" w:hAnsiTheme="minorHAnsi" w:cstheme="minorBidi"/>
            <w:i w:val="0"/>
            <w:noProof/>
            <w:sz w:val="22"/>
            <w:lang w:eastAsia="pt-BR"/>
          </w:rPr>
          <w:tab/>
        </w:r>
        <w:r w:rsidRPr="0010505A">
          <w:rPr>
            <w:rStyle w:val="Hyperlink"/>
            <w:noProof/>
          </w:rPr>
          <w:t>Proposição de cenários</w:t>
        </w:r>
        <w:r>
          <w:rPr>
            <w:noProof/>
            <w:webHidden/>
          </w:rPr>
          <w:tab/>
        </w:r>
        <w:r>
          <w:rPr>
            <w:noProof/>
            <w:webHidden/>
          </w:rPr>
          <w:fldChar w:fldCharType="begin"/>
        </w:r>
        <w:r>
          <w:rPr>
            <w:noProof/>
            <w:webHidden/>
          </w:rPr>
          <w:instrText xml:space="preserve"> PAGEREF _Toc497469086 \h </w:instrText>
        </w:r>
        <w:r>
          <w:rPr>
            <w:noProof/>
            <w:webHidden/>
          </w:rPr>
        </w:r>
        <w:r>
          <w:rPr>
            <w:noProof/>
            <w:webHidden/>
          </w:rPr>
          <w:fldChar w:fldCharType="separate"/>
        </w:r>
        <w:r>
          <w:rPr>
            <w:noProof/>
            <w:webHidden/>
          </w:rPr>
          <w:t>201</w:t>
        </w:r>
        <w:r>
          <w:rPr>
            <w:noProof/>
            <w:webHidden/>
          </w:rPr>
          <w:fldChar w:fldCharType="end"/>
        </w:r>
      </w:hyperlink>
    </w:p>
    <w:p w:rsidR="004D1D76" w:rsidRDefault="004D1D76">
      <w:pPr>
        <w:pStyle w:val="Sumrio3"/>
        <w:tabs>
          <w:tab w:val="left" w:pos="1418"/>
        </w:tabs>
        <w:rPr>
          <w:rFonts w:asciiTheme="minorHAnsi" w:eastAsiaTheme="minorEastAsia" w:hAnsiTheme="minorHAnsi" w:cstheme="minorBidi"/>
          <w:i w:val="0"/>
          <w:noProof/>
          <w:sz w:val="22"/>
          <w:lang w:eastAsia="pt-BR"/>
        </w:rPr>
      </w:pPr>
      <w:hyperlink w:anchor="_Toc497469087" w:history="1">
        <w:r w:rsidRPr="0010505A">
          <w:rPr>
            <w:rStyle w:val="Hyperlink"/>
            <w:noProof/>
          </w:rPr>
          <w:t>4.3.2.</w:t>
        </w:r>
        <w:r>
          <w:rPr>
            <w:rFonts w:asciiTheme="minorHAnsi" w:eastAsiaTheme="minorEastAsia" w:hAnsiTheme="minorHAnsi" w:cstheme="minorBidi"/>
            <w:i w:val="0"/>
            <w:noProof/>
            <w:sz w:val="22"/>
            <w:lang w:eastAsia="pt-BR"/>
          </w:rPr>
          <w:tab/>
        </w:r>
        <w:r w:rsidRPr="0010505A">
          <w:rPr>
            <w:rStyle w:val="Hyperlink"/>
            <w:noProof/>
          </w:rPr>
          <w:t>Objetivos e metas</w:t>
        </w:r>
        <w:r>
          <w:rPr>
            <w:noProof/>
            <w:webHidden/>
          </w:rPr>
          <w:tab/>
        </w:r>
        <w:r>
          <w:rPr>
            <w:noProof/>
            <w:webHidden/>
          </w:rPr>
          <w:fldChar w:fldCharType="begin"/>
        </w:r>
        <w:r>
          <w:rPr>
            <w:noProof/>
            <w:webHidden/>
          </w:rPr>
          <w:instrText xml:space="preserve"> PAGEREF _Toc497469087 \h </w:instrText>
        </w:r>
        <w:r>
          <w:rPr>
            <w:noProof/>
            <w:webHidden/>
          </w:rPr>
        </w:r>
        <w:r>
          <w:rPr>
            <w:noProof/>
            <w:webHidden/>
          </w:rPr>
          <w:fldChar w:fldCharType="separate"/>
        </w:r>
        <w:r>
          <w:rPr>
            <w:noProof/>
            <w:webHidden/>
          </w:rPr>
          <w:t>204</w:t>
        </w:r>
        <w:r>
          <w:rPr>
            <w:noProof/>
            <w:webHidden/>
          </w:rPr>
          <w:fldChar w:fldCharType="end"/>
        </w:r>
      </w:hyperlink>
    </w:p>
    <w:p w:rsidR="004D1D76" w:rsidRDefault="004D1D76">
      <w:pPr>
        <w:pStyle w:val="Sumrio2"/>
        <w:tabs>
          <w:tab w:val="left" w:pos="1134"/>
        </w:tabs>
        <w:rPr>
          <w:rFonts w:asciiTheme="minorHAnsi" w:eastAsiaTheme="minorEastAsia" w:hAnsiTheme="minorHAnsi" w:cstheme="minorBidi"/>
          <w:noProof/>
          <w:sz w:val="22"/>
          <w:lang w:eastAsia="pt-BR"/>
        </w:rPr>
      </w:pPr>
      <w:hyperlink w:anchor="_Toc497469088" w:history="1">
        <w:r w:rsidRPr="0010505A">
          <w:rPr>
            <w:rStyle w:val="Hyperlink"/>
            <w:noProof/>
          </w:rPr>
          <w:t>4.4.</w:t>
        </w:r>
        <w:r>
          <w:rPr>
            <w:rFonts w:asciiTheme="minorHAnsi" w:eastAsiaTheme="minorEastAsia" w:hAnsiTheme="minorHAnsi" w:cstheme="minorBidi"/>
            <w:noProof/>
            <w:sz w:val="22"/>
            <w:lang w:eastAsia="pt-BR"/>
          </w:rPr>
          <w:tab/>
        </w:r>
        <w:r w:rsidRPr="0010505A">
          <w:rPr>
            <w:rStyle w:val="Hyperlink"/>
            <w:noProof/>
          </w:rPr>
          <w:t>Sistema de Drenagem Urbana e Manejo de Águas Pluviais</w:t>
        </w:r>
        <w:r>
          <w:rPr>
            <w:noProof/>
            <w:webHidden/>
          </w:rPr>
          <w:tab/>
        </w:r>
        <w:r>
          <w:rPr>
            <w:noProof/>
            <w:webHidden/>
          </w:rPr>
          <w:fldChar w:fldCharType="begin"/>
        </w:r>
        <w:r>
          <w:rPr>
            <w:noProof/>
            <w:webHidden/>
          </w:rPr>
          <w:instrText xml:space="preserve"> PAGEREF _Toc497469088 \h </w:instrText>
        </w:r>
        <w:r>
          <w:rPr>
            <w:noProof/>
            <w:webHidden/>
          </w:rPr>
        </w:r>
        <w:r>
          <w:rPr>
            <w:noProof/>
            <w:webHidden/>
          </w:rPr>
          <w:fldChar w:fldCharType="separate"/>
        </w:r>
        <w:r>
          <w:rPr>
            <w:noProof/>
            <w:webHidden/>
          </w:rPr>
          <w:t>207</w:t>
        </w:r>
        <w:r>
          <w:rPr>
            <w:noProof/>
            <w:webHidden/>
          </w:rPr>
          <w:fldChar w:fldCharType="end"/>
        </w:r>
      </w:hyperlink>
    </w:p>
    <w:p w:rsidR="004D1D76" w:rsidRDefault="004D1D76">
      <w:pPr>
        <w:pStyle w:val="Sumrio3"/>
        <w:tabs>
          <w:tab w:val="left" w:pos="1418"/>
        </w:tabs>
        <w:rPr>
          <w:rFonts w:asciiTheme="minorHAnsi" w:eastAsiaTheme="minorEastAsia" w:hAnsiTheme="minorHAnsi" w:cstheme="minorBidi"/>
          <w:i w:val="0"/>
          <w:noProof/>
          <w:sz w:val="22"/>
          <w:lang w:eastAsia="pt-BR"/>
        </w:rPr>
      </w:pPr>
      <w:hyperlink w:anchor="_Toc497469089" w:history="1">
        <w:r w:rsidRPr="0010505A">
          <w:rPr>
            <w:rStyle w:val="Hyperlink"/>
            <w:noProof/>
          </w:rPr>
          <w:t>4.4.1.</w:t>
        </w:r>
        <w:r>
          <w:rPr>
            <w:rFonts w:asciiTheme="minorHAnsi" w:eastAsiaTheme="minorEastAsia" w:hAnsiTheme="minorHAnsi" w:cstheme="minorBidi"/>
            <w:i w:val="0"/>
            <w:noProof/>
            <w:sz w:val="22"/>
            <w:lang w:eastAsia="pt-BR"/>
          </w:rPr>
          <w:tab/>
        </w:r>
        <w:r w:rsidRPr="0010505A">
          <w:rPr>
            <w:rStyle w:val="Hyperlink"/>
            <w:noProof/>
          </w:rPr>
          <w:t>Proposição de cenários</w:t>
        </w:r>
        <w:r>
          <w:rPr>
            <w:noProof/>
            <w:webHidden/>
          </w:rPr>
          <w:tab/>
        </w:r>
        <w:r>
          <w:rPr>
            <w:noProof/>
            <w:webHidden/>
          </w:rPr>
          <w:fldChar w:fldCharType="begin"/>
        </w:r>
        <w:r>
          <w:rPr>
            <w:noProof/>
            <w:webHidden/>
          </w:rPr>
          <w:instrText xml:space="preserve"> PAGEREF _Toc497469089 \h </w:instrText>
        </w:r>
        <w:r>
          <w:rPr>
            <w:noProof/>
            <w:webHidden/>
          </w:rPr>
        </w:r>
        <w:r>
          <w:rPr>
            <w:noProof/>
            <w:webHidden/>
          </w:rPr>
          <w:fldChar w:fldCharType="separate"/>
        </w:r>
        <w:r>
          <w:rPr>
            <w:noProof/>
            <w:webHidden/>
          </w:rPr>
          <w:t>207</w:t>
        </w:r>
        <w:r>
          <w:rPr>
            <w:noProof/>
            <w:webHidden/>
          </w:rPr>
          <w:fldChar w:fldCharType="end"/>
        </w:r>
      </w:hyperlink>
    </w:p>
    <w:p w:rsidR="004D1D76" w:rsidRDefault="004D1D76">
      <w:pPr>
        <w:pStyle w:val="Sumrio3"/>
        <w:tabs>
          <w:tab w:val="left" w:pos="1418"/>
        </w:tabs>
        <w:rPr>
          <w:rFonts w:asciiTheme="minorHAnsi" w:eastAsiaTheme="minorEastAsia" w:hAnsiTheme="minorHAnsi" w:cstheme="minorBidi"/>
          <w:i w:val="0"/>
          <w:noProof/>
          <w:sz w:val="22"/>
          <w:lang w:eastAsia="pt-BR"/>
        </w:rPr>
      </w:pPr>
      <w:hyperlink w:anchor="_Toc497469090" w:history="1">
        <w:r w:rsidRPr="0010505A">
          <w:rPr>
            <w:rStyle w:val="Hyperlink"/>
            <w:noProof/>
          </w:rPr>
          <w:t>4.4.2.</w:t>
        </w:r>
        <w:r>
          <w:rPr>
            <w:rFonts w:asciiTheme="minorHAnsi" w:eastAsiaTheme="minorEastAsia" w:hAnsiTheme="minorHAnsi" w:cstheme="minorBidi"/>
            <w:i w:val="0"/>
            <w:noProof/>
            <w:sz w:val="22"/>
            <w:lang w:eastAsia="pt-BR"/>
          </w:rPr>
          <w:tab/>
        </w:r>
        <w:r w:rsidRPr="0010505A">
          <w:rPr>
            <w:rStyle w:val="Hyperlink"/>
            <w:noProof/>
          </w:rPr>
          <w:t>Objetivos e metas</w:t>
        </w:r>
        <w:r>
          <w:rPr>
            <w:noProof/>
            <w:webHidden/>
          </w:rPr>
          <w:tab/>
        </w:r>
        <w:r>
          <w:rPr>
            <w:noProof/>
            <w:webHidden/>
          </w:rPr>
          <w:fldChar w:fldCharType="begin"/>
        </w:r>
        <w:r>
          <w:rPr>
            <w:noProof/>
            <w:webHidden/>
          </w:rPr>
          <w:instrText xml:space="preserve"> PAGEREF _Toc497469090 \h </w:instrText>
        </w:r>
        <w:r>
          <w:rPr>
            <w:noProof/>
            <w:webHidden/>
          </w:rPr>
        </w:r>
        <w:r>
          <w:rPr>
            <w:noProof/>
            <w:webHidden/>
          </w:rPr>
          <w:fldChar w:fldCharType="separate"/>
        </w:r>
        <w:r>
          <w:rPr>
            <w:noProof/>
            <w:webHidden/>
          </w:rPr>
          <w:t>211</w:t>
        </w:r>
        <w:r>
          <w:rPr>
            <w:noProof/>
            <w:webHidden/>
          </w:rPr>
          <w:fldChar w:fldCharType="end"/>
        </w:r>
      </w:hyperlink>
    </w:p>
    <w:p w:rsidR="004D1D76" w:rsidRDefault="004D1D76">
      <w:pPr>
        <w:pStyle w:val="Sumrio2"/>
        <w:tabs>
          <w:tab w:val="left" w:pos="1134"/>
        </w:tabs>
        <w:rPr>
          <w:rFonts w:asciiTheme="minorHAnsi" w:eastAsiaTheme="minorEastAsia" w:hAnsiTheme="minorHAnsi" w:cstheme="minorBidi"/>
          <w:noProof/>
          <w:sz w:val="22"/>
          <w:lang w:eastAsia="pt-BR"/>
        </w:rPr>
      </w:pPr>
      <w:hyperlink w:anchor="_Toc497469091" w:history="1">
        <w:r w:rsidRPr="0010505A">
          <w:rPr>
            <w:rStyle w:val="Hyperlink"/>
            <w:noProof/>
          </w:rPr>
          <w:t>4.5.</w:t>
        </w:r>
        <w:r>
          <w:rPr>
            <w:rFonts w:asciiTheme="minorHAnsi" w:eastAsiaTheme="minorEastAsia" w:hAnsiTheme="minorHAnsi" w:cstheme="minorBidi"/>
            <w:noProof/>
            <w:sz w:val="22"/>
            <w:lang w:eastAsia="pt-BR"/>
          </w:rPr>
          <w:tab/>
        </w:r>
        <w:r w:rsidRPr="0010505A">
          <w:rPr>
            <w:rStyle w:val="Hyperlink"/>
            <w:noProof/>
          </w:rPr>
          <w:t>Sistema de Limpeza Urbana e Manejo de Resíduos Sólidos</w:t>
        </w:r>
        <w:r>
          <w:rPr>
            <w:noProof/>
            <w:webHidden/>
          </w:rPr>
          <w:tab/>
        </w:r>
        <w:r>
          <w:rPr>
            <w:noProof/>
            <w:webHidden/>
          </w:rPr>
          <w:fldChar w:fldCharType="begin"/>
        </w:r>
        <w:r>
          <w:rPr>
            <w:noProof/>
            <w:webHidden/>
          </w:rPr>
          <w:instrText xml:space="preserve"> PAGEREF _Toc497469091 \h </w:instrText>
        </w:r>
        <w:r>
          <w:rPr>
            <w:noProof/>
            <w:webHidden/>
          </w:rPr>
        </w:r>
        <w:r>
          <w:rPr>
            <w:noProof/>
            <w:webHidden/>
          </w:rPr>
          <w:fldChar w:fldCharType="separate"/>
        </w:r>
        <w:r>
          <w:rPr>
            <w:noProof/>
            <w:webHidden/>
          </w:rPr>
          <w:t>214</w:t>
        </w:r>
        <w:r>
          <w:rPr>
            <w:noProof/>
            <w:webHidden/>
          </w:rPr>
          <w:fldChar w:fldCharType="end"/>
        </w:r>
      </w:hyperlink>
    </w:p>
    <w:p w:rsidR="004D1D76" w:rsidRDefault="004D1D76">
      <w:pPr>
        <w:pStyle w:val="Sumrio3"/>
        <w:tabs>
          <w:tab w:val="left" w:pos="1418"/>
        </w:tabs>
        <w:rPr>
          <w:rFonts w:asciiTheme="minorHAnsi" w:eastAsiaTheme="minorEastAsia" w:hAnsiTheme="minorHAnsi" w:cstheme="minorBidi"/>
          <w:i w:val="0"/>
          <w:noProof/>
          <w:sz w:val="22"/>
          <w:lang w:eastAsia="pt-BR"/>
        </w:rPr>
      </w:pPr>
      <w:hyperlink w:anchor="_Toc497469092" w:history="1">
        <w:r w:rsidRPr="0010505A">
          <w:rPr>
            <w:rStyle w:val="Hyperlink"/>
            <w:noProof/>
          </w:rPr>
          <w:t>4.5.1.</w:t>
        </w:r>
        <w:r>
          <w:rPr>
            <w:rFonts w:asciiTheme="minorHAnsi" w:eastAsiaTheme="minorEastAsia" w:hAnsiTheme="minorHAnsi" w:cstheme="minorBidi"/>
            <w:i w:val="0"/>
            <w:noProof/>
            <w:sz w:val="22"/>
            <w:lang w:eastAsia="pt-BR"/>
          </w:rPr>
          <w:tab/>
        </w:r>
        <w:r w:rsidRPr="0010505A">
          <w:rPr>
            <w:rStyle w:val="Hyperlink"/>
            <w:noProof/>
          </w:rPr>
          <w:t>Proposição de cenários</w:t>
        </w:r>
        <w:r>
          <w:rPr>
            <w:noProof/>
            <w:webHidden/>
          </w:rPr>
          <w:tab/>
        </w:r>
        <w:r>
          <w:rPr>
            <w:noProof/>
            <w:webHidden/>
          </w:rPr>
          <w:fldChar w:fldCharType="begin"/>
        </w:r>
        <w:r>
          <w:rPr>
            <w:noProof/>
            <w:webHidden/>
          </w:rPr>
          <w:instrText xml:space="preserve"> PAGEREF _Toc497469092 \h </w:instrText>
        </w:r>
        <w:r>
          <w:rPr>
            <w:noProof/>
            <w:webHidden/>
          </w:rPr>
        </w:r>
        <w:r>
          <w:rPr>
            <w:noProof/>
            <w:webHidden/>
          </w:rPr>
          <w:fldChar w:fldCharType="separate"/>
        </w:r>
        <w:r>
          <w:rPr>
            <w:noProof/>
            <w:webHidden/>
          </w:rPr>
          <w:t>214</w:t>
        </w:r>
        <w:r>
          <w:rPr>
            <w:noProof/>
            <w:webHidden/>
          </w:rPr>
          <w:fldChar w:fldCharType="end"/>
        </w:r>
      </w:hyperlink>
    </w:p>
    <w:p w:rsidR="004D1D76" w:rsidRDefault="004D1D76">
      <w:pPr>
        <w:pStyle w:val="Sumrio3"/>
        <w:tabs>
          <w:tab w:val="left" w:pos="1418"/>
        </w:tabs>
        <w:rPr>
          <w:rFonts w:asciiTheme="minorHAnsi" w:eastAsiaTheme="minorEastAsia" w:hAnsiTheme="minorHAnsi" w:cstheme="minorBidi"/>
          <w:i w:val="0"/>
          <w:noProof/>
          <w:sz w:val="22"/>
          <w:lang w:eastAsia="pt-BR"/>
        </w:rPr>
      </w:pPr>
      <w:hyperlink w:anchor="_Toc497469093" w:history="1">
        <w:r w:rsidRPr="0010505A">
          <w:rPr>
            <w:rStyle w:val="Hyperlink"/>
            <w:noProof/>
          </w:rPr>
          <w:t>4.5.2.</w:t>
        </w:r>
        <w:r>
          <w:rPr>
            <w:rFonts w:asciiTheme="minorHAnsi" w:eastAsiaTheme="minorEastAsia" w:hAnsiTheme="minorHAnsi" w:cstheme="minorBidi"/>
            <w:i w:val="0"/>
            <w:noProof/>
            <w:sz w:val="22"/>
            <w:lang w:eastAsia="pt-BR"/>
          </w:rPr>
          <w:tab/>
        </w:r>
        <w:r w:rsidRPr="0010505A">
          <w:rPr>
            <w:rStyle w:val="Hyperlink"/>
            <w:noProof/>
          </w:rPr>
          <w:t>Objetivos e metas</w:t>
        </w:r>
        <w:r>
          <w:rPr>
            <w:noProof/>
            <w:webHidden/>
          </w:rPr>
          <w:tab/>
        </w:r>
        <w:r>
          <w:rPr>
            <w:noProof/>
            <w:webHidden/>
          </w:rPr>
          <w:fldChar w:fldCharType="begin"/>
        </w:r>
        <w:r>
          <w:rPr>
            <w:noProof/>
            <w:webHidden/>
          </w:rPr>
          <w:instrText xml:space="preserve"> PAGEREF _Toc497469093 \h </w:instrText>
        </w:r>
        <w:r>
          <w:rPr>
            <w:noProof/>
            <w:webHidden/>
          </w:rPr>
        </w:r>
        <w:r>
          <w:rPr>
            <w:noProof/>
            <w:webHidden/>
          </w:rPr>
          <w:fldChar w:fldCharType="separate"/>
        </w:r>
        <w:r>
          <w:rPr>
            <w:noProof/>
            <w:webHidden/>
          </w:rPr>
          <w:t>217</w:t>
        </w:r>
        <w:r>
          <w:rPr>
            <w:noProof/>
            <w:webHidden/>
          </w:rPr>
          <w:fldChar w:fldCharType="end"/>
        </w:r>
      </w:hyperlink>
    </w:p>
    <w:p w:rsidR="004D1D76" w:rsidRDefault="004D1D76">
      <w:pPr>
        <w:pStyle w:val="Sumrio1"/>
        <w:tabs>
          <w:tab w:val="left" w:pos="567"/>
        </w:tabs>
        <w:rPr>
          <w:rFonts w:asciiTheme="minorHAnsi" w:eastAsiaTheme="minorEastAsia" w:hAnsiTheme="minorHAnsi" w:cstheme="minorBidi"/>
          <w:b w:val="0"/>
          <w:noProof/>
          <w:sz w:val="22"/>
          <w:szCs w:val="22"/>
        </w:rPr>
      </w:pPr>
      <w:hyperlink w:anchor="_Toc497469094" w:history="1">
        <w:r w:rsidRPr="0010505A">
          <w:rPr>
            <w:rStyle w:val="Hyperlink"/>
            <w:noProof/>
          </w:rPr>
          <w:t>5.</w:t>
        </w:r>
        <w:r>
          <w:rPr>
            <w:rFonts w:asciiTheme="minorHAnsi" w:eastAsiaTheme="minorEastAsia" w:hAnsiTheme="minorHAnsi" w:cstheme="minorBidi"/>
            <w:b w:val="0"/>
            <w:noProof/>
            <w:sz w:val="22"/>
            <w:szCs w:val="22"/>
          </w:rPr>
          <w:tab/>
        </w:r>
        <w:r w:rsidRPr="0010505A">
          <w:rPr>
            <w:rStyle w:val="Hyperlink"/>
            <w:noProof/>
          </w:rPr>
          <w:t>RELATÓRIO DAS OFICINAS</w:t>
        </w:r>
        <w:r>
          <w:rPr>
            <w:noProof/>
            <w:webHidden/>
          </w:rPr>
          <w:tab/>
        </w:r>
        <w:r>
          <w:rPr>
            <w:noProof/>
            <w:webHidden/>
          </w:rPr>
          <w:fldChar w:fldCharType="begin"/>
        </w:r>
        <w:r>
          <w:rPr>
            <w:noProof/>
            <w:webHidden/>
          </w:rPr>
          <w:instrText xml:space="preserve"> PAGEREF _Toc497469094 \h </w:instrText>
        </w:r>
        <w:r>
          <w:rPr>
            <w:noProof/>
            <w:webHidden/>
          </w:rPr>
        </w:r>
        <w:r>
          <w:rPr>
            <w:noProof/>
            <w:webHidden/>
          </w:rPr>
          <w:fldChar w:fldCharType="separate"/>
        </w:r>
        <w:r>
          <w:rPr>
            <w:noProof/>
            <w:webHidden/>
          </w:rPr>
          <w:t>222</w:t>
        </w:r>
        <w:r>
          <w:rPr>
            <w:noProof/>
            <w:webHidden/>
          </w:rPr>
          <w:fldChar w:fldCharType="end"/>
        </w:r>
      </w:hyperlink>
    </w:p>
    <w:p w:rsidR="004D1D76" w:rsidRDefault="004D1D76">
      <w:pPr>
        <w:pStyle w:val="Sumrio1"/>
        <w:tabs>
          <w:tab w:val="left" w:pos="567"/>
        </w:tabs>
        <w:rPr>
          <w:rFonts w:asciiTheme="minorHAnsi" w:eastAsiaTheme="minorEastAsia" w:hAnsiTheme="minorHAnsi" w:cstheme="minorBidi"/>
          <w:b w:val="0"/>
          <w:noProof/>
          <w:sz w:val="22"/>
          <w:szCs w:val="22"/>
        </w:rPr>
      </w:pPr>
      <w:hyperlink w:anchor="_Toc497469095" w:history="1">
        <w:r w:rsidRPr="0010505A">
          <w:rPr>
            <w:rStyle w:val="Hyperlink"/>
            <w:noProof/>
          </w:rPr>
          <w:t>6.</w:t>
        </w:r>
        <w:r>
          <w:rPr>
            <w:rFonts w:asciiTheme="minorHAnsi" w:eastAsiaTheme="minorEastAsia" w:hAnsiTheme="minorHAnsi" w:cstheme="minorBidi"/>
            <w:b w:val="0"/>
            <w:noProof/>
            <w:sz w:val="22"/>
            <w:szCs w:val="22"/>
          </w:rPr>
          <w:tab/>
        </w:r>
        <w:r w:rsidRPr="0010505A">
          <w:rPr>
            <w:rStyle w:val="Hyperlink"/>
            <w:noProof/>
          </w:rPr>
          <w:t>CONSIDERAÇÕES FINAIS</w:t>
        </w:r>
        <w:r>
          <w:rPr>
            <w:noProof/>
            <w:webHidden/>
          </w:rPr>
          <w:tab/>
        </w:r>
        <w:r>
          <w:rPr>
            <w:noProof/>
            <w:webHidden/>
          </w:rPr>
          <w:fldChar w:fldCharType="begin"/>
        </w:r>
        <w:r>
          <w:rPr>
            <w:noProof/>
            <w:webHidden/>
          </w:rPr>
          <w:instrText xml:space="preserve"> PAGEREF _Toc497469095 \h </w:instrText>
        </w:r>
        <w:r>
          <w:rPr>
            <w:noProof/>
            <w:webHidden/>
          </w:rPr>
        </w:r>
        <w:r>
          <w:rPr>
            <w:noProof/>
            <w:webHidden/>
          </w:rPr>
          <w:fldChar w:fldCharType="separate"/>
        </w:r>
        <w:r>
          <w:rPr>
            <w:noProof/>
            <w:webHidden/>
          </w:rPr>
          <w:t>225</w:t>
        </w:r>
        <w:r>
          <w:rPr>
            <w:noProof/>
            <w:webHidden/>
          </w:rPr>
          <w:fldChar w:fldCharType="end"/>
        </w:r>
      </w:hyperlink>
    </w:p>
    <w:p w:rsidR="004D1D76" w:rsidRDefault="004D1D76">
      <w:pPr>
        <w:pStyle w:val="Sumrio1"/>
        <w:tabs>
          <w:tab w:val="left" w:pos="567"/>
        </w:tabs>
        <w:rPr>
          <w:rFonts w:asciiTheme="minorHAnsi" w:eastAsiaTheme="minorEastAsia" w:hAnsiTheme="minorHAnsi" w:cstheme="minorBidi"/>
          <w:b w:val="0"/>
          <w:noProof/>
          <w:sz w:val="22"/>
          <w:szCs w:val="22"/>
        </w:rPr>
      </w:pPr>
      <w:hyperlink w:anchor="_Toc497469096" w:history="1">
        <w:r w:rsidRPr="0010505A">
          <w:rPr>
            <w:rStyle w:val="Hyperlink"/>
            <w:noProof/>
          </w:rPr>
          <w:t>7.</w:t>
        </w:r>
        <w:r>
          <w:rPr>
            <w:rFonts w:asciiTheme="minorHAnsi" w:eastAsiaTheme="minorEastAsia" w:hAnsiTheme="minorHAnsi" w:cstheme="minorBidi"/>
            <w:b w:val="0"/>
            <w:noProof/>
            <w:sz w:val="22"/>
            <w:szCs w:val="22"/>
          </w:rPr>
          <w:tab/>
        </w:r>
        <w:r w:rsidRPr="0010505A">
          <w:rPr>
            <w:rStyle w:val="Hyperlink"/>
            <w:noProof/>
          </w:rPr>
          <w:t>BIBLIOGRAFIA</w:t>
        </w:r>
        <w:r>
          <w:rPr>
            <w:noProof/>
            <w:webHidden/>
          </w:rPr>
          <w:tab/>
        </w:r>
        <w:r>
          <w:rPr>
            <w:noProof/>
            <w:webHidden/>
          </w:rPr>
          <w:fldChar w:fldCharType="begin"/>
        </w:r>
        <w:r>
          <w:rPr>
            <w:noProof/>
            <w:webHidden/>
          </w:rPr>
          <w:instrText xml:space="preserve"> PAGEREF _Toc497469096 \h </w:instrText>
        </w:r>
        <w:r>
          <w:rPr>
            <w:noProof/>
            <w:webHidden/>
          </w:rPr>
        </w:r>
        <w:r>
          <w:rPr>
            <w:noProof/>
            <w:webHidden/>
          </w:rPr>
          <w:fldChar w:fldCharType="separate"/>
        </w:r>
        <w:r>
          <w:rPr>
            <w:noProof/>
            <w:webHidden/>
          </w:rPr>
          <w:t>226</w:t>
        </w:r>
        <w:r>
          <w:rPr>
            <w:noProof/>
            <w:webHidden/>
          </w:rPr>
          <w:fldChar w:fldCharType="end"/>
        </w:r>
      </w:hyperlink>
    </w:p>
    <w:p w:rsidR="00C57ADC" w:rsidRPr="00F94A69" w:rsidRDefault="00DD0AEC" w:rsidP="00C57ADC">
      <w:pPr>
        <w:rPr>
          <w:rFonts w:cs="Arial"/>
        </w:rPr>
      </w:pPr>
      <w:r w:rsidRPr="00F94A69">
        <w:rPr>
          <w:rFonts w:eastAsia="Times New Roman" w:cs="Arial"/>
          <w:szCs w:val="20"/>
          <w:lang w:eastAsia="pt-BR"/>
        </w:rPr>
        <w:fldChar w:fldCharType="end"/>
      </w:r>
    </w:p>
    <w:p w:rsidR="00C57ADC" w:rsidRPr="00F94A69" w:rsidRDefault="00C57ADC" w:rsidP="00C57ADC">
      <w:pPr>
        <w:pStyle w:val="Ttulo1"/>
      </w:pPr>
      <w:bookmarkStart w:id="0" w:name="_Toc433894160"/>
      <w:bookmarkStart w:id="1" w:name="_Toc497468977"/>
      <w:r w:rsidRPr="00F94A69">
        <w:t>Lista de Figuras</w:t>
      </w:r>
      <w:bookmarkEnd w:id="0"/>
      <w:bookmarkEnd w:id="1"/>
    </w:p>
    <w:p w:rsidR="004D1D76" w:rsidRDefault="00DD0AEC">
      <w:pPr>
        <w:pStyle w:val="ndicedeilustraes"/>
        <w:rPr>
          <w:rFonts w:asciiTheme="minorHAnsi" w:eastAsiaTheme="minorEastAsia" w:hAnsiTheme="minorHAnsi" w:cstheme="minorBidi"/>
          <w:noProof/>
          <w:sz w:val="22"/>
          <w:lang w:eastAsia="pt-BR"/>
        </w:rPr>
      </w:pPr>
      <w:r w:rsidRPr="00F94A69">
        <w:rPr>
          <w:rFonts w:cs="Arial"/>
          <w:lang w:eastAsia="x-none"/>
        </w:rPr>
        <w:fldChar w:fldCharType="begin"/>
      </w:r>
      <w:r w:rsidRPr="00F94A69">
        <w:rPr>
          <w:rFonts w:cs="Arial"/>
          <w:lang w:eastAsia="x-none"/>
        </w:rPr>
        <w:instrText xml:space="preserve"> TOC \h \z \c "Figura" </w:instrText>
      </w:r>
      <w:r w:rsidRPr="00F94A69">
        <w:rPr>
          <w:rFonts w:cs="Arial"/>
          <w:lang w:eastAsia="x-none"/>
        </w:rPr>
        <w:fldChar w:fldCharType="separate"/>
      </w:r>
      <w:hyperlink w:anchor="_Toc497469097" w:history="1">
        <w:r w:rsidR="004D1D76" w:rsidRPr="000811F3">
          <w:rPr>
            <w:rStyle w:val="Hyperlink"/>
            <w:noProof/>
          </w:rPr>
          <w:t>Figura 1 - Localização do antigo ponto de captação e o novo ponto proposto para a sede</w:t>
        </w:r>
        <w:r w:rsidR="004D1D76">
          <w:rPr>
            <w:noProof/>
            <w:webHidden/>
          </w:rPr>
          <w:tab/>
        </w:r>
        <w:r w:rsidR="004D1D76">
          <w:rPr>
            <w:noProof/>
            <w:webHidden/>
          </w:rPr>
          <w:fldChar w:fldCharType="begin"/>
        </w:r>
        <w:r w:rsidR="004D1D76">
          <w:rPr>
            <w:noProof/>
            <w:webHidden/>
          </w:rPr>
          <w:instrText xml:space="preserve"> PAGEREF _Toc497469097 \h </w:instrText>
        </w:r>
        <w:r w:rsidR="004D1D76">
          <w:rPr>
            <w:noProof/>
            <w:webHidden/>
          </w:rPr>
        </w:r>
        <w:r w:rsidR="004D1D76">
          <w:rPr>
            <w:noProof/>
            <w:webHidden/>
          </w:rPr>
          <w:fldChar w:fldCharType="separate"/>
        </w:r>
        <w:r w:rsidR="004D1D76">
          <w:rPr>
            <w:noProof/>
            <w:webHidden/>
          </w:rPr>
          <w:t>32</w:t>
        </w:r>
        <w:r w:rsidR="004D1D76">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098" w:history="1">
        <w:r w:rsidRPr="000811F3">
          <w:rPr>
            <w:rStyle w:val="Hyperlink"/>
            <w:noProof/>
          </w:rPr>
          <w:t>Figura 2 - Visão panorâmica do local proposto para a sede</w:t>
        </w:r>
        <w:r>
          <w:rPr>
            <w:noProof/>
            <w:webHidden/>
          </w:rPr>
          <w:tab/>
        </w:r>
        <w:r>
          <w:rPr>
            <w:noProof/>
            <w:webHidden/>
          </w:rPr>
          <w:fldChar w:fldCharType="begin"/>
        </w:r>
        <w:r>
          <w:rPr>
            <w:noProof/>
            <w:webHidden/>
          </w:rPr>
          <w:instrText xml:space="preserve"> PAGEREF _Toc497469098 \h </w:instrText>
        </w:r>
        <w:r>
          <w:rPr>
            <w:noProof/>
            <w:webHidden/>
          </w:rPr>
        </w:r>
        <w:r>
          <w:rPr>
            <w:noProof/>
            <w:webHidden/>
          </w:rPr>
          <w:fldChar w:fldCharType="separate"/>
        </w:r>
        <w:r>
          <w:rPr>
            <w:noProof/>
            <w:webHidden/>
          </w:rPr>
          <w:t>32</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099" w:history="1">
        <w:r w:rsidRPr="000811F3">
          <w:rPr>
            <w:rStyle w:val="Hyperlink"/>
            <w:noProof/>
          </w:rPr>
          <w:t>Figura 3 - Esquema do sistema de cloração desenvolvido pela Embrapa</w:t>
        </w:r>
        <w:r>
          <w:rPr>
            <w:noProof/>
            <w:webHidden/>
          </w:rPr>
          <w:tab/>
        </w:r>
        <w:r>
          <w:rPr>
            <w:noProof/>
            <w:webHidden/>
          </w:rPr>
          <w:fldChar w:fldCharType="begin"/>
        </w:r>
        <w:r>
          <w:rPr>
            <w:noProof/>
            <w:webHidden/>
          </w:rPr>
          <w:instrText xml:space="preserve"> PAGEREF _Toc497469099 \h </w:instrText>
        </w:r>
        <w:r>
          <w:rPr>
            <w:noProof/>
            <w:webHidden/>
          </w:rPr>
        </w:r>
        <w:r>
          <w:rPr>
            <w:noProof/>
            <w:webHidden/>
          </w:rPr>
          <w:fldChar w:fldCharType="separate"/>
        </w:r>
        <w:r>
          <w:rPr>
            <w:noProof/>
            <w:webHidden/>
          </w:rPr>
          <w:t>35</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00" w:history="1">
        <w:r w:rsidRPr="000811F3">
          <w:rPr>
            <w:rStyle w:val="Hyperlink"/>
            <w:noProof/>
          </w:rPr>
          <w:t>Figura 4 - Esquema geral de filtragem de água de uma nascente</w:t>
        </w:r>
        <w:r>
          <w:rPr>
            <w:noProof/>
            <w:webHidden/>
          </w:rPr>
          <w:tab/>
        </w:r>
        <w:r>
          <w:rPr>
            <w:noProof/>
            <w:webHidden/>
          </w:rPr>
          <w:fldChar w:fldCharType="begin"/>
        </w:r>
        <w:r>
          <w:rPr>
            <w:noProof/>
            <w:webHidden/>
          </w:rPr>
          <w:instrText xml:space="preserve"> PAGEREF _Toc497469100 \h </w:instrText>
        </w:r>
        <w:r>
          <w:rPr>
            <w:noProof/>
            <w:webHidden/>
          </w:rPr>
        </w:r>
        <w:r>
          <w:rPr>
            <w:noProof/>
            <w:webHidden/>
          </w:rPr>
          <w:fldChar w:fldCharType="separate"/>
        </w:r>
        <w:r>
          <w:rPr>
            <w:noProof/>
            <w:webHidden/>
          </w:rPr>
          <w:t>36</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01" w:history="1">
        <w:r w:rsidRPr="000811F3">
          <w:rPr>
            <w:rStyle w:val="Hyperlink"/>
            <w:noProof/>
          </w:rPr>
          <w:t>Figura 5 - Alternativa locacional da ETE para  município de Córrego Novo</w:t>
        </w:r>
        <w:r>
          <w:rPr>
            <w:noProof/>
            <w:webHidden/>
          </w:rPr>
          <w:tab/>
        </w:r>
        <w:r>
          <w:rPr>
            <w:noProof/>
            <w:webHidden/>
          </w:rPr>
          <w:fldChar w:fldCharType="begin"/>
        </w:r>
        <w:r>
          <w:rPr>
            <w:noProof/>
            <w:webHidden/>
          </w:rPr>
          <w:instrText xml:space="preserve"> PAGEREF _Toc497469101 \h </w:instrText>
        </w:r>
        <w:r>
          <w:rPr>
            <w:noProof/>
            <w:webHidden/>
          </w:rPr>
        </w:r>
        <w:r>
          <w:rPr>
            <w:noProof/>
            <w:webHidden/>
          </w:rPr>
          <w:fldChar w:fldCharType="separate"/>
        </w:r>
        <w:r>
          <w:rPr>
            <w:noProof/>
            <w:webHidden/>
          </w:rPr>
          <w:t>57</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02" w:history="1">
        <w:r w:rsidRPr="000811F3">
          <w:rPr>
            <w:rStyle w:val="Hyperlink"/>
            <w:noProof/>
          </w:rPr>
          <w:t>Figura 6 - Esquema do sistema de fossas/tanques sépticos em conjunto com o filtro anaeróbio</w:t>
        </w:r>
        <w:r>
          <w:rPr>
            <w:noProof/>
            <w:webHidden/>
          </w:rPr>
          <w:tab/>
        </w:r>
        <w:r>
          <w:rPr>
            <w:noProof/>
            <w:webHidden/>
          </w:rPr>
          <w:fldChar w:fldCharType="begin"/>
        </w:r>
        <w:r>
          <w:rPr>
            <w:noProof/>
            <w:webHidden/>
          </w:rPr>
          <w:instrText xml:space="preserve"> PAGEREF _Toc497469102 \h </w:instrText>
        </w:r>
        <w:r>
          <w:rPr>
            <w:noProof/>
            <w:webHidden/>
          </w:rPr>
        </w:r>
        <w:r>
          <w:rPr>
            <w:noProof/>
            <w:webHidden/>
          </w:rPr>
          <w:fldChar w:fldCharType="separate"/>
        </w:r>
        <w:r>
          <w:rPr>
            <w:noProof/>
            <w:webHidden/>
          </w:rPr>
          <w:t>59</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03" w:history="1">
        <w:r w:rsidRPr="000811F3">
          <w:rPr>
            <w:rStyle w:val="Hyperlink"/>
            <w:noProof/>
          </w:rPr>
          <w:t>Figura 7 - Esquema de um sumidouro</w:t>
        </w:r>
        <w:r>
          <w:rPr>
            <w:noProof/>
            <w:webHidden/>
          </w:rPr>
          <w:tab/>
        </w:r>
        <w:r>
          <w:rPr>
            <w:noProof/>
            <w:webHidden/>
          </w:rPr>
          <w:fldChar w:fldCharType="begin"/>
        </w:r>
        <w:r>
          <w:rPr>
            <w:noProof/>
            <w:webHidden/>
          </w:rPr>
          <w:instrText xml:space="preserve"> PAGEREF _Toc497469103 \h </w:instrText>
        </w:r>
        <w:r>
          <w:rPr>
            <w:noProof/>
            <w:webHidden/>
          </w:rPr>
        </w:r>
        <w:r>
          <w:rPr>
            <w:noProof/>
            <w:webHidden/>
          </w:rPr>
          <w:fldChar w:fldCharType="separate"/>
        </w:r>
        <w:r>
          <w:rPr>
            <w:noProof/>
            <w:webHidden/>
          </w:rPr>
          <w:t>59</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04" w:history="1">
        <w:r w:rsidRPr="000811F3">
          <w:rPr>
            <w:rStyle w:val="Hyperlink"/>
            <w:noProof/>
          </w:rPr>
          <w:t>Figura 8 - Dados do Atlas Digital das Águas de Minas para o município de Córrego Novo</w:t>
        </w:r>
        <w:r>
          <w:rPr>
            <w:noProof/>
            <w:webHidden/>
          </w:rPr>
          <w:tab/>
        </w:r>
        <w:r>
          <w:rPr>
            <w:noProof/>
            <w:webHidden/>
          </w:rPr>
          <w:fldChar w:fldCharType="begin"/>
        </w:r>
        <w:r>
          <w:rPr>
            <w:noProof/>
            <w:webHidden/>
          </w:rPr>
          <w:instrText xml:space="preserve"> PAGEREF _Toc497469104 \h </w:instrText>
        </w:r>
        <w:r>
          <w:rPr>
            <w:noProof/>
            <w:webHidden/>
          </w:rPr>
        </w:r>
        <w:r>
          <w:rPr>
            <w:noProof/>
            <w:webHidden/>
          </w:rPr>
          <w:fldChar w:fldCharType="separate"/>
        </w:r>
        <w:r>
          <w:rPr>
            <w:noProof/>
            <w:webHidden/>
          </w:rPr>
          <w:t>61</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05" w:history="1">
        <w:r w:rsidRPr="000811F3">
          <w:rPr>
            <w:rStyle w:val="Hyperlink"/>
            <w:noProof/>
          </w:rPr>
          <w:t>Figura 9 - Aumento do pico em função da proporção de área</w:t>
        </w:r>
        <w:r>
          <w:rPr>
            <w:noProof/>
            <w:webHidden/>
          </w:rPr>
          <w:tab/>
        </w:r>
        <w:r>
          <w:rPr>
            <w:noProof/>
            <w:webHidden/>
          </w:rPr>
          <w:fldChar w:fldCharType="begin"/>
        </w:r>
        <w:r>
          <w:rPr>
            <w:noProof/>
            <w:webHidden/>
          </w:rPr>
          <w:instrText xml:space="preserve"> PAGEREF _Toc497469105 \h </w:instrText>
        </w:r>
        <w:r>
          <w:rPr>
            <w:noProof/>
            <w:webHidden/>
          </w:rPr>
        </w:r>
        <w:r>
          <w:rPr>
            <w:noProof/>
            <w:webHidden/>
          </w:rPr>
          <w:fldChar w:fldCharType="separate"/>
        </w:r>
        <w:r>
          <w:rPr>
            <w:noProof/>
            <w:webHidden/>
          </w:rPr>
          <w:t>68</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06" w:history="1">
        <w:r w:rsidRPr="000811F3">
          <w:rPr>
            <w:rStyle w:val="Hyperlink"/>
            <w:noProof/>
          </w:rPr>
          <w:t>Figura 10 - Esquema de vala de infiltração</w:t>
        </w:r>
        <w:r>
          <w:rPr>
            <w:noProof/>
            <w:webHidden/>
          </w:rPr>
          <w:tab/>
        </w:r>
        <w:r>
          <w:rPr>
            <w:noProof/>
            <w:webHidden/>
          </w:rPr>
          <w:fldChar w:fldCharType="begin"/>
        </w:r>
        <w:r>
          <w:rPr>
            <w:noProof/>
            <w:webHidden/>
          </w:rPr>
          <w:instrText xml:space="preserve"> PAGEREF _Toc497469106 \h </w:instrText>
        </w:r>
        <w:r>
          <w:rPr>
            <w:noProof/>
            <w:webHidden/>
          </w:rPr>
        </w:r>
        <w:r>
          <w:rPr>
            <w:noProof/>
            <w:webHidden/>
          </w:rPr>
          <w:fldChar w:fldCharType="separate"/>
        </w:r>
        <w:r>
          <w:rPr>
            <w:noProof/>
            <w:webHidden/>
          </w:rPr>
          <w:t>81</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07" w:history="1">
        <w:r w:rsidRPr="000811F3">
          <w:rPr>
            <w:rStyle w:val="Hyperlink"/>
            <w:noProof/>
          </w:rPr>
          <w:t>Figura 11 - Bacia de amortecimento transformada em espaço pra lazer</w:t>
        </w:r>
        <w:r>
          <w:rPr>
            <w:noProof/>
            <w:webHidden/>
          </w:rPr>
          <w:tab/>
        </w:r>
        <w:r>
          <w:rPr>
            <w:noProof/>
            <w:webHidden/>
          </w:rPr>
          <w:fldChar w:fldCharType="begin"/>
        </w:r>
        <w:r>
          <w:rPr>
            <w:noProof/>
            <w:webHidden/>
          </w:rPr>
          <w:instrText xml:space="preserve"> PAGEREF _Toc497469107 \h </w:instrText>
        </w:r>
        <w:r>
          <w:rPr>
            <w:noProof/>
            <w:webHidden/>
          </w:rPr>
        </w:r>
        <w:r>
          <w:rPr>
            <w:noProof/>
            <w:webHidden/>
          </w:rPr>
          <w:fldChar w:fldCharType="separate"/>
        </w:r>
        <w:r>
          <w:rPr>
            <w:noProof/>
            <w:webHidden/>
          </w:rPr>
          <w:t>82</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08" w:history="1">
        <w:r w:rsidRPr="000811F3">
          <w:rPr>
            <w:rStyle w:val="Hyperlink"/>
            <w:noProof/>
          </w:rPr>
          <w:t>Figura 12 - Exemplo de distribuição de lotes e vias públicas nas margens de cursos d’agua</w:t>
        </w:r>
        <w:r>
          <w:rPr>
            <w:noProof/>
            <w:webHidden/>
          </w:rPr>
          <w:tab/>
        </w:r>
        <w:r>
          <w:rPr>
            <w:noProof/>
            <w:webHidden/>
          </w:rPr>
          <w:fldChar w:fldCharType="begin"/>
        </w:r>
        <w:r>
          <w:rPr>
            <w:noProof/>
            <w:webHidden/>
          </w:rPr>
          <w:instrText xml:space="preserve"> PAGEREF _Toc497469108 \h </w:instrText>
        </w:r>
        <w:r>
          <w:rPr>
            <w:noProof/>
            <w:webHidden/>
          </w:rPr>
        </w:r>
        <w:r>
          <w:rPr>
            <w:noProof/>
            <w:webHidden/>
          </w:rPr>
          <w:fldChar w:fldCharType="separate"/>
        </w:r>
        <w:r>
          <w:rPr>
            <w:noProof/>
            <w:webHidden/>
          </w:rPr>
          <w:t>86</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09" w:history="1">
        <w:r w:rsidRPr="000811F3">
          <w:rPr>
            <w:rStyle w:val="Hyperlink"/>
            <w:noProof/>
          </w:rPr>
          <w:t>Figura 13 - Exemplo de parcelamento do solo considerando aspectos</w:t>
        </w:r>
        <w:r>
          <w:rPr>
            <w:noProof/>
            <w:webHidden/>
          </w:rPr>
          <w:tab/>
        </w:r>
        <w:r>
          <w:rPr>
            <w:noProof/>
            <w:webHidden/>
          </w:rPr>
          <w:fldChar w:fldCharType="begin"/>
        </w:r>
        <w:r>
          <w:rPr>
            <w:noProof/>
            <w:webHidden/>
          </w:rPr>
          <w:instrText xml:space="preserve"> PAGEREF _Toc497469109 \h </w:instrText>
        </w:r>
        <w:r>
          <w:rPr>
            <w:noProof/>
            <w:webHidden/>
          </w:rPr>
        </w:r>
        <w:r>
          <w:rPr>
            <w:noProof/>
            <w:webHidden/>
          </w:rPr>
          <w:fldChar w:fldCharType="separate"/>
        </w:r>
        <w:r>
          <w:rPr>
            <w:noProof/>
            <w:webHidden/>
          </w:rPr>
          <w:t>86</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10" w:history="1">
        <w:r w:rsidRPr="000811F3">
          <w:rPr>
            <w:rStyle w:val="Hyperlink"/>
            <w:noProof/>
          </w:rPr>
          <w:t>Figura 14 - Critérios a serem adotados para escolha da localização da área</w:t>
        </w:r>
        <w:r>
          <w:rPr>
            <w:noProof/>
            <w:webHidden/>
          </w:rPr>
          <w:tab/>
        </w:r>
        <w:r>
          <w:rPr>
            <w:noProof/>
            <w:webHidden/>
          </w:rPr>
          <w:fldChar w:fldCharType="begin"/>
        </w:r>
        <w:r>
          <w:rPr>
            <w:noProof/>
            <w:webHidden/>
          </w:rPr>
          <w:instrText xml:space="preserve"> PAGEREF _Toc497469110 \h </w:instrText>
        </w:r>
        <w:r>
          <w:rPr>
            <w:noProof/>
            <w:webHidden/>
          </w:rPr>
        </w:r>
        <w:r>
          <w:rPr>
            <w:noProof/>
            <w:webHidden/>
          </w:rPr>
          <w:fldChar w:fldCharType="separate"/>
        </w:r>
        <w:r>
          <w:rPr>
            <w:noProof/>
            <w:webHidden/>
          </w:rPr>
          <w:t>107</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11" w:history="1">
        <w:r w:rsidRPr="000811F3">
          <w:rPr>
            <w:rStyle w:val="Hyperlink"/>
            <w:noProof/>
          </w:rPr>
          <w:t>Figura 15 - Áreas sugeridas para instalação do Aterro Sanitário (AS)</w:t>
        </w:r>
        <w:r>
          <w:rPr>
            <w:noProof/>
            <w:webHidden/>
          </w:rPr>
          <w:tab/>
        </w:r>
        <w:r>
          <w:rPr>
            <w:noProof/>
            <w:webHidden/>
          </w:rPr>
          <w:fldChar w:fldCharType="begin"/>
        </w:r>
        <w:r>
          <w:rPr>
            <w:noProof/>
            <w:webHidden/>
          </w:rPr>
          <w:instrText xml:space="preserve"> PAGEREF _Toc497469111 \h </w:instrText>
        </w:r>
        <w:r>
          <w:rPr>
            <w:noProof/>
            <w:webHidden/>
          </w:rPr>
        </w:r>
        <w:r>
          <w:rPr>
            <w:noProof/>
            <w:webHidden/>
          </w:rPr>
          <w:fldChar w:fldCharType="separate"/>
        </w:r>
        <w:r>
          <w:rPr>
            <w:noProof/>
            <w:webHidden/>
          </w:rPr>
          <w:t>110</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12" w:history="1">
        <w:r w:rsidRPr="000811F3">
          <w:rPr>
            <w:rStyle w:val="Hyperlink"/>
            <w:noProof/>
          </w:rPr>
          <w:t>Figura 16 - Áreas sugeridas para instalação do Aterro Sanitário (AS)</w:t>
        </w:r>
        <w:r>
          <w:rPr>
            <w:noProof/>
            <w:webHidden/>
          </w:rPr>
          <w:tab/>
        </w:r>
        <w:r>
          <w:rPr>
            <w:noProof/>
            <w:webHidden/>
          </w:rPr>
          <w:fldChar w:fldCharType="begin"/>
        </w:r>
        <w:r>
          <w:rPr>
            <w:noProof/>
            <w:webHidden/>
          </w:rPr>
          <w:instrText xml:space="preserve"> PAGEREF _Toc497469112 \h </w:instrText>
        </w:r>
        <w:r>
          <w:rPr>
            <w:noProof/>
            <w:webHidden/>
          </w:rPr>
        </w:r>
        <w:r>
          <w:rPr>
            <w:noProof/>
            <w:webHidden/>
          </w:rPr>
          <w:fldChar w:fldCharType="separate"/>
        </w:r>
        <w:r>
          <w:rPr>
            <w:noProof/>
            <w:webHidden/>
          </w:rPr>
          <w:t>111</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13" w:history="1">
        <w:r w:rsidRPr="000811F3">
          <w:rPr>
            <w:rStyle w:val="Hyperlink"/>
            <w:noProof/>
          </w:rPr>
          <w:t>Figura 17 - Objetivos da regulação dos serviços de saneamento básico</w:t>
        </w:r>
        <w:r>
          <w:rPr>
            <w:noProof/>
            <w:webHidden/>
          </w:rPr>
          <w:tab/>
        </w:r>
        <w:r>
          <w:rPr>
            <w:noProof/>
            <w:webHidden/>
          </w:rPr>
          <w:fldChar w:fldCharType="begin"/>
        </w:r>
        <w:r>
          <w:rPr>
            <w:noProof/>
            <w:webHidden/>
          </w:rPr>
          <w:instrText xml:space="preserve"> PAGEREF _Toc497469113 \h </w:instrText>
        </w:r>
        <w:r>
          <w:rPr>
            <w:noProof/>
            <w:webHidden/>
          </w:rPr>
        </w:r>
        <w:r>
          <w:rPr>
            <w:noProof/>
            <w:webHidden/>
          </w:rPr>
          <w:fldChar w:fldCharType="separate"/>
        </w:r>
        <w:r>
          <w:rPr>
            <w:noProof/>
            <w:webHidden/>
          </w:rPr>
          <w:t>133</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14" w:history="1">
        <w:r w:rsidRPr="000811F3">
          <w:rPr>
            <w:rStyle w:val="Hyperlink"/>
            <w:noProof/>
          </w:rPr>
          <w:t>Figura 18 - Gestão dos resíduos domiciliares</w:t>
        </w:r>
        <w:r>
          <w:rPr>
            <w:noProof/>
            <w:webHidden/>
          </w:rPr>
          <w:tab/>
        </w:r>
        <w:r>
          <w:rPr>
            <w:noProof/>
            <w:webHidden/>
          </w:rPr>
          <w:fldChar w:fldCharType="begin"/>
        </w:r>
        <w:r>
          <w:rPr>
            <w:noProof/>
            <w:webHidden/>
          </w:rPr>
          <w:instrText xml:space="preserve"> PAGEREF _Toc497469114 \h </w:instrText>
        </w:r>
        <w:r>
          <w:rPr>
            <w:noProof/>
            <w:webHidden/>
          </w:rPr>
        </w:r>
        <w:r>
          <w:rPr>
            <w:noProof/>
            <w:webHidden/>
          </w:rPr>
          <w:fldChar w:fldCharType="separate"/>
        </w:r>
        <w:r>
          <w:rPr>
            <w:noProof/>
            <w:webHidden/>
          </w:rPr>
          <w:t>157</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15" w:history="1">
        <w:r w:rsidRPr="000811F3">
          <w:rPr>
            <w:rStyle w:val="Hyperlink"/>
            <w:noProof/>
          </w:rPr>
          <w:t>Figura 19 - Procedimentos para não geração, redução, reutilização e reciclagem de resíduos sólidos</w:t>
        </w:r>
        <w:r>
          <w:rPr>
            <w:noProof/>
            <w:webHidden/>
          </w:rPr>
          <w:tab/>
        </w:r>
        <w:r>
          <w:rPr>
            <w:noProof/>
            <w:webHidden/>
          </w:rPr>
          <w:fldChar w:fldCharType="begin"/>
        </w:r>
        <w:r>
          <w:rPr>
            <w:noProof/>
            <w:webHidden/>
          </w:rPr>
          <w:instrText xml:space="preserve"> PAGEREF _Toc497469115 \h </w:instrText>
        </w:r>
        <w:r>
          <w:rPr>
            <w:noProof/>
            <w:webHidden/>
          </w:rPr>
        </w:r>
        <w:r>
          <w:rPr>
            <w:noProof/>
            <w:webHidden/>
          </w:rPr>
          <w:fldChar w:fldCharType="separate"/>
        </w:r>
        <w:r>
          <w:rPr>
            <w:noProof/>
            <w:webHidden/>
          </w:rPr>
          <w:t>158</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16" w:history="1">
        <w:r w:rsidRPr="000811F3">
          <w:rPr>
            <w:rStyle w:val="Hyperlink"/>
            <w:noProof/>
          </w:rPr>
          <w:t>Figura 20 - Método heurístico de traçado de itinerários de coleta</w:t>
        </w:r>
        <w:r>
          <w:rPr>
            <w:noProof/>
            <w:webHidden/>
          </w:rPr>
          <w:tab/>
        </w:r>
        <w:r>
          <w:rPr>
            <w:noProof/>
            <w:webHidden/>
          </w:rPr>
          <w:fldChar w:fldCharType="begin"/>
        </w:r>
        <w:r>
          <w:rPr>
            <w:noProof/>
            <w:webHidden/>
          </w:rPr>
          <w:instrText xml:space="preserve"> PAGEREF _Toc497469116 \h </w:instrText>
        </w:r>
        <w:r>
          <w:rPr>
            <w:noProof/>
            <w:webHidden/>
          </w:rPr>
        </w:r>
        <w:r>
          <w:rPr>
            <w:noProof/>
            <w:webHidden/>
          </w:rPr>
          <w:fldChar w:fldCharType="separate"/>
        </w:r>
        <w:r>
          <w:rPr>
            <w:noProof/>
            <w:webHidden/>
          </w:rPr>
          <w:t>165</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17" w:history="1">
        <w:r w:rsidRPr="000811F3">
          <w:rPr>
            <w:rStyle w:val="Hyperlink"/>
            <w:noProof/>
          </w:rPr>
          <w:t>Figura 21 - Código de cores da coleta seletiva</w:t>
        </w:r>
        <w:r>
          <w:rPr>
            <w:noProof/>
            <w:webHidden/>
          </w:rPr>
          <w:tab/>
        </w:r>
        <w:r>
          <w:rPr>
            <w:noProof/>
            <w:webHidden/>
          </w:rPr>
          <w:fldChar w:fldCharType="begin"/>
        </w:r>
        <w:r>
          <w:rPr>
            <w:noProof/>
            <w:webHidden/>
          </w:rPr>
          <w:instrText xml:space="preserve"> PAGEREF _Toc497469117 \h </w:instrText>
        </w:r>
        <w:r>
          <w:rPr>
            <w:noProof/>
            <w:webHidden/>
          </w:rPr>
        </w:r>
        <w:r>
          <w:rPr>
            <w:noProof/>
            <w:webHidden/>
          </w:rPr>
          <w:fldChar w:fldCharType="separate"/>
        </w:r>
        <w:r>
          <w:rPr>
            <w:noProof/>
            <w:webHidden/>
          </w:rPr>
          <w:t>166</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18" w:history="1">
        <w:r w:rsidRPr="000811F3">
          <w:rPr>
            <w:rStyle w:val="Hyperlink"/>
            <w:noProof/>
          </w:rPr>
          <w:t>Figura 22 - Área de Transbordo e Triagem de resíduos sólidos</w:t>
        </w:r>
        <w:r>
          <w:rPr>
            <w:noProof/>
            <w:webHidden/>
          </w:rPr>
          <w:tab/>
        </w:r>
        <w:r>
          <w:rPr>
            <w:noProof/>
            <w:webHidden/>
          </w:rPr>
          <w:fldChar w:fldCharType="begin"/>
        </w:r>
        <w:r>
          <w:rPr>
            <w:noProof/>
            <w:webHidden/>
          </w:rPr>
          <w:instrText xml:space="preserve"> PAGEREF _Toc497469118 \h </w:instrText>
        </w:r>
        <w:r>
          <w:rPr>
            <w:noProof/>
            <w:webHidden/>
          </w:rPr>
        </w:r>
        <w:r>
          <w:rPr>
            <w:noProof/>
            <w:webHidden/>
          </w:rPr>
          <w:fldChar w:fldCharType="separate"/>
        </w:r>
        <w:r>
          <w:rPr>
            <w:noProof/>
            <w:webHidden/>
          </w:rPr>
          <w:t>168</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19" w:history="1">
        <w:r w:rsidRPr="000811F3">
          <w:rPr>
            <w:rStyle w:val="Hyperlink"/>
            <w:noProof/>
          </w:rPr>
          <w:t>Figura 23 - 1ª Oficina do PMSB de Córrego Novo</w:t>
        </w:r>
        <w:r>
          <w:rPr>
            <w:noProof/>
            <w:webHidden/>
          </w:rPr>
          <w:tab/>
        </w:r>
        <w:r>
          <w:rPr>
            <w:noProof/>
            <w:webHidden/>
          </w:rPr>
          <w:fldChar w:fldCharType="begin"/>
        </w:r>
        <w:r>
          <w:rPr>
            <w:noProof/>
            <w:webHidden/>
          </w:rPr>
          <w:instrText xml:space="preserve"> PAGEREF _Toc497469119 \h </w:instrText>
        </w:r>
        <w:r>
          <w:rPr>
            <w:noProof/>
            <w:webHidden/>
          </w:rPr>
        </w:r>
        <w:r>
          <w:rPr>
            <w:noProof/>
            <w:webHidden/>
          </w:rPr>
          <w:fldChar w:fldCharType="separate"/>
        </w:r>
        <w:r>
          <w:rPr>
            <w:noProof/>
            <w:webHidden/>
          </w:rPr>
          <w:t>222</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20" w:history="1">
        <w:r w:rsidRPr="000811F3">
          <w:rPr>
            <w:rStyle w:val="Hyperlink"/>
            <w:noProof/>
          </w:rPr>
          <w:t>Figura 24 - 2º Oficina do PMSB de Córrego Novo</w:t>
        </w:r>
        <w:r>
          <w:rPr>
            <w:noProof/>
            <w:webHidden/>
          </w:rPr>
          <w:tab/>
        </w:r>
        <w:r>
          <w:rPr>
            <w:noProof/>
            <w:webHidden/>
          </w:rPr>
          <w:fldChar w:fldCharType="begin"/>
        </w:r>
        <w:r>
          <w:rPr>
            <w:noProof/>
            <w:webHidden/>
          </w:rPr>
          <w:instrText xml:space="preserve"> PAGEREF _Toc497469120 \h </w:instrText>
        </w:r>
        <w:r>
          <w:rPr>
            <w:noProof/>
            <w:webHidden/>
          </w:rPr>
        </w:r>
        <w:r>
          <w:rPr>
            <w:noProof/>
            <w:webHidden/>
          </w:rPr>
          <w:fldChar w:fldCharType="separate"/>
        </w:r>
        <w:r>
          <w:rPr>
            <w:noProof/>
            <w:webHidden/>
          </w:rPr>
          <w:t>224</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21" w:history="1">
        <w:r w:rsidRPr="000811F3">
          <w:rPr>
            <w:rStyle w:val="Hyperlink"/>
            <w:noProof/>
          </w:rPr>
          <w:t>Figura 25 - Lista de presença da 2ª Oficina do PMSB de Córrego Novo</w:t>
        </w:r>
        <w:r>
          <w:rPr>
            <w:noProof/>
            <w:webHidden/>
          </w:rPr>
          <w:tab/>
        </w:r>
        <w:r>
          <w:rPr>
            <w:noProof/>
            <w:webHidden/>
          </w:rPr>
          <w:fldChar w:fldCharType="begin"/>
        </w:r>
        <w:r>
          <w:rPr>
            <w:noProof/>
            <w:webHidden/>
          </w:rPr>
          <w:instrText xml:space="preserve"> PAGEREF _Toc497469121 \h </w:instrText>
        </w:r>
        <w:r>
          <w:rPr>
            <w:noProof/>
            <w:webHidden/>
          </w:rPr>
        </w:r>
        <w:r>
          <w:rPr>
            <w:noProof/>
            <w:webHidden/>
          </w:rPr>
          <w:fldChar w:fldCharType="separate"/>
        </w:r>
        <w:r>
          <w:rPr>
            <w:noProof/>
            <w:webHidden/>
          </w:rPr>
          <w:t>225</w:t>
        </w:r>
        <w:r>
          <w:rPr>
            <w:noProof/>
            <w:webHidden/>
          </w:rPr>
          <w:fldChar w:fldCharType="end"/>
        </w:r>
      </w:hyperlink>
    </w:p>
    <w:p w:rsidR="00C57ADC" w:rsidRPr="00F94A69" w:rsidRDefault="00DD0AEC" w:rsidP="00C57ADC">
      <w:pPr>
        <w:rPr>
          <w:rFonts w:cs="Arial"/>
          <w:lang w:eastAsia="x-none"/>
        </w:rPr>
      </w:pPr>
      <w:r w:rsidRPr="00F94A69">
        <w:rPr>
          <w:rFonts w:cs="Arial"/>
          <w:lang w:eastAsia="x-none"/>
        </w:rPr>
        <w:fldChar w:fldCharType="end"/>
      </w:r>
    </w:p>
    <w:p w:rsidR="004C0142" w:rsidRPr="00F94A69" w:rsidRDefault="004C0142" w:rsidP="004C0142">
      <w:pPr>
        <w:pStyle w:val="Ttulo1"/>
      </w:pPr>
      <w:bookmarkStart w:id="2" w:name="_Toc433894162"/>
      <w:bookmarkStart w:id="3" w:name="_Toc433894161"/>
      <w:bookmarkStart w:id="4" w:name="_Toc497468978"/>
      <w:r w:rsidRPr="00F94A69">
        <w:t>Lista de Quadros</w:t>
      </w:r>
      <w:bookmarkEnd w:id="2"/>
      <w:bookmarkEnd w:id="4"/>
    </w:p>
    <w:p w:rsidR="004D1D76" w:rsidRDefault="004C0142">
      <w:pPr>
        <w:pStyle w:val="ndicedeilustraes"/>
        <w:rPr>
          <w:rFonts w:asciiTheme="minorHAnsi" w:eastAsiaTheme="minorEastAsia" w:hAnsiTheme="minorHAnsi" w:cstheme="minorBidi"/>
          <w:noProof/>
          <w:sz w:val="22"/>
          <w:lang w:eastAsia="pt-BR"/>
        </w:rPr>
      </w:pPr>
      <w:r w:rsidRPr="00F94A69">
        <w:rPr>
          <w:rFonts w:cs="Arial"/>
          <w:lang w:eastAsia="pt-BR"/>
        </w:rPr>
        <w:fldChar w:fldCharType="begin"/>
      </w:r>
      <w:r w:rsidRPr="00F94A69">
        <w:rPr>
          <w:rFonts w:cs="Arial"/>
          <w:lang w:eastAsia="pt-BR"/>
        </w:rPr>
        <w:instrText xml:space="preserve"> TOC \h \z \c "Quadro" </w:instrText>
      </w:r>
      <w:r w:rsidRPr="00F94A69">
        <w:rPr>
          <w:rFonts w:cs="Arial"/>
          <w:lang w:eastAsia="pt-BR"/>
        </w:rPr>
        <w:fldChar w:fldCharType="separate"/>
      </w:r>
      <w:hyperlink w:anchor="_Toc497469122" w:history="1">
        <w:r w:rsidR="004D1D76" w:rsidRPr="00854BCF">
          <w:rPr>
            <w:rStyle w:val="Hyperlink"/>
            <w:noProof/>
          </w:rPr>
          <w:t>Quadro 1 - Projeção da demanda futura para a sede no cenário previsível</w:t>
        </w:r>
        <w:r w:rsidR="004D1D76">
          <w:rPr>
            <w:noProof/>
            <w:webHidden/>
          </w:rPr>
          <w:tab/>
        </w:r>
        <w:r w:rsidR="004D1D76">
          <w:rPr>
            <w:noProof/>
            <w:webHidden/>
          </w:rPr>
          <w:fldChar w:fldCharType="begin"/>
        </w:r>
        <w:r w:rsidR="004D1D76">
          <w:rPr>
            <w:noProof/>
            <w:webHidden/>
          </w:rPr>
          <w:instrText xml:space="preserve"> PAGEREF _Toc497469122 \h </w:instrText>
        </w:r>
        <w:r w:rsidR="004D1D76">
          <w:rPr>
            <w:noProof/>
            <w:webHidden/>
          </w:rPr>
        </w:r>
        <w:r w:rsidR="004D1D76">
          <w:rPr>
            <w:noProof/>
            <w:webHidden/>
          </w:rPr>
          <w:fldChar w:fldCharType="separate"/>
        </w:r>
        <w:r w:rsidR="004D1D76">
          <w:rPr>
            <w:noProof/>
            <w:webHidden/>
          </w:rPr>
          <w:t>26</w:t>
        </w:r>
        <w:r w:rsidR="004D1D76">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23" w:history="1">
        <w:r w:rsidRPr="00854BCF">
          <w:rPr>
            <w:rStyle w:val="Hyperlink"/>
            <w:noProof/>
          </w:rPr>
          <w:t>Quadro 2 - Balanço da oferta e demanda do SAA para a sede no cenário previsível</w:t>
        </w:r>
        <w:r>
          <w:rPr>
            <w:noProof/>
            <w:webHidden/>
          </w:rPr>
          <w:tab/>
        </w:r>
        <w:r>
          <w:rPr>
            <w:noProof/>
            <w:webHidden/>
          </w:rPr>
          <w:fldChar w:fldCharType="begin"/>
        </w:r>
        <w:r>
          <w:rPr>
            <w:noProof/>
            <w:webHidden/>
          </w:rPr>
          <w:instrText xml:space="preserve"> PAGEREF _Toc497469123 \h </w:instrText>
        </w:r>
        <w:r>
          <w:rPr>
            <w:noProof/>
            <w:webHidden/>
          </w:rPr>
        </w:r>
        <w:r>
          <w:rPr>
            <w:noProof/>
            <w:webHidden/>
          </w:rPr>
          <w:fldChar w:fldCharType="separate"/>
        </w:r>
        <w:r>
          <w:rPr>
            <w:noProof/>
            <w:webHidden/>
          </w:rPr>
          <w:t>27</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24" w:history="1">
        <w:r w:rsidRPr="00854BCF">
          <w:rPr>
            <w:rStyle w:val="Hyperlink"/>
            <w:noProof/>
          </w:rPr>
          <w:t>Quadro 3 - Projeção da demanda futura para a sede no cenário normativo</w:t>
        </w:r>
        <w:r>
          <w:rPr>
            <w:noProof/>
            <w:webHidden/>
          </w:rPr>
          <w:tab/>
        </w:r>
        <w:r>
          <w:rPr>
            <w:noProof/>
            <w:webHidden/>
          </w:rPr>
          <w:fldChar w:fldCharType="begin"/>
        </w:r>
        <w:r>
          <w:rPr>
            <w:noProof/>
            <w:webHidden/>
          </w:rPr>
          <w:instrText xml:space="preserve"> PAGEREF _Toc497469124 \h </w:instrText>
        </w:r>
        <w:r>
          <w:rPr>
            <w:noProof/>
            <w:webHidden/>
          </w:rPr>
        </w:r>
        <w:r>
          <w:rPr>
            <w:noProof/>
            <w:webHidden/>
          </w:rPr>
          <w:fldChar w:fldCharType="separate"/>
        </w:r>
        <w:r>
          <w:rPr>
            <w:noProof/>
            <w:webHidden/>
          </w:rPr>
          <w:t>29</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25" w:history="1">
        <w:r w:rsidRPr="00854BCF">
          <w:rPr>
            <w:rStyle w:val="Hyperlink"/>
            <w:noProof/>
          </w:rPr>
          <w:t>Quadro 4 - Balanço da oferta e demanda do SAA para a sede no cenário normativo</w:t>
        </w:r>
        <w:r>
          <w:rPr>
            <w:noProof/>
            <w:webHidden/>
          </w:rPr>
          <w:tab/>
        </w:r>
        <w:r>
          <w:rPr>
            <w:noProof/>
            <w:webHidden/>
          </w:rPr>
          <w:fldChar w:fldCharType="begin"/>
        </w:r>
        <w:r>
          <w:rPr>
            <w:noProof/>
            <w:webHidden/>
          </w:rPr>
          <w:instrText xml:space="preserve"> PAGEREF _Toc497469125 \h </w:instrText>
        </w:r>
        <w:r>
          <w:rPr>
            <w:noProof/>
            <w:webHidden/>
          </w:rPr>
        </w:r>
        <w:r>
          <w:rPr>
            <w:noProof/>
            <w:webHidden/>
          </w:rPr>
          <w:fldChar w:fldCharType="separate"/>
        </w:r>
        <w:r>
          <w:rPr>
            <w:noProof/>
            <w:webHidden/>
          </w:rPr>
          <w:t>30</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26" w:history="1">
        <w:r w:rsidRPr="00854BCF">
          <w:rPr>
            <w:rStyle w:val="Hyperlink"/>
            <w:noProof/>
          </w:rPr>
          <w:t>Quadro 5 - Dados referentes ao manancial de captação proposto para a sede</w:t>
        </w:r>
        <w:r>
          <w:rPr>
            <w:noProof/>
            <w:webHidden/>
          </w:rPr>
          <w:tab/>
        </w:r>
        <w:r>
          <w:rPr>
            <w:noProof/>
            <w:webHidden/>
          </w:rPr>
          <w:fldChar w:fldCharType="begin"/>
        </w:r>
        <w:r>
          <w:rPr>
            <w:noProof/>
            <w:webHidden/>
          </w:rPr>
          <w:instrText xml:space="preserve"> PAGEREF _Toc497469126 \h </w:instrText>
        </w:r>
        <w:r>
          <w:rPr>
            <w:noProof/>
            <w:webHidden/>
          </w:rPr>
        </w:r>
        <w:r>
          <w:rPr>
            <w:noProof/>
            <w:webHidden/>
          </w:rPr>
          <w:fldChar w:fldCharType="separate"/>
        </w:r>
        <w:r>
          <w:rPr>
            <w:noProof/>
            <w:webHidden/>
          </w:rPr>
          <w:t>33</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27" w:history="1">
        <w:r w:rsidRPr="00854BCF">
          <w:rPr>
            <w:rStyle w:val="Hyperlink"/>
            <w:noProof/>
          </w:rPr>
          <w:t>Quadro 6 - Balanço entre a vazão outorgável no manancial recomendado para a sede e a demanda futura</w:t>
        </w:r>
        <w:r>
          <w:rPr>
            <w:noProof/>
            <w:webHidden/>
          </w:rPr>
          <w:tab/>
        </w:r>
        <w:r>
          <w:rPr>
            <w:noProof/>
            <w:webHidden/>
          </w:rPr>
          <w:fldChar w:fldCharType="begin"/>
        </w:r>
        <w:r>
          <w:rPr>
            <w:noProof/>
            <w:webHidden/>
          </w:rPr>
          <w:instrText xml:space="preserve"> PAGEREF _Toc497469127 \h </w:instrText>
        </w:r>
        <w:r>
          <w:rPr>
            <w:noProof/>
            <w:webHidden/>
          </w:rPr>
        </w:r>
        <w:r>
          <w:rPr>
            <w:noProof/>
            <w:webHidden/>
          </w:rPr>
          <w:fldChar w:fldCharType="separate"/>
        </w:r>
        <w:r>
          <w:rPr>
            <w:noProof/>
            <w:webHidden/>
          </w:rPr>
          <w:t>33</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28" w:history="1">
        <w:r w:rsidRPr="00854BCF">
          <w:rPr>
            <w:rStyle w:val="Hyperlink"/>
            <w:noProof/>
          </w:rPr>
          <w:t>Quadro 7 - Evolução da vazão de esgoto doméstico do município de Córrego Novo no cenário previsível</w:t>
        </w:r>
        <w:r>
          <w:rPr>
            <w:noProof/>
            <w:webHidden/>
          </w:rPr>
          <w:tab/>
        </w:r>
        <w:r>
          <w:rPr>
            <w:noProof/>
            <w:webHidden/>
          </w:rPr>
          <w:fldChar w:fldCharType="begin"/>
        </w:r>
        <w:r>
          <w:rPr>
            <w:noProof/>
            <w:webHidden/>
          </w:rPr>
          <w:instrText xml:space="preserve"> PAGEREF _Toc497469128 \h </w:instrText>
        </w:r>
        <w:r>
          <w:rPr>
            <w:noProof/>
            <w:webHidden/>
          </w:rPr>
        </w:r>
        <w:r>
          <w:rPr>
            <w:noProof/>
            <w:webHidden/>
          </w:rPr>
          <w:fldChar w:fldCharType="separate"/>
        </w:r>
        <w:r>
          <w:rPr>
            <w:noProof/>
            <w:webHidden/>
          </w:rPr>
          <w:t>41</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29" w:history="1">
        <w:r w:rsidRPr="00854BCF">
          <w:rPr>
            <w:rStyle w:val="Hyperlink"/>
            <w:noProof/>
          </w:rPr>
          <w:t>Quadro 8 - Evolução da contribuição de infiltração do município de Córrego Novo</w:t>
        </w:r>
        <w:r>
          <w:rPr>
            <w:noProof/>
            <w:webHidden/>
          </w:rPr>
          <w:tab/>
        </w:r>
        <w:r>
          <w:rPr>
            <w:noProof/>
            <w:webHidden/>
          </w:rPr>
          <w:fldChar w:fldCharType="begin"/>
        </w:r>
        <w:r>
          <w:rPr>
            <w:noProof/>
            <w:webHidden/>
          </w:rPr>
          <w:instrText xml:space="preserve"> PAGEREF _Toc497469129 \h </w:instrText>
        </w:r>
        <w:r>
          <w:rPr>
            <w:noProof/>
            <w:webHidden/>
          </w:rPr>
        </w:r>
        <w:r>
          <w:rPr>
            <w:noProof/>
            <w:webHidden/>
          </w:rPr>
          <w:fldChar w:fldCharType="separate"/>
        </w:r>
        <w:r>
          <w:rPr>
            <w:noProof/>
            <w:webHidden/>
          </w:rPr>
          <w:t>43</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30" w:history="1">
        <w:r w:rsidRPr="00854BCF">
          <w:rPr>
            <w:rStyle w:val="Hyperlink"/>
            <w:noProof/>
          </w:rPr>
          <w:t>Quadro 9 - Evolução da vazão sanitária para o cenário previsível do município de Córrego Novo</w:t>
        </w:r>
        <w:r>
          <w:rPr>
            <w:noProof/>
            <w:webHidden/>
          </w:rPr>
          <w:tab/>
        </w:r>
        <w:r>
          <w:rPr>
            <w:noProof/>
            <w:webHidden/>
          </w:rPr>
          <w:fldChar w:fldCharType="begin"/>
        </w:r>
        <w:r>
          <w:rPr>
            <w:noProof/>
            <w:webHidden/>
          </w:rPr>
          <w:instrText xml:space="preserve"> PAGEREF _Toc497469130 \h </w:instrText>
        </w:r>
        <w:r>
          <w:rPr>
            <w:noProof/>
            <w:webHidden/>
          </w:rPr>
        </w:r>
        <w:r>
          <w:rPr>
            <w:noProof/>
            <w:webHidden/>
          </w:rPr>
          <w:fldChar w:fldCharType="separate"/>
        </w:r>
        <w:r>
          <w:rPr>
            <w:noProof/>
            <w:webHidden/>
          </w:rPr>
          <w:t>44</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31" w:history="1">
        <w:r w:rsidRPr="00854BCF">
          <w:rPr>
            <w:rStyle w:val="Hyperlink"/>
            <w:noProof/>
          </w:rPr>
          <w:t>Quadro 10 - Evolução da carga orgânica bruta e concentração inicial de DBO para o cenário previsível do município de Córrego Novo</w:t>
        </w:r>
        <w:r>
          <w:rPr>
            <w:noProof/>
            <w:webHidden/>
          </w:rPr>
          <w:tab/>
        </w:r>
        <w:r>
          <w:rPr>
            <w:noProof/>
            <w:webHidden/>
          </w:rPr>
          <w:fldChar w:fldCharType="begin"/>
        </w:r>
        <w:r>
          <w:rPr>
            <w:noProof/>
            <w:webHidden/>
          </w:rPr>
          <w:instrText xml:space="preserve"> PAGEREF _Toc497469131 \h </w:instrText>
        </w:r>
        <w:r>
          <w:rPr>
            <w:noProof/>
            <w:webHidden/>
          </w:rPr>
        </w:r>
        <w:r>
          <w:rPr>
            <w:noProof/>
            <w:webHidden/>
          </w:rPr>
          <w:fldChar w:fldCharType="separate"/>
        </w:r>
        <w:r>
          <w:rPr>
            <w:noProof/>
            <w:webHidden/>
          </w:rPr>
          <w:t>45</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32" w:history="1">
        <w:r w:rsidRPr="00854BCF">
          <w:rPr>
            <w:rStyle w:val="Hyperlink"/>
            <w:noProof/>
          </w:rPr>
          <w:t>Quadro 11 - Evolução da carga orgânica removida e concentração removida de DBO para o cenário previsível do município de Córrego Novo</w:t>
        </w:r>
        <w:r>
          <w:rPr>
            <w:noProof/>
            <w:webHidden/>
          </w:rPr>
          <w:tab/>
        </w:r>
        <w:r>
          <w:rPr>
            <w:noProof/>
            <w:webHidden/>
          </w:rPr>
          <w:fldChar w:fldCharType="begin"/>
        </w:r>
        <w:r>
          <w:rPr>
            <w:noProof/>
            <w:webHidden/>
          </w:rPr>
          <w:instrText xml:space="preserve"> PAGEREF _Toc497469132 \h </w:instrText>
        </w:r>
        <w:r>
          <w:rPr>
            <w:noProof/>
            <w:webHidden/>
          </w:rPr>
        </w:r>
        <w:r>
          <w:rPr>
            <w:noProof/>
            <w:webHidden/>
          </w:rPr>
          <w:fldChar w:fldCharType="separate"/>
        </w:r>
        <w:r>
          <w:rPr>
            <w:noProof/>
            <w:webHidden/>
          </w:rPr>
          <w:t>46</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33" w:history="1">
        <w:r w:rsidRPr="00854BCF">
          <w:rPr>
            <w:rStyle w:val="Hyperlink"/>
            <w:noProof/>
          </w:rPr>
          <w:t>Quadro 12 - Evolução da carga e concentração de coliformes fecais termotolerantes para o cenário previsível do município de Córrego Novo</w:t>
        </w:r>
        <w:r>
          <w:rPr>
            <w:noProof/>
            <w:webHidden/>
          </w:rPr>
          <w:tab/>
        </w:r>
        <w:r>
          <w:rPr>
            <w:noProof/>
            <w:webHidden/>
          </w:rPr>
          <w:fldChar w:fldCharType="begin"/>
        </w:r>
        <w:r>
          <w:rPr>
            <w:noProof/>
            <w:webHidden/>
          </w:rPr>
          <w:instrText xml:space="preserve"> PAGEREF _Toc497469133 \h </w:instrText>
        </w:r>
        <w:r>
          <w:rPr>
            <w:noProof/>
            <w:webHidden/>
          </w:rPr>
        </w:r>
        <w:r>
          <w:rPr>
            <w:noProof/>
            <w:webHidden/>
          </w:rPr>
          <w:fldChar w:fldCharType="separate"/>
        </w:r>
        <w:r>
          <w:rPr>
            <w:noProof/>
            <w:webHidden/>
          </w:rPr>
          <w:t>47</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34" w:history="1">
        <w:r w:rsidRPr="00854BCF">
          <w:rPr>
            <w:rStyle w:val="Hyperlink"/>
            <w:noProof/>
          </w:rPr>
          <w:t>Quadro 13 - Evolução da carga removida de coliformes  e concentração removida de coliformes para o cenário previsível do município de Córrego Novo</w:t>
        </w:r>
        <w:r>
          <w:rPr>
            <w:noProof/>
            <w:webHidden/>
          </w:rPr>
          <w:tab/>
        </w:r>
        <w:r>
          <w:rPr>
            <w:noProof/>
            <w:webHidden/>
          </w:rPr>
          <w:fldChar w:fldCharType="begin"/>
        </w:r>
        <w:r>
          <w:rPr>
            <w:noProof/>
            <w:webHidden/>
          </w:rPr>
          <w:instrText xml:space="preserve"> PAGEREF _Toc497469134 \h </w:instrText>
        </w:r>
        <w:r>
          <w:rPr>
            <w:noProof/>
            <w:webHidden/>
          </w:rPr>
        </w:r>
        <w:r>
          <w:rPr>
            <w:noProof/>
            <w:webHidden/>
          </w:rPr>
          <w:fldChar w:fldCharType="separate"/>
        </w:r>
        <w:r>
          <w:rPr>
            <w:noProof/>
            <w:webHidden/>
          </w:rPr>
          <w:t>48</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35" w:history="1">
        <w:r w:rsidRPr="00854BCF">
          <w:rPr>
            <w:rStyle w:val="Hyperlink"/>
            <w:noProof/>
          </w:rPr>
          <w:t>Quadro 14 - Evolução da vazão de esgoto doméstico para o cenário normativo do município de Córrego Novo</w:t>
        </w:r>
        <w:r>
          <w:rPr>
            <w:noProof/>
            <w:webHidden/>
          </w:rPr>
          <w:tab/>
        </w:r>
        <w:r>
          <w:rPr>
            <w:noProof/>
            <w:webHidden/>
          </w:rPr>
          <w:fldChar w:fldCharType="begin"/>
        </w:r>
        <w:r>
          <w:rPr>
            <w:noProof/>
            <w:webHidden/>
          </w:rPr>
          <w:instrText xml:space="preserve"> PAGEREF _Toc497469135 \h </w:instrText>
        </w:r>
        <w:r>
          <w:rPr>
            <w:noProof/>
            <w:webHidden/>
          </w:rPr>
        </w:r>
        <w:r>
          <w:rPr>
            <w:noProof/>
            <w:webHidden/>
          </w:rPr>
          <w:fldChar w:fldCharType="separate"/>
        </w:r>
        <w:r>
          <w:rPr>
            <w:noProof/>
            <w:webHidden/>
          </w:rPr>
          <w:t>49</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36" w:history="1">
        <w:r w:rsidRPr="00854BCF">
          <w:rPr>
            <w:rStyle w:val="Hyperlink"/>
            <w:noProof/>
          </w:rPr>
          <w:t>Quadro 15 - Evolução da vazão de infiltração para o cenário normativo do município de Córrego Novo</w:t>
        </w:r>
        <w:r>
          <w:rPr>
            <w:noProof/>
            <w:webHidden/>
          </w:rPr>
          <w:tab/>
        </w:r>
        <w:r>
          <w:rPr>
            <w:noProof/>
            <w:webHidden/>
          </w:rPr>
          <w:fldChar w:fldCharType="begin"/>
        </w:r>
        <w:r>
          <w:rPr>
            <w:noProof/>
            <w:webHidden/>
          </w:rPr>
          <w:instrText xml:space="preserve"> PAGEREF _Toc497469136 \h </w:instrText>
        </w:r>
        <w:r>
          <w:rPr>
            <w:noProof/>
            <w:webHidden/>
          </w:rPr>
        </w:r>
        <w:r>
          <w:rPr>
            <w:noProof/>
            <w:webHidden/>
          </w:rPr>
          <w:fldChar w:fldCharType="separate"/>
        </w:r>
        <w:r>
          <w:rPr>
            <w:noProof/>
            <w:webHidden/>
          </w:rPr>
          <w:t>50</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37" w:history="1">
        <w:r w:rsidRPr="00854BCF">
          <w:rPr>
            <w:rStyle w:val="Hyperlink"/>
            <w:noProof/>
          </w:rPr>
          <w:t>Quadro 16 - Evolução da vazão sanitária para o cenário normativo do município de Córrego Novo</w:t>
        </w:r>
        <w:r>
          <w:rPr>
            <w:noProof/>
            <w:webHidden/>
          </w:rPr>
          <w:tab/>
        </w:r>
        <w:r>
          <w:rPr>
            <w:noProof/>
            <w:webHidden/>
          </w:rPr>
          <w:fldChar w:fldCharType="begin"/>
        </w:r>
        <w:r>
          <w:rPr>
            <w:noProof/>
            <w:webHidden/>
          </w:rPr>
          <w:instrText xml:space="preserve"> PAGEREF _Toc497469137 \h </w:instrText>
        </w:r>
        <w:r>
          <w:rPr>
            <w:noProof/>
            <w:webHidden/>
          </w:rPr>
        </w:r>
        <w:r>
          <w:rPr>
            <w:noProof/>
            <w:webHidden/>
          </w:rPr>
          <w:fldChar w:fldCharType="separate"/>
        </w:r>
        <w:r>
          <w:rPr>
            <w:noProof/>
            <w:webHidden/>
          </w:rPr>
          <w:t>51</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38" w:history="1">
        <w:r w:rsidRPr="00854BCF">
          <w:rPr>
            <w:rStyle w:val="Hyperlink"/>
            <w:noProof/>
          </w:rPr>
          <w:t>Quadro 17 - Evolução da carga orgânica bruta e concentração inicial de DBO para o cenário normativo do município de Córrego Novo</w:t>
        </w:r>
        <w:r>
          <w:rPr>
            <w:noProof/>
            <w:webHidden/>
          </w:rPr>
          <w:tab/>
        </w:r>
        <w:r>
          <w:rPr>
            <w:noProof/>
            <w:webHidden/>
          </w:rPr>
          <w:fldChar w:fldCharType="begin"/>
        </w:r>
        <w:r>
          <w:rPr>
            <w:noProof/>
            <w:webHidden/>
          </w:rPr>
          <w:instrText xml:space="preserve"> PAGEREF _Toc497469138 \h </w:instrText>
        </w:r>
        <w:r>
          <w:rPr>
            <w:noProof/>
            <w:webHidden/>
          </w:rPr>
        </w:r>
        <w:r>
          <w:rPr>
            <w:noProof/>
            <w:webHidden/>
          </w:rPr>
          <w:fldChar w:fldCharType="separate"/>
        </w:r>
        <w:r>
          <w:rPr>
            <w:noProof/>
            <w:webHidden/>
          </w:rPr>
          <w:t>52</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39" w:history="1">
        <w:r w:rsidRPr="00854BCF">
          <w:rPr>
            <w:rStyle w:val="Hyperlink"/>
            <w:noProof/>
          </w:rPr>
          <w:t>Quadro 18 - Evolução da carga e concentração removida de DBO para o cenário normativo do município de Córrego Novo</w:t>
        </w:r>
        <w:r>
          <w:rPr>
            <w:noProof/>
            <w:webHidden/>
          </w:rPr>
          <w:tab/>
        </w:r>
        <w:r>
          <w:rPr>
            <w:noProof/>
            <w:webHidden/>
          </w:rPr>
          <w:fldChar w:fldCharType="begin"/>
        </w:r>
        <w:r>
          <w:rPr>
            <w:noProof/>
            <w:webHidden/>
          </w:rPr>
          <w:instrText xml:space="preserve"> PAGEREF _Toc497469139 \h </w:instrText>
        </w:r>
        <w:r>
          <w:rPr>
            <w:noProof/>
            <w:webHidden/>
          </w:rPr>
        </w:r>
        <w:r>
          <w:rPr>
            <w:noProof/>
            <w:webHidden/>
          </w:rPr>
          <w:fldChar w:fldCharType="separate"/>
        </w:r>
        <w:r>
          <w:rPr>
            <w:noProof/>
            <w:webHidden/>
          </w:rPr>
          <w:t>53</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40" w:history="1">
        <w:r w:rsidRPr="00854BCF">
          <w:rPr>
            <w:rStyle w:val="Hyperlink"/>
            <w:noProof/>
          </w:rPr>
          <w:t>Quadro 19 - Evolução da carga e concentração de coliformes fecais termotolerantes para o cenário normativo do município de Córrego Novo</w:t>
        </w:r>
        <w:r>
          <w:rPr>
            <w:noProof/>
            <w:webHidden/>
          </w:rPr>
          <w:tab/>
        </w:r>
        <w:r>
          <w:rPr>
            <w:noProof/>
            <w:webHidden/>
          </w:rPr>
          <w:fldChar w:fldCharType="begin"/>
        </w:r>
        <w:r>
          <w:rPr>
            <w:noProof/>
            <w:webHidden/>
          </w:rPr>
          <w:instrText xml:space="preserve"> PAGEREF _Toc497469140 \h </w:instrText>
        </w:r>
        <w:r>
          <w:rPr>
            <w:noProof/>
            <w:webHidden/>
          </w:rPr>
        </w:r>
        <w:r>
          <w:rPr>
            <w:noProof/>
            <w:webHidden/>
          </w:rPr>
          <w:fldChar w:fldCharType="separate"/>
        </w:r>
        <w:r>
          <w:rPr>
            <w:noProof/>
            <w:webHidden/>
          </w:rPr>
          <w:t>54</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41" w:history="1">
        <w:r w:rsidRPr="00854BCF">
          <w:rPr>
            <w:rStyle w:val="Hyperlink"/>
            <w:noProof/>
          </w:rPr>
          <w:t>Quadro 20 - Evolução da carga removida de coliformes  e concentração removida de coliformes para o cenário normativo do município de Córrego Novo</w:t>
        </w:r>
        <w:r>
          <w:rPr>
            <w:noProof/>
            <w:webHidden/>
          </w:rPr>
          <w:tab/>
        </w:r>
        <w:r>
          <w:rPr>
            <w:noProof/>
            <w:webHidden/>
          </w:rPr>
          <w:fldChar w:fldCharType="begin"/>
        </w:r>
        <w:r>
          <w:rPr>
            <w:noProof/>
            <w:webHidden/>
          </w:rPr>
          <w:instrText xml:space="preserve"> PAGEREF _Toc497469141 \h </w:instrText>
        </w:r>
        <w:r>
          <w:rPr>
            <w:noProof/>
            <w:webHidden/>
          </w:rPr>
        </w:r>
        <w:r>
          <w:rPr>
            <w:noProof/>
            <w:webHidden/>
          </w:rPr>
          <w:fldChar w:fldCharType="separate"/>
        </w:r>
        <w:r>
          <w:rPr>
            <w:noProof/>
            <w:webHidden/>
          </w:rPr>
          <w:t>55</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42" w:history="1">
        <w:r w:rsidRPr="00854BCF">
          <w:rPr>
            <w:rStyle w:val="Hyperlink"/>
            <w:noProof/>
          </w:rPr>
          <w:t>Quadro 21 - Medidas para prevenção, controle, mitigação e/ou recuperação que podem ser usadas para áreas degradadas por processos erosivos.</w:t>
        </w:r>
        <w:r>
          <w:rPr>
            <w:noProof/>
            <w:webHidden/>
          </w:rPr>
          <w:tab/>
        </w:r>
        <w:r>
          <w:rPr>
            <w:noProof/>
            <w:webHidden/>
          </w:rPr>
          <w:fldChar w:fldCharType="begin"/>
        </w:r>
        <w:r>
          <w:rPr>
            <w:noProof/>
            <w:webHidden/>
          </w:rPr>
          <w:instrText xml:space="preserve"> PAGEREF _Toc497469142 \h </w:instrText>
        </w:r>
        <w:r>
          <w:rPr>
            <w:noProof/>
            <w:webHidden/>
          </w:rPr>
        </w:r>
        <w:r>
          <w:rPr>
            <w:noProof/>
            <w:webHidden/>
          </w:rPr>
          <w:fldChar w:fldCharType="separate"/>
        </w:r>
        <w:r>
          <w:rPr>
            <w:noProof/>
            <w:webHidden/>
          </w:rPr>
          <w:t>74</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43" w:history="1">
        <w:r w:rsidRPr="00854BCF">
          <w:rPr>
            <w:rStyle w:val="Hyperlink"/>
            <w:noProof/>
          </w:rPr>
          <w:t>Quadro 22 - Esquema das diferentes técnicas compensatórias estruturais</w:t>
        </w:r>
        <w:r>
          <w:rPr>
            <w:noProof/>
            <w:webHidden/>
          </w:rPr>
          <w:tab/>
        </w:r>
        <w:r>
          <w:rPr>
            <w:noProof/>
            <w:webHidden/>
          </w:rPr>
          <w:fldChar w:fldCharType="begin"/>
        </w:r>
        <w:r>
          <w:rPr>
            <w:noProof/>
            <w:webHidden/>
          </w:rPr>
          <w:instrText xml:space="preserve"> PAGEREF _Toc497469143 \h </w:instrText>
        </w:r>
        <w:r>
          <w:rPr>
            <w:noProof/>
            <w:webHidden/>
          </w:rPr>
        </w:r>
        <w:r>
          <w:rPr>
            <w:noProof/>
            <w:webHidden/>
          </w:rPr>
          <w:fldChar w:fldCharType="separate"/>
        </w:r>
        <w:r>
          <w:rPr>
            <w:noProof/>
            <w:webHidden/>
          </w:rPr>
          <w:t>80</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44" w:history="1">
        <w:r w:rsidRPr="00854BCF">
          <w:rPr>
            <w:rStyle w:val="Hyperlink"/>
            <w:noProof/>
          </w:rPr>
          <w:t>Quadro 23 - Projeção da geração de resíduos.</w:t>
        </w:r>
        <w:r>
          <w:rPr>
            <w:noProof/>
            <w:webHidden/>
          </w:rPr>
          <w:tab/>
        </w:r>
        <w:r>
          <w:rPr>
            <w:noProof/>
            <w:webHidden/>
          </w:rPr>
          <w:fldChar w:fldCharType="begin"/>
        </w:r>
        <w:r>
          <w:rPr>
            <w:noProof/>
            <w:webHidden/>
          </w:rPr>
          <w:instrText xml:space="preserve"> PAGEREF _Toc497469144 \h </w:instrText>
        </w:r>
        <w:r>
          <w:rPr>
            <w:noProof/>
            <w:webHidden/>
          </w:rPr>
        </w:r>
        <w:r>
          <w:rPr>
            <w:noProof/>
            <w:webHidden/>
          </w:rPr>
          <w:fldChar w:fldCharType="separate"/>
        </w:r>
        <w:r>
          <w:rPr>
            <w:noProof/>
            <w:webHidden/>
          </w:rPr>
          <w:t>88</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45" w:history="1">
        <w:r w:rsidRPr="00854BCF">
          <w:rPr>
            <w:rStyle w:val="Hyperlink"/>
            <w:noProof/>
          </w:rPr>
          <w:t>Quadro 24 - Composição gravimétrica resíduos sólidos urbanos</w:t>
        </w:r>
        <w:r>
          <w:rPr>
            <w:noProof/>
            <w:webHidden/>
          </w:rPr>
          <w:tab/>
        </w:r>
        <w:r>
          <w:rPr>
            <w:noProof/>
            <w:webHidden/>
          </w:rPr>
          <w:fldChar w:fldCharType="begin"/>
        </w:r>
        <w:r>
          <w:rPr>
            <w:noProof/>
            <w:webHidden/>
          </w:rPr>
          <w:instrText xml:space="preserve"> PAGEREF _Toc497469145 \h </w:instrText>
        </w:r>
        <w:r>
          <w:rPr>
            <w:noProof/>
            <w:webHidden/>
          </w:rPr>
        </w:r>
        <w:r>
          <w:rPr>
            <w:noProof/>
            <w:webHidden/>
          </w:rPr>
          <w:fldChar w:fldCharType="separate"/>
        </w:r>
        <w:r>
          <w:rPr>
            <w:noProof/>
            <w:webHidden/>
          </w:rPr>
          <w:t>89</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46" w:history="1">
        <w:r w:rsidRPr="00854BCF">
          <w:rPr>
            <w:rStyle w:val="Hyperlink"/>
            <w:noProof/>
          </w:rPr>
          <w:t>Quadro 25 - Metas para redução de resíduos secos recicláveis enviados à disposição final</w:t>
        </w:r>
        <w:r>
          <w:rPr>
            <w:noProof/>
            <w:webHidden/>
          </w:rPr>
          <w:tab/>
        </w:r>
        <w:r>
          <w:rPr>
            <w:noProof/>
            <w:webHidden/>
          </w:rPr>
          <w:fldChar w:fldCharType="begin"/>
        </w:r>
        <w:r>
          <w:rPr>
            <w:noProof/>
            <w:webHidden/>
          </w:rPr>
          <w:instrText xml:space="preserve"> PAGEREF _Toc497469146 \h </w:instrText>
        </w:r>
        <w:r>
          <w:rPr>
            <w:noProof/>
            <w:webHidden/>
          </w:rPr>
        </w:r>
        <w:r>
          <w:rPr>
            <w:noProof/>
            <w:webHidden/>
          </w:rPr>
          <w:fldChar w:fldCharType="separate"/>
        </w:r>
        <w:r>
          <w:rPr>
            <w:noProof/>
            <w:webHidden/>
          </w:rPr>
          <w:t>90</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47" w:history="1">
        <w:r w:rsidRPr="00854BCF">
          <w:rPr>
            <w:rStyle w:val="Hyperlink"/>
            <w:noProof/>
          </w:rPr>
          <w:t>Quadro 26 - Metas para redução de resíduos orgânicos enviados à disposição final</w:t>
        </w:r>
        <w:r>
          <w:rPr>
            <w:noProof/>
            <w:webHidden/>
          </w:rPr>
          <w:tab/>
        </w:r>
        <w:r>
          <w:rPr>
            <w:noProof/>
            <w:webHidden/>
          </w:rPr>
          <w:fldChar w:fldCharType="begin"/>
        </w:r>
        <w:r>
          <w:rPr>
            <w:noProof/>
            <w:webHidden/>
          </w:rPr>
          <w:instrText xml:space="preserve"> PAGEREF _Toc497469147 \h </w:instrText>
        </w:r>
        <w:r>
          <w:rPr>
            <w:noProof/>
            <w:webHidden/>
          </w:rPr>
        </w:r>
        <w:r>
          <w:rPr>
            <w:noProof/>
            <w:webHidden/>
          </w:rPr>
          <w:fldChar w:fldCharType="separate"/>
        </w:r>
        <w:r>
          <w:rPr>
            <w:noProof/>
            <w:webHidden/>
          </w:rPr>
          <w:t>91</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48" w:history="1">
        <w:r w:rsidRPr="00854BCF">
          <w:rPr>
            <w:rStyle w:val="Hyperlink"/>
            <w:noProof/>
          </w:rPr>
          <w:t>Quadro 27 - Cenário projetado para os rejeitos enviados à disposição final</w:t>
        </w:r>
        <w:r>
          <w:rPr>
            <w:noProof/>
            <w:webHidden/>
          </w:rPr>
          <w:tab/>
        </w:r>
        <w:r>
          <w:rPr>
            <w:noProof/>
            <w:webHidden/>
          </w:rPr>
          <w:fldChar w:fldCharType="begin"/>
        </w:r>
        <w:r>
          <w:rPr>
            <w:noProof/>
            <w:webHidden/>
          </w:rPr>
          <w:instrText xml:space="preserve"> PAGEREF _Toc497469148 \h </w:instrText>
        </w:r>
        <w:r>
          <w:rPr>
            <w:noProof/>
            <w:webHidden/>
          </w:rPr>
        </w:r>
        <w:r>
          <w:rPr>
            <w:noProof/>
            <w:webHidden/>
          </w:rPr>
          <w:fldChar w:fldCharType="separate"/>
        </w:r>
        <w:r>
          <w:rPr>
            <w:noProof/>
            <w:webHidden/>
          </w:rPr>
          <w:t>92</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49" w:history="1">
        <w:r w:rsidRPr="00854BCF">
          <w:rPr>
            <w:rStyle w:val="Hyperlink"/>
            <w:noProof/>
          </w:rPr>
          <w:t>Quadro 28 - Informações sobre o manejo de resíduos sólidos</w:t>
        </w:r>
        <w:r>
          <w:rPr>
            <w:noProof/>
            <w:webHidden/>
          </w:rPr>
          <w:tab/>
        </w:r>
        <w:r>
          <w:rPr>
            <w:noProof/>
            <w:webHidden/>
          </w:rPr>
          <w:fldChar w:fldCharType="begin"/>
        </w:r>
        <w:r>
          <w:rPr>
            <w:noProof/>
            <w:webHidden/>
          </w:rPr>
          <w:instrText xml:space="preserve"> PAGEREF _Toc497469149 \h </w:instrText>
        </w:r>
        <w:r>
          <w:rPr>
            <w:noProof/>
            <w:webHidden/>
          </w:rPr>
        </w:r>
        <w:r>
          <w:rPr>
            <w:noProof/>
            <w:webHidden/>
          </w:rPr>
          <w:fldChar w:fldCharType="separate"/>
        </w:r>
        <w:r>
          <w:rPr>
            <w:noProof/>
            <w:webHidden/>
          </w:rPr>
          <w:t>94</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50" w:history="1">
        <w:r w:rsidRPr="00854BCF">
          <w:rPr>
            <w:rStyle w:val="Hyperlink"/>
            <w:noProof/>
          </w:rPr>
          <w:t>Quadro 29 - Área necessária em m²</w:t>
        </w:r>
        <w:r>
          <w:rPr>
            <w:noProof/>
            <w:webHidden/>
          </w:rPr>
          <w:tab/>
        </w:r>
        <w:r>
          <w:rPr>
            <w:noProof/>
            <w:webHidden/>
          </w:rPr>
          <w:fldChar w:fldCharType="begin"/>
        </w:r>
        <w:r>
          <w:rPr>
            <w:noProof/>
            <w:webHidden/>
          </w:rPr>
          <w:instrText xml:space="preserve"> PAGEREF _Toc497469150 \h </w:instrText>
        </w:r>
        <w:r>
          <w:rPr>
            <w:noProof/>
            <w:webHidden/>
          </w:rPr>
        </w:r>
        <w:r>
          <w:rPr>
            <w:noProof/>
            <w:webHidden/>
          </w:rPr>
          <w:fldChar w:fldCharType="separate"/>
        </w:r>
        <w:r>
          <w:rPr>
            <w:noProof/>
            <w:webHidden/>
          </w:rPr>
          <w:t>108</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51" w:history="1">
        <w:r w:rsidRPr="00854BCF">
          <w:rPr>
            <w:rStyle w:val="Hyperlink"/>
            <w:noProof/>
          </w:rPr>
          <w:t>Quadro 30 - Projeção de geração de RCD de Córrego Novo</w:t>
        </w:r>
        <w:r>
          <w:rPr>
            <w:noProof/>
            <w:webHidden/>
          </w:rPr>
          <w:tab/>
        </w:r>
        <w:r>
          <w:rPr>
            <w:noProof/>
            <w:webHidden/>
          </w:rPr>
          <w:fldChar w:fldCharType="begin"/>
        </w:r>
        <w:r>
          <w:rPr>
            <w:noProof/>
            <w:webHidden/>
          </w:rPr>
          <w:instrText xml:space="preserve"> PAGEREF _Toc497469151 \h </w:instrText>
        </w:r>
        <w:r>
          <w:rPr>
            <w:noProof/>
            <w:webHidden/>
          </w:rPr>
        </w:r>
        <w:r>
          <w:rPr>
            <w:noProof/>
            <w:webHidden/>
          </w:rPr>
          <w:fldChar w:fldCharType="separate"/>
        </w:r>
        <w:r>
          <w:rPr>
            <w:noProof/>
            <w:webHidden/>
          </w:rPr>
          <w:t>117</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52" w:history="1">
        <w:r w:rsidRPr="00854BCF">
          <w:rPr>
            <w:rStyle w:val="Hyperlink"/>
            <w:noProof/>
          </w:rPr>
          <w:t>Quadro 31 - Formas de prestação de serviços públicos admitidas pela Constituição Federal</w:t>
        </w:r>
        <w:r>
          <w:rPr>
            <w:noProof/>
            <w:webHidden/>
          </w:rPr>
          <w:tab/>
        </w:r>
        <w:r>
          <w:rPr>
            <w:noProof/>
            <w:webHidden/>
          </w:rPr>
          <w:fldChar w:fldCharType="begin"/>
        </w:r>
        <w:r>
          <w:rPr>
            <w:noProof/>
            <w:webHidden/>
          </w:rPr>
          <w:instrText xml:space="preserve"> PAGEREF _Toc497469152 \h </w:instrText>
        </w:r>
        <w:r>
          <w:rPr>
            <w:noProof/>
            <w:webHidden/>
          </w:rPr>
        </w:r>
        <w:r>
          <w:rPr>
            <w:noProof/>
            <w:webHidden/>
          </w:rPr>
          <w:fldChar w:fldCharType="separate"/>
        </w:r>
        <w:r>
          <w:rPr>
            <w:noProof/>
            <w:webHidden/>
          </w:rPr>
          <w:t>122</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53" w:history="1">
        <w:r w:rsidRPr="00854BCF">
          <w:rPr>
            <w:rStyle w:val="Hyperlink"/>
            <w:noProof/>
          </w:rPr>
          <w:t>Quadro 32 - Comparativo entre Departamento e Autarquia</w:t>
        </w:r>
        <w:r>
          <w:rPr>
            <w:noProof/>
            <w:webHidden/>
          </w:rPr>
          <w:tab/>
        </w:r>
        <w:r>
          <w:rPr>
            <w:noProof/>
            <w:webHidden/>
          </w:rPr>
          <w:fldChar w:fldCharType="begin"/>
        </w:r>
        <w:r>
          <w:rPr>
            <w:noProof/>
            <w:webHidden/>
          </w:rPr>
          <w:instrText xml:space="preserve"> PAGEREF _Toc497469153 \h </w:instrText>
        </w:r>
        <w:r>
          <w:rPr>
            <w:noProof/>
            <w:webHidden/>
          </w:rPr>
        </w:r>
        <w:r>
          <w:rPr>
            <w:noProof/>
            <w:webHidden/>
          </w:rPr>
          <w:fldChar w:fldCharType="separate"/>
        </w:r>
        <w:r>
          <w:rPr>
            <w:noProof/>
            <w:webHidden/>
          </w:rPr>
          <w:t>128</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54" w:history="1">
        <w:r w:rsidRPr="00854BCF">
          <w:rPr>
            <w:rStyle w:val="Hyperlink"/>
            <w:noProof/>
          </w:rPr>
          <w:t>Quadro 33 - Vantagens e desvantagens dos modelos de regulação</w:t>
        </w:r>
        <w:r>
          <w:rPr>
            <w:noProof/>
            <w:webHidden/>
          </w:rPr>
          <w:tab/>
        </w:r>
        <w:r>
          <w:rPr>
            <w:noProof/>
            <w:webHidden/>
          </w:rPr>
          <w:fldChar w:fldCharType="begin"/>
        </w:r>
        <w:r>
          <w:rPr>
            <w:noProof/>
            <w:webHidden/>
          </w:rPr>
          <w:instrText xml:space="preserve"> PAGEREF _Toc497469154 \h </w:instrText>
        </w:r>
        <w:r>
          <w:rPr>
            <w:noProof/>
            <w:webHidden/>
          </w:rPr>
        </w:r>
        <w:r>
          <w:rPr>
            <w:noProof/>
            <w:webHidden/>
          </w:rPr>
          <w:fldChar w:fldCharType="separate"/>
        </w:r>
        <w:r>
          <w:rPr>
            <w:noProof/>
            <w:webHidden/>
          </w:rPr>
          <w:t>134</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55" w:history="1">
        <w:r w:rsidRPr="00854BCF">
          <w:rPr>
            <w:rStyle w:val="Hyperlink"/>
            <w:noProof/>
          </w:rPr>
          <w:t>Quadro 34 - Funções da gestão e entidades passíveis de atuar como responsáveis</w:t>
        </w:r>
        <w:r>
          <w:rPr>
            <w:noProof/>
            <w:webHidden/>
          </w:rPr>
          <w:tab/>
        </w:r>
        <w:r>
          <w:rPr>
            <w:noProof/>
            <w:webHidden/>
          </w:rPr>
          <w:fldChar w:fldCharType="begin"/>
        </w:r>
        <w:r>
          <w:rPr>
            <w:noProof/>
            <w:webHidden/>
          </w:rPr>
          <w:instrText xml:space="preserve"> PAGEREF _Toc497469155 \h </w:instrText>
        </w:r>
        <w:r>
          <w:rPr>
            <w:noProof/>
            <w:webHidden/>
          </w:rPr>
        </w:r>
        <w:r>
          <w:rPr>
            <w:noProof/>
            <w:webHidden/>
          </w:rPr>
          <w:fldChar w:fldCharType="separate"/>
        </w:r>
        <w:r>
          <w:rPr>
            <w:noProof/>
            <w:webHidden/>
          </w:rPr>
          <w:t>136</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56" w:history="1">
        <w:r w:rsidRPr="00854BCF">
          <w:rPr>
            <w:rStyle w:val="Hyperlink"/>
            <w:noProof/>
          </w:rPr>
          <w:t>Quadro 35 - Resíduos dos Serviços Públicos de Saneamento Básico – Regras de Estocagem</w:t>
        </w:r>
        <w:r>
          <w:rPr>
            <w:noProof/>
            <w:webHidden/>
          </w:rPr>
          <w:tab/>
        </w:r>
        <w:r>
          <w:rPr>
            <w:noProof/>
            <w:webHidden/>
          </w:rPr>
          <w:fldChar w:fldCharType="begin"/>
        </w:r>
        <w:r>
          <w:rPr>
            <w:noProof/>
            <w:webHidden/>
          </w:rPr>
          <w:instrText xml:space="preserve"> PAGEREF _Toc497469156 \h </w:instrText>
        </w:r>
        <w:r>
          <w:rPr>
            <w:noProof/>
            <w:webHidden/>
          </w:rPr>
        </w:r>
        <w:r>
          <w:rPr>
            <w:noProof/>
            <w:webHidden/>
          </w:rPr>
          <w:fldChar w:fldCharType="separate"/>
        </w:r>
        <w:r>
          <w:rPr>
            <w:noProof/>
            <w:webHidden/>
          </w:rPr>
          <w:t>137</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57" w:history="1">
        <w:r w:rsidRPr="00854BCF">
          <w:rPr>
            <w:rStyle w:val="Hyperlink"/>
            <w:noProof/>
          </w:rPr>
          <w:t>Quadro 36 - Resíduos dos Serviços Públicos de Saneamento Básico – Regras de Transporte</w:t>
        </w:r>
        <w:r>
          <w:rPr>
            <w:noProof/>
            <w:webHidden/>
          </w:rPr>
          <w:tab/>
        </w:r>
        <w:r>
          <w:rPr>
            <w:noProof/>
            <w:webHidden/>
          </w:rPr>
          <w:fldChar w:fldCharType="begin"/>
        </w:r>
        <w:r>
          <w:rPr>
            <w:noProof/>
            <w:webHidden/>
          </w:rPr>
          <w:instrText xml:space="preserve"> PAGEREF _Toc497469157 \h </w:instrText>
        </w:r>
        <w:r>
          <w:rPr>
            <w:noProof/>
            <w:webHidden/>
          </w:rPr>
        </w:r>
        <w:r>
          <w:rPr>
            <w:noProof/>
            <w:webHidden/>
          </w:rPr>
          <w:fldChar w:fldCharType="separate"/>
        </w:r>
        <w:r>
          <w:rPr>
            <w:noProof/>
            <w:webHidden/>
          </w:rPr>
          <w:t>138</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58" w:history="1">
        <w:r w:rsidRPr="00854BCF">
          <w:rPr>
            <w:rStyle w:val="Hyperlink"/>
            <w:noProof/>
          </w:rPr>
          <w:t>Quadro 37 - Resíduos dos Serviços Públicos de Saneamento Básico – Regras de Disposição Final</w:t>
        </w:r>
        <w:r>
          <w:rPr>
            <w:noProof/>
            <w:webHidden/>
          </w:rPr>
          <w:tab/>
        </w:r>
        <w:r>
          <w:rPr>
            <w:noProof/>
            <w:webHidden/>
          </w:rPr>
          <w:fldChar w:fldCharType="begin"/>
        </w:r>
        <w:r>
          <w:rPr>
            <w:noProof/>
            <w:webHidden/>
          </w:rPr>
          <w:instrText xml:space="preserve"> PAGEREF _Toc497469158 \h </w:instrText>
        </w:r>
        <w:r>
          <w:rPr>
            <w:noProof/>
            <w:webHidden/>
          </w:rPr>
        </w:r>
        <w:r>
          <w:rPr>
            <w:noProof/>
            <w:webHidden/>
          </w:rPr>
          <w:fldChar w:fldCharType="separate"/>
        </w:r>
        <w:r>
          <w:rPr>
            <w:noProof/>
            <w:webHidden/>
          </w:rPr>
          <w:t>138</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59" w:history="1">
        <w:r w:rsidRPr="00854BCF">
          <w:rPr>
            <w:rStyle w:val="Hyperlink"/>
            <w:noProof/>
          </w:rPr>
          <w:t>Quadro 38 - Resíduos dos Serviços Públicos de Saneamento Básico – Legislação e Normas</w:t>
        </w:r>
        <w:r>
          <w:rPr>
            <w:noProof/>
            <w:webHidden/>
          </w:rPr>
          <w:tab/>
        </w:r>
        <w:r>
          <w:rPr>
            <w:noProof/>
            <w:webHidden/>
          </w:rPr>
          <w:fldChar w:fldCharType="begin"/>
        </w:r>
        <w:r>
          <w:rPr>
            <w:noProof/>
            <w:webHidden/>
          </w:rPr>
          <w:instrText xml:space="preserve"> PAGEREF _Toc497469159 \h </w:instrText>
        </w:r>
        <w:r>
          <w:rPr>
            <w:noProof/>
            <w:webHidden/>
          </w:rPr>
        </w:r>
        <w:r>
          <w:rPr>
            <w:noProof/>
            <w:webHidden/>
          </w:rPr>
          <w:fldChar w:fldCharType="separate"/>
        </w:r>
        <w:r>
          <w:rPr>
            <w:noProof/>
            <w:webHidden/>
          </w:rPr>
          <w:t>139</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60" w:history="1">
        <w:r w:rsidRPr="00854BCF">
          <w:rPr>
            <w:rStyle w:val="Hyperlink"/>
            <w:noProof/>
          </w:rPr>
          <w:t>Quadro 39 - Resíduos dos Serviços de Transporte – Classificação.</w:t>
        </w:r>
        <w:r>
          <w:rPr>
            <w:noProof/>
            <w:webHidden/>
          </w:rPr>
          <w:tab/>
        </w:r>
        <w:r>
          <w:rPr>
            <w:noProof/>
            <w:webHidden/>
          </w:rPr>
          <w:fldChar w:fldCharType="begin"/>
        </w:r>
        <w:r>
          <w:rPr>
            <w:noProof/>
            <w:webHidden/>
          </w:rPr>
          <w:instrText xml:space="preserve"> PAGEREF _Toc497469160 \h </w:instrText>
        </w:r>
        <w:r>
          <w:rPr>
            <w:noProof/>
            <w:webHidden/>
          </w:rPr>
        </w:r>
        <w:r>
          <w:rPr>
            <w:noProof/>
            <w:webHidden/>
          </w:rPr>
          <w:fldChar w:fldCharType="separate"/>
        </w:r>
        <w:r>
          <w:rPr>
            <w:noProof/>
            <w:webHidden/>
          </w:rPr>
          <w:t>140</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61" w:history="1">
        <w:r w:rsidRPr="00854BCF">
          <w:rPr>
            <w:rStyle w:val="Hyperlink"/>
            <w:noProof/>
          </w:rPr>
          <w:t>Quadro 40 - Resíduos dos Serviços de Transporte – Regras de Coleta e Transporte.</w:t>
        </w:r>
        <w:r>
          <w:rPr>
            <w:noProof/>
            <w:webHidden/>
          </w:rPr>
          <w:tab/>
        </w:r>
        <w:r>
          <w:rPr>
            <w:noProof/>
            <w:webHidden/>
          </w:rPr>
          <w:fldChar w:fldCharType="begin"/>
        </w:r>
        <w:r>
          <w:rPr>
            <w:noProof/>
            <w:webHidden/>
          </w:rPr>
          <w:instrText xml:space="preserve"> PAGEREF _Toc497469161 \h </w:instrText>
        </w:r>
        <w:r>
          <w:rPr>
            <w:noProof/>
            <w:webHidden/>
          </w:rPr>
        </w:r>
        <w:r>
          <w:rPr>
            <w:noProof/>
            <w:webHidden/>
          </w:rPr>
          <w:fldChar w:fldCharType="separate"/>
        </w:r>
        <w:r>
          <w:rPr>
            <w:noProof/>
            <w:webHidden/>
          </w:rPr>
          <w:t>140</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62" w:history="1">
        <w:r w:rsidRPr="00854BCF">
          <w:rPr>
            <w:rStyle w:val="Hyperlink"/>
            <w:noProof/>
          </w:rPr>
          <w:t>Quadro 41 - Resíduos dos Serviços de Transporte – Regras de Tratamento e Disposição Final</w:t>
        </w:r>
        <w:r>
          <w:rPr>
            <w:noProof/>
            <w:webHidden/>
          </w:rPr>
          <w:tab/>
        </w:r>
        <w:r>
          <w:rPr>
            <w:noProof/>
            <w:webHidden/>
          </w:rPr>
          <w:fldChar w:fldCharType="begin"/>
        </w:r>
        <w:r>
          <w:rPr>
            <w:noProof/>
            <w:webHidden/>
          </w:rPr>
          <w:instrText xml:space="preserve"> PAGEREF _Toc497469162 \h </w:instrText>
        </w:r>
        <w:r>
          <w:rPr>
            <w:noProof/>
            <w:webHidden/>
          </w:rPr>
        </w:r>
        <w:r>
          <w:rPr>
            <w:noProof/>
            <w:webHidden/>
          </w:rPr>
          <w:fldChar w:fldCharType="separate"/>
        </w:r>
        <w:r>
          <w:rPr>
            <w:noProof/>
            <w:webHidden/>
          </w:rPr>
          <w:t>141</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63" w:history="1">
        <w:r w:rsidRPr="00854BCF">
          <w:rPr>
            <w:rStyle w:val="Hyperlink"/>
            <w:noProof/>
          </w:rPr>
          <w:t>Quadro 42 - Resíduos dos Serviços de Transporte – Regras de Licenciamento</w:t>
        </w:r>
        <w:r>
          <w:rPr>
            <w:noProof/>
            <w:webHidden/>
          </w:rPr>
          <w:tab/>
        </w:r>
        <w:r>
          <w:rPr>
            <w:noProof/>
            <w:webHidden/>
          </w:rPr>
          <w:fldChar w:fldCharType="begin"/>
        </w:r>
        <w:r>
          <w:rPr>
            <w:noProof/>
            <w:webHidden/>
          </w:rPr>
          <w:instrText xml:space="preserve"> PAGEREF _Toc497469163 \h </w:instrText>
        </w:r>
        <w:r>
          <w:rPr>
            <w:noProof/>
            <w:webHidden/>
          </w:rPr>
        </w:r>
        <w:r>
          <w:rPr>
            <w:noProof/>
            <w:webHidden/>
          </w:rPr>
          <w:fldChar w:fldCharType="separate"/>
        </w:r>
        <w:r>
          <w:rPr>
            <w:noProof/>
            <w:webHidden/>
          </w:rPr>
          <w:t>141</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64" w:history="1">
        <w:r w:rsidRPr="00854BCF">
          <w:rPr>
            <w:rStyle w:val="Hyperlink"/>
            <w:noProof/>
          </w:rPr>
          <w:t>Quadro 43 - Resíduos dos Serviços de Transporte – Legislação e Normas</w:t>
        </w:r>
        <w:r>
          <w:rPr>
            <w:noProof/>
            <w:webHidden/>
          </w:rPr>
          <w:tab/>
        </w:r>
        <w:r>
          <w:rPr>
            <w:noProof/>
            <w:webHidden/>
          </w:rPr>
          <w:fldChar w:fldCharType="begin"/>
        </w:r>
        <w:r>
          <w:rPr>
            <w:noProof/>
            <w:webHidden/>
          </w:rPr>
          <w:instrText xml:space="preserve"> PAGEREF _Toc497469164 \h </w:instrText>
        </w:r>
        <w:r>
          <w:rPr>
            <w:noProof/>
            <w:webHidden/>
          </w:rPr>
        </w:r>
        <w:r>
          <w:rPr>
            <w:noProof/>
            <w:webHidden/>
          </w:rPr>
          <w:fldChar w:fldCharType="separate"/>
        </w:r>
        <w:r>
          <w:rPr>
            <w:noProof/>
            <w:webHidden/>
          </w:rPr>
          <w:t>142</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65" w:history="1">
        <w:r w:rsidRPr="00854BCF">
          <w:rPr>
            <w:rStyle w:val="Hyperlink"/>
            <w:noProof/>
          </w:rPr>
          <w:t>Quadro 44 - Resíduos de Serviço de Saúde – Classificação.</w:t>
        </w:r>
        <w:r>
          <w:rPr>
            <w:noProof/>
            <w:webHidden/>
          </w:rPr>
          <w:tab/>
        </w:r>
        <w:r>
          <w:rPr>
            <w:noProof/>
            <w:webHidden/>
          </w:rPr>
          <w:fldChar w:fldCharType="begin"/>
        </w:r>
        <w:r>
          <w:rPr>
            <w:noProof/>
            <w:webHidden/>
          </w:rPr>
          <w:instrText xml:space="preserve"> PAGEREF _Toc497469165 \h </w:instrText>
        </w:r>
        <w:r>
          <w:rPr>
            <w:noProof/>
            <w:webHidden/>
          </w:rPr>
        </w:r>
        <w:r>
          <w:rPr>
            <w:noProof/>
            <w:webHidden/>
          </w:rPr>
          <w:fldChar w:fldCharType="separate"/>
        </w:r>
        <w:r>
          <w:rPr>
            <w:noProof/>
            <w:webHidden/>
          </w:rPr>
          <w:t>143</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66" w:history="1">
        <w:r w:rsidRPr="00854BCF">
          <w:rPr>
            <w:rStyle w:val="Hyperlink"/>
            <w:noProof/>
          </w:rPr>
          <w:t>Quadro 45 - Resíduos de Serviço de Saúde – Símbolos de Identificação</w:t>
        </w:r>
        <w:r>
          <w:rPr>
            <w:noProof/>
            <w:webHidden/>
          </w:rPr>
          <w:tab/>
        </w:r>
        <w:r>
          <w:rPr>
            <w:noProof/>
            <w:webHidden/>
          </w:rPr>
          <w:fldChar w:fldCharType="begin"/>
        </w:r>
        <w:r>
          <w:rPr>
            <w:noProof/>
            <w:webHidden/>
          </w:rPr>
          <w:instrText xml:space="preserve"> PAGEREF _Toc497469166 \h </w:instrText>
        </w:r>
        <w:r>
          <w:rPr>
            <w:noProof/>
            <w:webHidden/>
          </w:rPr>
        </w:r>
        <w:r>
          <w:rPr>
            <w:noProof/>
            <w:webHidden/>
          </w:rPr>
          <w:fldChar w:fldCharType="separate"/>
        </w:r>
        <w:r>
          <w:rPr>
            <w:noProof/>
            <w:webHidden/>
          </w:rPr>
          <w:t>144</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67" w:history="1">
        <w:r w:rsidRPr="00854BCF">
          <w:rPr>
            <w:rStyle w:val="Hyperlink"/>
            <w:noProof/>
          </w:rPr>
          <w:t>Quadro 46 - Resíduos de Serviço de Saúde – Regras de Acondicionamento</w:t>
        </w:r>
        <w:r>
          <w:rPr>
            <w:noProof/>
            <w:webHidden/>
          </w:rPr>
          <w:tab/>
        </w:r>
        <w:r>
          <w:rPr>
            <w:noProof/>
            <w:webHidden/>
          </w:rPr>
          <w:fldChar w:fldCharType="begin"/>
        </w:r>
        <w:r>
          <w:rPr>
            <w:noProof/>
            <w:webHidden/>
          </w:rPr>
          <w:instrText xml:space="preserve"> PAGEREF _Toc497469167 \h </w:instrText>
        </w:r>
        <w:r>
          <w:rPr>
            <w:noProof/>
            <w:webHidden/>
          </w:rPr>
        </w:r>
        <w:r>
          <w:rPr>
            <w:noProof/>
            <w:webHidden/>
          </w:rPr>
          <w:fldChar w:fldCharType="separate"/>
        </w:r>
        <w:r>
          <w:rPr>
            <w:noProof/>
            <w:webHidden/>
          </w:rPr>
          <w:t>144</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68" w:history="1">
        <w:r w:rsidRPr="00854BCF">
          <w:rPr>
            <w:rStyle w:val="Hyperlink"/>
            <w:noProof/>
          </w:rPr>
          <w:t>Quadro 47 - Resíduos de Serviço de Saúde – Regras de Coleta e Transporte.</w:t>
        </w:r>
        <w:r>
          <w:rPr>
            <w:noProof/>
            <w:webHidden/>
          </w:rPr>
          <w:tab/>
        </w:r>
        <w:r>
          <w:rPr>
            <w:noProof/>
            <w:webHidden/>
          </w:rPr>
          <w:fldChar w:fldCharType="begin"/>
        </w:r>
        <w:r>
          <w:rPr>
            <w:noProof/>
            <w:webHidden/>
          </w:rPr>
          <w:instrText xml:space="preserve"> PAGEREF _Toc497469168 \h </w:instrText>
        </w:r>
        <w:r>
          <w:rPr>
            <w:noProof/>
            <w:webHidden/>
          </w:rPr>
        </w:r>
        <w:r>
          <w:rPr>
            <w:noProof/>
            <w:webHidden/>
          </w:rPr>
          <w:fldChar w:fldCharType="separate"/>
        </w:r>
        <w:r>
          <w:rPr>
            <w:noProof/>
            <w:webHidden/>
          </w:rPr>
          <w:t>145</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69" w:history="1">
        <w:r w:rsidRPr="00854BCF">
          <w:rPr>
            <w:rStyle w:val="Hyperlink"/>
            <w:noProof/>
          </w:rPr>
          <w:t>Quadro 48 - Resíduos de Serviço de Saúde – Regras de Triagem e Transbordo.</w:t>
        </w:r>
        <w:r>
          <w:rPr>
            <w:noProof/>
            <w:webHidden/>
          </w:rPr>
          <w:tab/>
        </w:r>
        <w:r>
          <w:rPr>
            <w:noProof/>
            <w:webHidden/>
          </w:rPr>
          <w:fldChar w:fldCharType="begin"/>
        </w:r>
        <w:r>
          <w:rPr>
            <w:noProof/>
            <w:webHidden/>
          </w:rPr>
          <w:instrText xml:space="preserve"> PAGEREF _Toc497469169 \h </w:instrText>
        </w:r>
        <w:r>
          <w:rPr>
            <w:noProof/>
            <w:webHidden/>
          </w:rPr>
        </w:r>
        <w:r>
          <w:rPr>
            <w:noProof/>
            <w:webHidden/>
          </w:rPr>
          <w:fldChar w:fldCharType="separate"/>
        </w:r>
        <w:r>
          <w:rPr>
            <w:noProof/>
            <w:webHidden/>
          </w:rPr>
          <w:t>145</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70" w:history="1">
        <w:r w:rsidRPr="00854BCF">
          <w:rPr>
            <w:rStyle w:val="Hyperlink"/>
            <w:noProof/>
          </w:rPr>
          <w:t>Quadro 49 - Resíduos de Serviço de Saúde – Métodos de Tratamento</w:t>
        </w:r>
        <w:r>
          <w:rPr>
            <w:noProof/>
            <w:webHidden/>
          </w:rPr>
          <w:tab/>
        </w:r>
        <w:r>
          <w:rPr>
            <w:noProof/>
            <w:webHidden/>
          </w:rPr>
          <w:fldChar w:fldCharType="begin"/>
        </w:r>
        <w:r>
          <w:rPr>
            <w:noProof/>
            <w:webHidden/>
          </w:rPr>
          <w:instrText xml:space="preserve"> PAGEREF _Toc497469170 \h </w:instrText>
        </w:r>
        <w:r>
          <w:rPr>
            <w:noProof/>
            <w:webHidden/>
          </w:rPr>
        </w:r>
        <w:r>
          <w:rPr>
            <w:noProof/>
            <w:webHidden/>
          </w:rPr>
          <w:fldChar w:fldCharType="separate"/>
        </w:r>
        <w:r>
          <w:rPr>
            <w:noProof/>
            <w:webHidden/>
          </w:rPr>
          <w:t>145</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71" w:history="1">
        <w:r w:rsidRPr="00854BCF">
          <w:rPr>
            <w:rStyle w:val="Hyperlink"/>
            <w:noProof/>
          </w:rPr>
          <w:t>Quadro 50 - Resíduos de Serviço de Saúde – Regras de Tratamento e Disposição Final</w:t>
        </w:r>
        <w:r>
          <w:rPr>
            <w:noProof/>
            <w:webHidden/>
          </w:rPr>
          <w:tab/>
        </w:r>
        <w:r>
          <w:rPr>
            <w:noProof/>
            <w:webHidden/>
          </w:rPr>
          <w:fldChar w:fldCharType="begin"/>
        </w:r>
        <w:r>
          <w:rPr>
            <w:noProof/>
            <w:webHidden/>
          </w:rPr>
          <w:instrText xml:space="preserve"> PAGEREF _Toc497469171 \h </w:instrText>
        </w:r>
        <w:r>
          <w:rPr>
            <w:noProof/>
            <w:webHidden/>
          </w:rPr>
        </w:r>
        <w:r>
          <w:rPr>
            <w:noProof/>
            <w:webHidden/>
          </w:rPr>
          <w:fldChar w:fldCharType="separate"/>
        </w:r>
        <w:r>
          <w:rPr>
            <w:noProof/>
            <w:webHidden/>
          </w:rPr>
          <w:t>146</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72" w:history="1">
        <w:r w:rsidRPr="00854BCF">
          <w:rPr>
            <w:rStyle w:val="Hyperlink"/>
            <w:noProof/>
          </w:rPr>
          <w:t>Quadro 51 - Resíduos de Serviço de Saúde – Regras de Licenciamento</w:t>
        </w:r>
        <w:r>
          <w:rPr>
            <w:noProof/>
            <w:webHidden/>
          </w:rPr>
          <w:tab/>
        </w:r>
        <w:r>
          <w:rPr>
            <w:noProof/>
            <w:webHidden/>
          </w:rPr>
          <w:fldChar w:fldCharType="begin"/>
        </w:r>
        <w:r>
          <w:rPr>
            <w:noProof/>
            <w:webHidden/>
          </w:rPr>
          <w:instrText xml:space="preserve"> PAGEREF _Toc497469172 \h </w:instrText>
        </w:r>
        <w:r>
          <w:rPr>
            <w:noProof/>
            <w:webHidden/>
          </w:rPr>
        </w:r>
        <w:r>
          <w:rPr>
            <w:noProof/>
            <w:webHidden/>
          </w:rPr>
          <w:fldChar w:fldCharType="separate"/>
        </w:r>
        <w:r>
          <w:rPr>
            <w:noProof/>
            <w:webHidden/>
          </w:rPr>
          <w:t>146</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73" w:history="1">
        <w:r w:rsidRPr="00854BCF">
          <w:rPr>
            <w:rStyle w:val="Hyperlink"/>
            <w:noProof/>
          </w:rPr>
          <w:t>Quadro 52 - Resíduos de Serviço de Saúde – Legislação e Normas.</w:t>
        </w:r>
        <w:r>
          <w:rPr>
            <w:noProof/>
            <w:webHidden/>
          </w:rPr>
          <w:tab/>
        </w:r>
        <w:r>
          <w:rPr>
            <w:noProof/>
            <w:webHidden/>
          </w:rPr>
          <w:fldChar w:fldCharType="begin"/>
        </w:r>
        <w:r>
          <w:rPr>
            <w:noProof/>
            <w:webHidden/>
          </w:rPr>
          <w:instrText xml:space="preserve"> PAGEREF _Toc497469173 \h </w:instrText>
        </w:r>
        <w:r>
          <w:rPr>
            <w:noProof/>
            <w:webHidden/>
          </w:rPr>
        </w:r>
        <w:r>
          <w:rPr>
            <w:noProof/>
            <w:webHidden/>
          </w:rPr>
          <w:fldChar w:fldCharType="separate"/>
        </w:r>
        <w:r>
          <w:rPr>
            <w:noProof/>
            <w:webHidden/>
          </w:rPr>
          <w:t>147</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74" w:history="1">
        <w:r w:rsidRPr="00854BCF">
          <w:rPr>
            <w:rStyle w:val="Hyperlink"/>
            <w:noProof/>
          </w:rPr>
          <w:t>Quadro 53 - Resíduos de Mineração – Normas</w:t>
        </w:r>
        <w:r>
          <w:rPr>
            <w:noProof/>
            <w:webHidden/>
          </w:rPr>
          <w:tab/>
        </w:r>
        <w:r>
          <w:rPr>
            <w:noProof/>
            <w:webHidden/>
          </w:rPr>
          <w:fldChar w:fldCharType="begin"/>
        </w:r>
        <w:r>
          <w:rPr>
            <w:noProof/>
            <w:webHidden/>
          </w:rPr>
          <w:instrText xml:space="preserve"> PAGEREF _Toc497469174 \h </w:instrText>
        </w:r>
        <w:r>
          <w:rPr>
            <w:noProof/>
            <w:webHidden/>
          </w:rPr>
        </w:r>
        <w:r>
          <w:rPr>
            <w:noProof/>
            <w:webHidden/>
          </w:rPr>
          <w:fldChar w:fldCharType="separate"/>
        </w:r>
        <w:r>
          <w:rPr>
            <w:noProof/>
            <w:webHidden/>
          </w:rPr>
          <w:t>148</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75" w:history="1">
        <w:r w:rsidRPr="00854BCF">
          <w:rPr>
            <w:rStyle w:val="Hyperlink"/>
            <w:noProof/>
          </w:rPr>
          <w:t>Quadro 54 - Resíduos de Construção Civil – Classificação.</w:t>
        </w:r>
        <w:r>
          <w:rPr>
            <w:noProof/>
            <w:webHidden/>
          </w:rPr>
          <w:tab/>
        </w:r>
        <w:r>
          <w:rPr>
            <w:noProof/>
            <w:webHidden/>
          </w:rPr>
          <w:fldChar w:fldCharType="begin"/>
        </w:r>
        <w:r>
          <w:rPr>
            <w:noProof/>
            <w:webHidden/>
          </w:rPr>
          <w:instrText xml:space="preserve"> PAGEREF _Toc497469175 \h </w:instrText>
        </w:r>
        <w:r>
          <w:rPr>
            <w:noProof/>
            <w:webHidden/>
          </w:rPr>
        </w:r>
        <w:r>
          <w:rPr>
            <w:noProof/>
            <w:webHidden/>
          </w:rPr>
          <w:fldChar w:fldCharType="separate"/>
        </w:r>
        <w:r>
          <w:rPr>
            <w:noProof/>
            <w:webHidden/>
          </w:rPr>
          <w:t>148</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76" w:history="1">
        <w:r w:rsidRPr="00854BCF">
          <w:rPr>
            <w:rStyle w:val="Hyperlink"/>
            <w:noProof/>
          </w:rPr>
          <w:t>Quadro 55 - Resíduos de Construção Civil – Regras de Coleta e Transporte.</w:t>
        </w:r>
        <w:r>
          <w:rPr>
            <w:noProof/>
            <w:webHidden/>
          </w:rPr>
          <w:tab/>
        </w:r>
        <w:r>
          <w:rPr>
            <w:noProof/>
            <w:webHidden/>
          </w:rPr>
          <w:fldChar w:fldCharType="begin"/>
        </w:r>
        <w:r>
          <w:rPr>
            <w:noProof/>
            <w:webHidden/>
          </w:rPr>
          <w:instrText xml:space="preserve"> PAGEREF _Toc497469176 \h </w:instrText>
        </w:r>
        <w:r>
          <w:rPr>
            <w:noProof/>
            <w:webHidden/>
          </w:rPr>
        </w:r>
        <w:r>
          <w:rPr>
            <w:noProof/>
            <w:webHidden/>
          </w:rPr>
          <w:fldChar w:fldCharType="separate"/>
        </w:r>
        <w:r>
          <w:rPr>
            <w:noProof/>
            <w:webHidden/>
          </w:rPr>
          <w:t>149</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77" w:history="1">
        <w:r w:rsidRPr="00854BCF">
          <w:rPr>
            <w:rStyle w:val="Hyperlink"/>
            <w:noProof/>
          </w:rPr>
          <w:t>Quadro 56 - Resíduos de Construção Civil – Regras de Tratamento e Disposição.</w:t>
        </w:r>
        <w:r>
          <w:rPr>
            <w:noProof/>
            <w:webHidden/>
          </w:rPr>
          <w:tab/>
        </w:r>
        <w:r>
          <w:rPr>
            <w:noProof/>
            <w:webHidden/>
          </w:rPr>
          <w:fldChar w:fldCharType="begin"/>
        </w:r>
        <w:r>
          <w:rPr>
            <w:noProof/>
            <w:webHidden/>
          </w:rPr>
          <w:instrText xml:space="preserve"> PAGEREF _Toc497469177 \h </w:instrText>
        </w:r>
        <w:r>
          <w:rPr>
            <w:noProof/>
            <w:webHidden/>
          </w:rPr>
        </w:r>
        <w:r>
          <w:rPr>
            <w:noProof/>
            <w:webHidden/>
          </w:rPr>
          <w:fldChar w:fldCharType="separate"/>
        </w:r>
        <w:r>
          <w:rPr>
            <w:noProof/>
            <w:webHidden/>
          </w:rPr>
          <w:t>149</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78" w:history="1">
        <w:r w:rsidRPr="00854BCF">
          <w:rPr>
            <w:rStyle w:val="Hyperlink"/>
            <w:noProof/>
          </w:rPr>
          <w:t>Quadro 57 - Resíduos de Construção Civil – Regras de Licenciamento.</w:t>
        </w:r>
        <w:r>
          <w:rPr>
            <w:noProof/>
            <w:webHidden/>
          </w:rPr>
          <w:tab/>
        </w:r>
        <w:r>
          <w:rPr>
            <w:noProof/>
            <w:webHidden/>
          </w:rPr>
          <w:fldChar w:fldCharType="begin"/>
        </w:r>
        <w:r>
          <w:rPr>
            <w:noProof/>
            <w:webHidden/>
          </w:rPr>
          <w:instrText xml:space="preserve"> PAGEREF _Toc497469178 \h </w:instrText>
        </w:r>
        <w:r>
          <w:rPr>
            <w:noProof/>
            <w:webHidden/>
          </w:rPr>
        </w:r>
        <w:r>
          <w:rPr>
            <w:noProof/>
            <w:webHidden/>
          </w:rPr>
          <w:fldChar w:fldCharType="separate"/>
        </w:r>
        <w:r>
          <w:rPr>
            <w:noProof/>
            <w:webHidden/>
          </w:rPr>
          <w:t>149</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79" w:history="1">
        <w:r w:rsidRPr="00854BCF">
          <w:rPr>
            <w:rStyle w:val="Hyperlink"/>
            <w:noProof/>
          </w:rPr>
          <w:t>Quadro 58 - Resíduos de Construção Civil – Legislação e Normas.</w:t>
        </w:r>
        <w:r>
          <w:rPr>
            <w:noProof/>
            <w:webHidden/>
          </w:rPr>
          <w:tab/>
        </w:r>
        <w:r>
          <w:rPr>
            <w:noProof/>
            <w:webHidden/>
          </w:rPr>
          <w:fldChar w:fldCharType="begin"/>
        </w:r>
        <w:r>
          <w:rPr>
            <w:noProof/>
            <w:webHidden/>
          </w:rPr>
          <w:instrText xml:space="preserve"> PAGEREF _Toc497469179 \h </w:instrText>
        </w:r>
        <w:r>
          <w:rPr>
            <w:noProof/>
            <w:webHidden/>
          </w:rPr>
        </w:r>
        <w:r>
          <w:rPr>
            <w:noProof/>
            <w:webHidden/>
          </w:rPr>
          <w:fldChar w:fldCharType="separate"/>
        </w:r>
        <w:r>
          <w:rPr>
            <w:noProof/>
            <w:webHidden/>
          </w:rPr>
          <w:t>149</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80" w:history="1">
        <w:r w:rsidRPr="00854BCF">
          <w:rPr>
            <w:rStyle w:val="Hyperlink"/>
            <w:noProof/>
          </w:rPr>
          <w:t>Quadro 59 - Resíduos Agrossilvopastoris – Regras de Coleta e Transporte.</w:t>
        </w:r>
        <w:r>
          <w:rPr>
            <w:noProof/>
            <w:webHidden/>
          </w:rPr>
          <w:tab/>
        </w:r>
        <w:r>
          <w:rPr>
            <w:noProof/>
            <w:webHidden/>
          </w:rPr>
          <w:fldChar w:fldCharType="begin"/>
        </w:r>
        <w:r>
          <w:rPr>
            <w:noProof/>
            <w:webHidden/>
          </w:rPr>
          <w:instrText xml:space="preserve"> PAGEREF _Toc497469180 \h </w:instrText>
        </w:r>
        <w:r>
          <w:rPr>
            <w:noProof/>
            <w:webHidden/>
          </w:rPr>
        </w:r>
        <w:r>
          <w:rPr>
            <w:noProof/>
            <w:webHidden/>
          </w:rPr>
          <w:fldChar w:fldCharType="separate"/>
        </w:r>
        <w:r>
          <w:rPr>
            <w:noProof/>
            <w:webHidden/>
          </w:rPr>
          <w:t>150</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81" w:history="1">
        <w:r w:rsidRPr="00854BCF">
          <w:rPr>
            <w:rStyle w:val="Hyperlink"/>
            <w:noProof/>
          </w:rPr>
          <w:t>Quadro 60 - Resíduos Agrossilvopastoris – Regras de Triagem e Transbordo.</w:t>
        </w:r>
        <w:r>
          <w:rPr>
            <w:noProof/>
            <w:webHidden/>
          </w:rPr>
          <w:tab/>
        </w:r>
        <w:r>
          <w:rPr>
            <w:noProof/>
            <w:webHidden/>
          </w:rPr>
          <w:fldChar w:fldCharType="begin"/>
        </w:r>
        <w:r>
          <w:rPr>
            <w:noProof/>
            <w:webHidden/>
          </w:rPr>
          <w:instrText xml:space="preserve"> PAGEREF _Toc497469181 \h </w:instrText>
        </w:r>
        <w:r>
          <w:rPr>
            <w:noProof/>
            <w:webHidden/>
          </w:rPr>
        </w:r>
        <w:r>
          <w:rPr>
            <w:noProof/>
            <w:webHidden/>
          </w:rPr>
          <w:fldChar w:fldCharType="separate"/>
        </w:r>
        <w:r>
          <w:rPr>
            <w:noProof/>
            <w:webHidden/>
          </w:rPr>
          <w:t>150</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82" w:history="1">
        <w:r w:rsidRPr="00854BCF">
          <w:rPr>
            <w:rStyle w:val="Hyperlink"/>
            <w:noProof/>
          </w:rPr>
          <w:t>Quadro 61 - Resíduos Agrossilvopastoris – Regras de Tratamento e Disposição.</w:t>
        </w:r>
        <w:r>
          <w:rPr>
            <w:noProof/>
            <w:webHidden/>
          </w:rPr>
          <w:tab/>
        </w:r>
        <w:r>
          <w:rPr>
            <w:noProof/>
            <w:webHidden/>
          </w:rPr>
          <w:fldChar w:fldCharType="begin"/>
        </w:r>
        <w:r>
          <w:rPr>
            <w:noProof/>
            <w:webHidden/>
          </w:rPr>
          <w:instrText xml:space="preserve"> PAGEREF _Toc497469182 \h </w:instrText>
        </w:r>
        <w:r>
          <w:rPr>
            <w:noProof/>
            <w:webHidden/>
          </w:rPr>
        </w:r>
        <w:r>
          <w:rPr>
            <w:noProof/>
            <w:webHidden/>
          </w:rPr>
          <w:fldChar w:fldCharType="separate"/>
        </w:r>
        <w:r>
          <w:rPr>
            <w:noProof/>
            <w:webHidden/>
          </w:rPr>
          <w:t>151</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83" w:history="1">
        <w:r w:rsidRPr="00854BCF">
          <w:rPr>
            <w:rStyle w:val="Hyperlink"/>
            <w:noProof/>
          </w:rPr>
          <w:t>Quadro 62 - Resíduos Agrossilvopastoris – Regras de Licenciamento.</w:t>
        </w:r>
        <w:r>
          <w:rPr>
            <w:noProof/>
            <w:webHidden/>
          </w:rPr>
          <w:tab/>
        </w:r>
        <w:r>
          <w:rPr>
            <w:noProof/>
            <w:webHidden/>
          </w:rPr>
          <w:fldChar w:fldCharType="begin"/>
        </w:r>
        <w:r>
          <w:rPr>
            <w:noProof/>
            <w:webHidden/>
          </w:rPr>
          <w:instrText xml:space="preserve"> PAGEREF _Toc497469183 \h </w:instrText>
        </w:r>
        <w:r>
          <w:rPr>
            <w:noProof/>
            <w:webHidden/>
          </w:rPr>
        </w:r>
        <w:r>
          <w:rPr>
            <w:noProof/>
            <w:webHidden/>
          </w:rPr>
          <w:fldChar w:fldCharType="separate"/>
        </w:r>
        <w:r>
          <w:rPr>
            <w:noProof/>
            <w:webHidden/>
          </w:rPr>
          <w:t>151</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84" w:history="1">
        <w:r w:rsidRPr="00854BCF">
          <w:rPr>
            <w:rStyle w:val="Hyperlink"/>
            <w:noProof/>
          </w:rPr>
          <w:t>Quadro 63 - Resíduos Agrossilvopastoris – Legislação e Normas.</w:t>
        </w:r>
        <w:r>
          <w:rPr>
            <w:noProof/>
            <w:webHidden/>
          </w:rPr>
          <w:tab/>
        </w:r>
        <w:r>
          <w:rPr>
            <w:noProof/>
            <w:webHidden/>
          </w:rPr>
          <w:fldChar w:fldCharType="begin"/>
        </w:r>
        <w:r>
          <w:rPr>
            <w:noProof/>
            <w:webHidden/>
          </w:rPr>
          <w:instrText xml:space="preserve"> PAGEREF _Toc497469184 \h </w:instrText>
        </w:r>
        <w:r>
          <w:rPr>
            <w:noProof/>
            <w:webHidden/>
          </w:rPr>
        </w:r>
        <w:r>
          <w:rPr>
            <w:noProof/>
            <w:webHidden/>
          </w:rPr>
          <w:fldChar w:fldCharType="separate"/>
        </w:r>
        <w:r>
          <w:rPr>
            <w:noProof/>
            <w:webHidden/>
          </w:rPr>
          <w:t>151</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85" w:history="1">
        <w:r w:rsidRPr="00854BCF">
          <w:rPr>
            <w:rStyle w:val="Hyperlink"/>
            <w:noProof/>
          </w:rPr>
          <w:t>Quadro 64 - Resíduos Industriais – Regras de Licenciamento e Obrigações Legais.</w:t>
        </w:r>
        <w:r>
          <w:rPr>
            <w:noProof/>
            <w:webHidden/>
          </w:rPr>
          <w:tab/>
        </w:r>
        <w:r>
          <w:rPr>
            <w:noProof/>
            <w:webHidden/>
          </w:rPr>
          <w:fldChar w:fldCharType="begin"/>
        </w:r>
        <w:r>
          <w:rPr>
            <w:noProof/>
            <w:webHidden/>
          </w:rPr>
          <w:instrText xml:space="preserve"> PAGEREF _Toc497469185 \h </w:instrText>
        </w:r>
        <w:r>
          <w:rPr>
            <w:noProof/>
            <w:webHidden/>
          </w:rPr>
        </w:r>
        <w:r>
          <w:rPr>
            <w:noProof/>
            <w:webHidden/>
          </w:rPr>
          <w:fldChar w:fldCharType="separate"/>
        </w:r>
        <w:r>
          <w:rPr>
            <w:noProof/>
            <w:webHidden/>
          </w:rPr>
          <w:t>153</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86" w:history="1">
        <w:r w:rsidRPr="00854BCF">
          <w:rPr>
            <w:rStyle w:val="Hyperlink"/>
            <w:noProof/>
          </w:rPr>
          <w:t>Quadro 65 - Resíduos Industriais – Legislação e Normas.</w:t>
        </w:r>
        <w:r>
          <w:rPr>
            <w:noProof/>
            <w:webHidden/>
          </w:rPr>
          <w:tab/>
        </w:r>
        <w:r>
          <w:rPr>
            <w:noProof/>
            <w:webHidden/>
          </w:rPr>
          <w:fldChar w:fldCharType="begin"/>
        </w:r>
        <w:r>
          <w:rPr>
            <w:noProof/>
            <w:webHidden/>
          </w:rPr>
          <w:instrText xml:space="preserve"> PAGEREF _Toc497469186 \h </w:instrText>
        </w:r>
        <w:r>
          <w:rPr>
            <w:noProof/>
            <w:webHidden/>
          </w:rPr>
        </w:r>
        <w:r>
          <w:rPr>
            <w:noProof/>
            <w:webHidden/>
          </w:rPr>
          <w:fldChar w:fldCharType="separate"/>
        </w:r>
        <w:r>
          <w:rPr>
            <w:noProof/>
            <w:webHidden/>
          </w:rPr>
          <w:t>153</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87" w:history="1">
        <w:r w:rsidRPr="00854BCF">
          <w:rPr>
            <w:rStyle w:val="Hyperlink"/>
            <w:noProof/>
          </w:rPr>
          <w:t>Quadro 66 - Resíduos de Estabelecimentos Comerciais – Regras de sobre óleos lubrificantes, pilhas e baterias, pneus inservíveis, embalagens de agrotóxico, lixo eletrônico e lâmpadas fluorescentes.</w:t>
        </w:r>
        <w:r>
          <w:rPr>
            <w:noProof/>
            <w:webHidden/>
          </w:rPr>
          <w:tab/>
        </w:r>
        <w:r>
          <w:rPr>
            <w:noProof/>
            <w:webHidden/>
          </w:rPr>
          <w:fldChar w:fldCharType="begin"/>
        </w:r>
        <w:r>
          <w:rPr>
            <w:noProof/>
            <w:webHidden/>
          </w:rPr>
          <w:instrText xml:space="preserve"> PAGEREF _Toc497469187 \h </w:instrText>
        </w:r>
        <w:r>
          <w:rPr>
            <w:noProof/>
            <w:webHidden/>
          </w:rPr>
        </w:r>
        <w:r>
          <w:rPr>
            <w:noProof/>
            <w:webHidden/>
          </w:rPr>
          <w:fldChar w:fldCharType="separate"/>
        </w:r>
        <w:r>
          <w:rPr>
            <w:noProof/>
            <w:webHidden/>
          </w:rPr>
          <w:t>154</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88" w:history="1">
        <w:r w:rsidRPr="00854BCF">
          <w:rPr>
            <w:rStyle w:val="Hyperlink"/>
            <w:noProof/>
          </w:rPr>
          <w:t>Quadro 67 - Resíduos de Estabelecimentos Comerciais – Regras de Coleta e Transporte</w:t>
        </w:r>
        <w:r>
          <w:rPr>
            <w:noProof/>
            <w:webHidden/>
          </w:rPr>
          <w:tab/>
        </w:r>
        <w:r>
          <w:rPr>
            <w:noProof/>
            <w:webHidden/>
          </w:rPr>
          <w:fldChar w:fldCharType="begin"/>
        </w:r>
        <w:r>
          <w:rPr>
            <w:noProof/>
            <w:webHidden/>
          </w:rPr>
          <w:instrText xml:space="preserve"> PAGEREF _Toc497469188 \h </w:instrText>
        </w:r>
        <w:r>
          <w:rPr>
            <w:noProof/>
            <w:webHidden/>
          </w:rPr>
        </w:r>
        <w:r>
          <w:rPr>
            <w:noProof/>
            <w:webHidden/>
          </w:rPr>
          <w:fldChar w:fldCharType="separate"/>
        </w:r>
        <w:r>
          <w:rPr>
            <w:noProof/>
            <w:webHidden/>
          </w:rPr>
          <w:t>155</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89" w:history="1">
        <w:r w:rsidRPr="00854BCF">
          <w:rPr>
            <w:rStyle w:val="Hyperlink"/>
            <w:noProof/>
          </w:rPr>
          <w:t>Quadro 68 - Resíduos de Estabelecimentos Comerciais – Regras de Triagem e Transbordo.</w:t>
        </w:r>
        <w:r>
          <w:rPr>
            <w:noProof/>
            <w:webHidden/>
          </w:rPr>
          <w:tab/>
        </w:r>
        <w:r>
          <w:rPr>
            <w:noProof/>
            <w:webHidden/>
          </w:rPr>
          <w:fldChar w:fldCharType="begin"/>
        </w:r>
        <w:r>
          <w:rPr>
            <w:noProof/>
            <w:webHidden/>
          </w:rPr>
          <w:instrText xml:space="preserve"> PAGEREF _Toc497469189 \h </w:instrText>
        </w:r>
        <w:r>
          <w:rPr>
            <w:noProof/>
            <w:webHidden/>
          </w:rPr>
        </w:r>
        <w:r>
          <w:rPr>
            <w:noProof/>
            <w:webHidden/>
          </w:rPr>
          <w:fldChar w:fldCharType="separate"/>
        </w:r>
        <w:r>
          <w:rPr>
            <w:noProof/>
            <w:webHidden/>
          </w:rPr>
          <w:t>155</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90" w:history="1">
        <w:r w:rsidRPr="00854BCF">
          <w:rPr>
            <w:rStyle w:val="Hyperlink"/>
            <w:noProof/>
          </w:rPr>
          <w:t>Quadro 69 - Resíduos de Estabelecimentos Comerciais – Legislação e Normas</w:t>
        </w:r>
        <w:r>
          <w:rPr>
            <w:noProof/>
            <w:webHidden/>
          </w:rPr>
          <w:tab/>
        </w:r>
        <w:r>
          <w:rPr>
            <w:noProof/>
            <w:webHidden/>
          </w:rPr>
          <w:fldChar w:fldCharType="begin"/>
        </w:r>
        <w:r>
          <w:rPr>
            <w:noProof/>
            <w:webHidden/>
          </w:rPr>
          <w:instrText xml:space="preserve"> PAGEREF _Toc497469190 \h </w:instrText>
        </w:r>
        <w:r>
          <w:rPr>
            <w:noProof/>
            <w:webHidden/>
          </w:rPr>
        </w:r>
        <w:r>
          <w:rPr>
            <w:noProof/>
            <w:webHidden/>
          </w:rPr>
          <w:fldChar w:fldCharType="separate"/>
        </w:r>
        <w:r>
          <w:rPr>
            <w:noProof/>
            <w:webHidden/>
          </w:rPr>
          <w:t>156</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91" w:history="1">
        <w:r w:rsidRPr="00854BCF">
          <w:rPr>
            <w:rStyle w:val="Hyperlink"/>
            <w:noProof/>
          </w:rPr>
          <w:t>Quadro 70 - Resumo das responsabilidades na gestão dos resíduos sólidos</w:t>
        </w:r>
        <w:r>
          <w:rPr>
            <w:noProof/>
            <w:webHidden/>
          </w:rPr>
          <w:tab/>
        </w:r>
        <w:r>
          <w:rPr>
            <w:noProof/>
            <w:webHidden/>
          </w:rPr>
          <w:fldChar w:fldCharType="begin"/>
        </w:r>
        <w:r>
          <w:rPr>
            <w:noProof/>
            <w:webHidden/>
          </w:rPr>
          <w:instrText xml:space="preserve"> PAGEREF _Toc497469191 \h </w:instrText>
        </w:r>
        <w:r>
          <w:rPr>
            <w:noProof/>
            <w:webHidden/>
          </w:rPr>
        </w:r>
        <w:r>
          <w:rPr>
            <w:noProof/>
            <w:webHidden/>
          </w:rPr>
          <w:fldChar w:fldCharType="separate"/>
        </w:r>
        <w:r>
          <w:rPr>
            <w:noProof/>
            <w:webHidden/>
          </w:rPr>
          <w:t>173</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92" w:history="1">
        <w:r w:rsidRPr="00854BCF">
          <w:rPr>
            <w:rStyle w:val="Hyperlink"/>
            <w:noProof/>
          </w:rPr>
          <w:t>Quadro 71 - Resumo geral das etapas da logística reversa e responsabilidades</w:t>
        </w:r>
        <w:r>
          <w:rPr>
            <w:noProof/>
            <w:webHidden/>
          </w:rPr>
          <w:tab/>
        </w:r>
        <w:r>
          <w:rPr>
            <w:noProof/>
            <w:webHidden/>
          </w:rPr>
          <w:fldChar w:fldCharType="begin"/>
        </w:r>
        <w:r>
          <w:rPr>
            <w:noProof/>
            <w:webHidden/>
          </w:rPr>
          <w:instrText xml:space="preserve"> PAGEREF _Toc497469192 \h </w:instrText>
        </w:r>
        <w:r>
          <w:rPr>
            <w:noProof/>
            <w:webHidden/>
          </w:rPr>
        </w:r>
        <w:r>
          <w:rPr>
            <w:noProof/>
            <w:webHidden/>
          </w:rPr>
          <w:fldChar w:fldCharType="separate"/>
        </w:r>
        <w:r>
          <w:rPr>
            <w:noProof/>
            <w:webHidden/>
          </w:rPr>
          <w:t>181</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93" w:history="1">
        <w:r w:rsidRPr="00854BCF">
          <w:rPr>
            <w:rStyle w:val="Hyperlink"/>
            <w:noProof/>
          </w:rPr>
          <w:t xml:space="preserve">Quadro 72 - Matriz SWOT do Sistema de Saneamento Básico Municipal de </w:t>
        </w:r>
        <w:r w:rsidRPr="00854BCF">
          <w:rPr>
            <w:rStyle w:val="Hyperlink"/>
            <w:noProof/>
            <w:lang w:eastAsia="pt-BR"/>
          </w:rPr>
          <w:t>Córrego Novo</w:t>
        </w:r>
        <w:r>
          <w:rPr>
            <w:noProof/>
            <w:webHidden/>
          </w:rPr>
          <w:tab/>
        </w:r>
        <w:r>
          <w:rPr>
            <w:noProof/>
            <w:webHidden/>
          </w:rPr>
          <w:fldChar w:fldCharType="begin"/>
        </w:r>
        <w:r>
          <w:rPr>
            <w:noProof/>
            <w:webHidden/>
          </w:rPr>
          <w:instrText xml:space="preserve"> PAGEREF _Toc497469193 \h </w:instrText>
        </w:r>
        <w:r>
          <w:rPr>
            <w:noProof/>
            <w:webHidden/>
          </w:rPr>
        </w:r>
        <w:r>
          <w:rPr>
            <w:noProof/>
            <w:webHidden/>
          </w:rPr>
          <w:fldChar w:fldCharType="separate"/>
        </w:r>
        <w:r>
          <w:rPr>
            <w:noProof/>
            <w:webHidden/>
          </w:rPr>
          <w:t>185</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94" w:history="1">
        <w:r w:rsidRPr="00854BCF">
          <w:rPr>
            <w:rStyle w:val="Hyperlink"/>
            <w:noProof/>
          </w:rPr>
          <w:t xml:space="preserve">Quadro 73 - Descrição dos cenários previsível e normativo para o Sistema de Saneamento Básico Municipal de </w:t>
        </w:r>
        <w:r w:rsidRPr="00854BCF">
          <w:rPr>
            <w:rStyle w:val="Hyperlink"/>
            <w:noProof/>
            <w:lang w:eastAsia="pt-BR"/>
          </w:rPr>
          <w:t>Córrego Novo</w:t>
        </w:r>
        <w:r>
          <w:rPr>
            <w:noProof/>
            <w:webHidden/>
          </w:rPr>
          <w:tab/>
        </w:r>
        <w:r>
          <w:rPr>
            <w:noProof/>
            <w:webHidden/>
          </w:rPr>
          <w:fldChar w:fldCharType="begin"/>
        </w:r>
        <w:r>
          <w:rPr>
            <w:noProof/>
            <w:webHidden/>
          </w:rPr>
          <w:instrText xml:space="preserve"> PAGEREF _Toc497469194 \h </w:instrText>
        </w:r>
        <w:r>
          <w:rPr>
            <w:noProof/>
            <w:webHidden/>
          </w:rPr>
        </w:r>
        <w:r>
          <w:rPr>
            <w:noProof/>
            <w:webHidden/>
          </w:rPr>
          <w:fldChar w:fldCharType="separate"/>
        </w:r>
        <w:r>
          <w:rPr>
            <w:noProof/>
            <w:webHidden/>
          </w:rPr>
          <w:t>187</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95" w:history="1">
        <w:r w:rsidRPr="00854BCF">
          <w:rPr>
            <w:rStyle w:val="Hyperlink"/>
            <w:noProof/>
          </w:rPr>
          <w:t>Quadro 74 - Matriz SWOT do Sistema de Abastecimento de Água (SAA)</w:t>
        </w:r>
        <w:r>
          <w:rPr>
            <w:noProof/>
            <w:webHidden/>
          </w:rPr>
          <w:tab/>
        </w:r>
        <w:r>
          <w:rPr>
            <w:noProof/>
            <w:webHidden/>
          </w:rPr>
          <w:fldChar w:fldCharType="begin"/>
        </w:r>
        <w:r>
          <w:rPr>
            <w:noProof/>
            <w:webHidden/>
          </w:rPr>
          <w:instrText xml:space="preserve"> PAGEREF _Toc497469195 \h </w:instrText>
        </w:r>
        <w:r>
          <w:rPr>
            <w:noProof/>
            <w:webHidden/>
          </w:rPr>
        </w:r>
        <w:r>
          <w:rPr>
            <w:noProof/>
            <w:webHidden/>
          </w:rPr>
          <w:fldChar w:fldCharType="separate"/>
        </w:r>
        <w:r>
          <w:rPr>
            <w:noProof/>
            <w:webHidden/>
          </w:rPr>
          <w:t>195</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96" w:history="1">
        <w:r w:rsidRPr="00854BCF">
          <w:rPr>
            <w:rStyle w:val="Hyperlink"/>
            <w:noProof/>
          </w:rPr>
          <w:t>Quadro 75 - Descrição dos cenários previsível e normativo para o Sistema de Abastecimento de Água (SAA)</w:t>
        </w:r>
        <w:r>
          <w:rPr>
            <w:noProof/>
            <w:webHidden/>
          </w:rPr>
          <w:tab/>
        </w:r>
        <w:r>
          <w:rPr>
            <w:noProof/>
            <w:webHidden/>
          </w:rPr>
          <w:fldChar w:fldCharType="begin"/>
        </w:r>
        <w:r>
          <w:rPr>
            <w:noProof/>
            <w:webHidden/>
          </w:rPr>
          <w:instrText xml:space="preserve"> PAGEREF _Toc497469196 \h </w:instrText>
        </w:r>
        <w:r>
          <w:rPr>
            <w:noProof/>
            <w:webHidden/>
          </w:rPr>
        </w:r>
        <w:r>
          <w:rPr>
            <w:noProof/>
            <w:webHidden/>
          </w:rPr>
          <w:fldChar w:fldCharType="separate"/>
        </w:r>
        <w:r>
          <w:rPr>
            <w:noProof/>
            <w:webHidden/>
          </w:rPr>
          <w:t>197</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97" w:history="1">
        <w:r w:rsidRPr="00854BCF">
          <w:rPr>
            <w:rStyle w:val="Hyperlink"/>
            <w:noProof/>
          </w:rPr>
          <w:t>Quadro 76 - Matriz SWOT do Sistema de Esgotamento Sanitário (SES)</w:t>
        </w:r>
        <w:r>
          <w:rPr>
            <w:noProof/>
            <w:webHidden/>
          </w:rPr>
          <w:tab/>
        </w:r>
        <w:r>
          <w:rPr>
            <w:noProof/>
            <w:webHidden/>
          </w:rPr>
          <w:fldChar w:fldCharType="begin"/>
        </w:r>
        <w:r>
          <w:rPr>
            <w:noProof/>
            <w:webHidden/>
          </w:rPr>
          <w:instrText xml:space="preserve"> PAGEREF _Toc497469197 \h </w:instrText>
        </w:r>
        <w:r>
          <w:rPr>
            <w:noProof/>
            <w:webHidden/>
          </w:rPr>
        </w:r>
        <w:r>
          <w:rPr>
            <w:noProof/>
            <w:webHidden/>
          </w:rPr>
          <w:fldChar w:fldCharType="separate"/>
        </w:r>
        <w:r>
          <w:rPr>
            <w:noProof/>
            <w:webHidden/>
          </w:rPr>
          <w:t>202</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98" w:history="1">
        <w:r w:rsidRPr="00854BCF">
          <w:rPr>
            <w:rStyle w:val="Hyperlink"/>
            <w:noProof/>
          </w:rPr>
          <w:t>Quadro 77 - Descrição dos cenários previsível e normativo para o Sistema de Esgotamento Sanitário (SES)</w:t>
        </w:r>
        <w:r>
          <w:rPr>
            <w:noProof/>
            <w:webHidden/>
          </w:rPr>
          <w:tab/>
        </w:r>
        <w:r>
          <w:rPr>
            <w:noProof/>
            <w:webHidden/>
          </w:rPr>
          <w:fldChar w:fldCharType="begin"/>
        </w:r>
        <w:r>
          <w:rPr>
            <w:noProof/>
            <w:webHidden/>
          </w:rPr>
          <w:instrText xml:space="preserve"> PAGEREF _Toc497469198 \h </w:instrText>
        </w:r>
        <w:r>
          <w:rPr>
            <w:noProof/>
            <w:webHidden/>
          </w:rPr>
        </w:r>
        <w:r>
          <w:rPr>
            <w:noProof/>
            <w:webHidden/>
          </w:rPr>
          <w:fldChar w:fldCharType="separate"/>
        </w:r>
        <w:r>
          <w:rPr>
            <w:noProof/>
            <w:webHidden/>
          </w:rPr>
          <w:t>204</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199" w:history="1">
        <w:r w:rsidRPr="00854BCF">
          <w:rPr>
            <w:rStyle w:val="Hyperlink"/>
            <w:noProof/>
          </w:rPr>
          <w:t>Quadro 78 - Matriz SWOT do Sistema de Drenagem Urbana e Manejo de Águas Pluviais</w:t>
        </w:r>
        <w:r>
          <w:rPr>
            <w:noProof/>
            <w:webHidden/>
          </w:rPr>
          <w:tab/>
        </w:r>
        <w:r>
          <w:rPr>
            <w:noProof/>
            <w:webHidden/>
          </w:rPr>
          <w:fldChar w:fldCharType="begin"/>
        </w:r>
        <w:r>
          <w:rPr>
            <w:noProof/>
            <w:webHidden/>
          </w:rPr>
          <w:instrText xml:space="preserve"> PAGEREF _Toc497469199 \h </w:instrText>
        </w:r>
        <w:r>
          <w:rPr>
            <w:noProof/>
            <w:webHidden/>
          </w:rPr>
        </w:r>
        <w:r>
          <w:rPr>
            <w:noProof/>
            <w:webHidden/>
          </w:rPr>
          <w:fldChar w:fldCharType="separate"/>
        </w:r>
        <w:r>
          <w:rPr>
            <w:noProof/>
            <w:webHidden/>
          </w:rPr>
          <w:t>208</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200" w:history="1">
        <w:r w:rsidRPr="00854BCF">
          <w:rPr>
            <w:rStyle w:val="Hyperlink"/>
            <w:noProof/>
          </w:rPr>
          <w:t>Quadro 79 - Descrição dos cenários previsível e normativo para o Sistema de Drenagem Urbana</w:t>
        </w:r>
        <w:r>
          <w:rPr>
            <w:noProof/>
            <w:webHidden/>
          </w:rPr>
          <w:tab/>
        </w:r>
        <w:r>
          <w:rPr>
            <w:noProof/>
            <w:webHidden/>
          </w:rPr>
          <w:fldChar w:fldCharType="begin"/>
        </w:r>
        <w:r>
          <w:rPr>
            <w:noProof/>
            <w:webHidden/>
          </w:rPr>
          <w:instrText xml:space="preserve"> PAGEREF _Toc497469200 \h </w:instrText>
        </w:r>
        <w:r>
          <w:rPr>
            <w:noProof/>
            <w:webHidden/>
          </w:rPr>
        </w:r>
        <w:r>
          <w:rPr>
            <w:noProof/>
            <w:webHidden/>
          </w:rPr>
          <w:fldChar w:fldCharType="separate"/>
        </w:r>
        <w:r>
          <w:rPr>
            <w:noProof/>
            <w:webHidden/>
          </w:rPr>
          <w:t>210</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201" w:history="1">
        <w:r w:rsidRPr="00854BCF">
          <w:rPr>
            <w:rStyle w:val="Hyperlink"/>
            <w:noProof/>
          </w:rPr>
          <w:t>Quadro 80 - Matriz SWOT do Sistema de Limpeza Urbana e Manejo de Resíduos Sólidos</w:t>
        </w:r>
        <w:r>
          <w:rPr>
            <w:noProof/>
            <w:webHidden/>
          </w:rPr>
          <w:tab/>
        </w:r>
        <w:r>
          <w:rPr>
            <w:noProof/>
            <w:webHidden/>
          </w:rPr>
          <w:fldChar w:fldCharType="begin"/>
        </w:r>
        <w:r>
          <w:rPr>
            <w:noProof/>
            <w:webHidden/>
          </w:rPr>
          <w:instrText xml:space="preserve"> PAGEREF _Toc497469201 \h </w:instrText>
        </w:r>
        <w:r>
          <w:rPr>
            <w:noProof/>
            <w:webHidden/>
          </w:rPr>
        </w:r>
        <w:r>
          <w:rPr>
            <w:noProof/>
            <w:webHidden/>
          </w:rPr>
          <w:fldChar w:fldCharType="separate"/>
        </w:r>
        <w:r>
          <w:rPr>
            <w:noProof/>
            <w:webHidden/>
          </w:rPr>
          <w:t>215</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202" w:history="1">
        <w:r w:rsidRPr="00854BCF">
          <w:rPr>
            <w:rStyle w:val="Hyperlink"/>
            <w:noProof/>
          </w:rPr>
          <w:t>Quadro 81 - Descrição dos cenários previsível e normativo para o Sistema de Limpeza Urbana e Manejo de Resíduos Sólidos</w:t>
        </w:r>
        <w:r>
          <w:rPr>
            <w:noProof/>
            <w:webHidden/>
          </w:rPr>
          <w:tab/>
        </w:r>
        <w:r>
          <w:rPr>
            <w:noProof/>
            <w:webHidden/>
          </w:rPr>
          <w:fldChar w:fldCharType="begin"/>
        </w:r>
        <w:r>
          <w:rPr>
            <w:noProof/>
            <w:webHidden/>
          </w:rPr>
          <w:instrText xml:space="preserve"> PAGEREF _Toc497469202 \h </w:instrText>
        </w:r>
        <w:r>
          <w:rPr>
            <w:noProof/>
            <w:webHidden/>
          </w:rPr>
        </w:r>
        <w:r>
          <w:rPr>
            <w:noProof/>
            <w:webHidden/>
          </w:rPr>
          <w:fldChar w:fldCharType="separate"/>
        </w:r>
        <w:r>
          <w:rPr>
            <w:noProof/>
            <w:webHidden/>
          </w:rPr>
          <w:t>217</w:t>
        </w:r>
        <w:r>
          <w:rPr>
            <w:noProof/>
            <w:webHidden/>
          </w:rPr>
          <w:fldChar w:fldCharType="end"/>
        </w:r>
      </w:hyperlink>
    </w:p>
    <w:p w:rsidR="004C0142" w:rsidRPr="00F94A69" w:rsidRDefault="004C0142" w:rsidP="004C0142">
      <w:pPr>
        <w:rPr>
          <w:rFonts w:cs="Arial"/>
          <w:lang w:eastAsia="pt-BR"/>
        </w:rPr>
      </w:pPr>
      <w:r w:rsidRPr="00F94A69">
        <w:rPr>
          <w:rFonts w:cs="Arial"/>
          <w:lang w:eastAsia="pt-BR"/>
        </w:rPr>
        <w:fldChar w:fldCharType="end"/>
      </w:r>
    </w:p>
    <w:p w:rsidR="00C57ADC" w:rsidRPr="00F94A69" w:rsidRDefault="00C57ADC" w:rsidP="00C57ADC">
      <w:pPr>
        <w:pStyle w:val="Ttulo1"/>
      </w:pPr>
      <w:bookmarkStart w:id="5" w:name="_Toc497468979"/>
      <w:r w:rsidRPr="00F94A69">
        <w:t>Lista de Tabelas</w:t>
      </w:r>
      <w:bookmarkEnd w:id="3"/>
      <w:bookmarkEnd w:id="5"/>
    </w:p>
    <w:p w:rsidR="004D1D76" w:rsidRDefault="00C57ADC">
      <w:pPr>
        <w:pStyle w:val="ndicedeilustraes"/>
        <w:rPr>
          <w:rFonts w:asciiTheme="minorHAnsi" w:eastAsiaTheme="minorEastAsia" w:hAnsiTheme="minorHAnsi" w:cstheme="minorBidi"/>
          <w:noProof/>
          <w:sz w:val="22"/>
          <w:lang w:eastAsia="pt-BR"/>
        </w:rPr>
      </w:pPr>
      <w:r w:rsidRPr="00F94A69">
        <w:rPr>
          <w:rFonts w:cs="Arial"/>
          <w:lang w:eastAsia="x-none"/>
        </w:rPr>
        <w:fldChar w:fldCharType="begin"/>
      </w:r>
      <w:r w:rsidRPr="00F94A69">
        <w:rPr>
          <w:rFonts w:cs="Arial"/>
          <w:lang w:eastAsia="x-none"/>
        </w:rPr>
        <w:instrText xml:space="preserve"> TOC \h \z \c "Tabela" </w:instrText>
      </w:r>
      <w:r w:rsidRPr="00F94A69">
        <w:rPr>
          <w:rFonts w:cs="Arial"/>
          <w:lang w:eastAsia="x-none"/>
        </w:rPr>
        <w:fldChar w:fldCharType="separate"/>
      </w:r>
      <w:hyperlink w:anchor="_Toc497469203" w:history="1">
        <w:r w:rsidR="004D1D76" w:rsidRPr="00BF39BD">
          <w:rPr>
            <w:rStyle w:val="Hyperlink"/>
            <w:noProof/>
          </w:rPr>
          <w:t>Tabela 1 - Valores utilizados para o cálculo da concentração de DBO de lançamento máxima aceitável da futura ETE em Córrego Novo</w:t>
        </w:r>
        <w:r w:rsidR="004D1D76">
          <w:rPr>
            <w:noProof/>
            <w:webHidden/>
          </w:rPr>
          <w:tab/>
        </w:r>
        <w:r w:rsidR="004D1D76">
          <w:rPr>
            <w:noProof/>
            <w:webHidden/>
          </w:rPr>
          <w:fldChar w:fldCharType="begin"/>
        </w:r>
        <w:r w:rsidR="004D1D76">
          <w:rPr>
            <w:noProof/>
            <w:webHidden/>
          </w:rPr>
          <w:instrText xml:space="preserve"> PAGEREF _Toc497469203 \h </w:instrText>
        </w:r>
        <w:r w:rsidR="004D1D76">
          <w:rPr>
            <w:noProof/>
            <w:webHidden/>
          </w:rPr>
        </w:r>
        <w:r w:rsidR="004D1D76">
          <w:rPr>
            <w:noProof/>
            <w:webHidden/>
          </w:rPr>
          <w:fldChar w:fldCharType="separate"/>
        </w:r>
        <w:r w:rsidR="004D1D76">
          <w:rPr>
            <w:noProof/>
            <w:webHidden/>
          </w:rPr>
          <w:t>63</w:t>
        </w:r>
        <w:r w:rsidR="004D1D76">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204" w:history="1">
        <w:r w:rsidRPr="00BF39BD">
          <w:rPr>
            <w:rStyle w:val="Hyperlink"/>
            <w:noProof/>
          </w:rPr>
          <w:t>Tabela 2 - Valores utilizados para o cálculo da concentração de coliformes fecais termotolerantes de lançamento máxima aceitável da futura ETE em Córrego Novo</w:t>
        </w:r>
        <w:r>
          <w:rPr>
            <w:noProof/>
            <w:webHidden/>
          </w:rPr>
          <w:tab/>
        </w:r>
        <w:r>
          <w:rPr>
            <w:noProof/>
            <w:webHidden/>
          </w:rPr>
          <w:fldChar w:fldCharType="begin"/>
        </w:r>
        <w:r>
          <w:rPr>
            <w:noProof/>
            <w:webHidden/>
          </w:rPr>
          <w:instrText xml:space="preserve"> PAGEREF _Toc497469204 \h </w:instrText>
        </w:r>
        <w:r>
          <w:rPr>
            <w:noProof/>
            <w:webHidden/>
          </w:rPr>
        </w:r>
        <w:r>
          <w:rPr>
            <w:noProof/>
            <w:webHidden/>
          </w:rPr>
          <w:fldChar w:fldCharType="separate"/>
        </w:r>
        <w:r>
          <w:rPr>
            <w:noProof/>
            <w:webHidden/>
          </w:rPr>
          <w:t>64</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205" w:history="1">
        <w:r w:rsidRPr="00BF39BD">
          <w:rPr>
            <w:rStyle w:val="Hyperlink"/>
            <w:noProof/>
          </w:rPr>
          <w:t>Tabela 3 - Impermeabilização das bacias com histórico de inundação</w:t>
        </w:r>
        <w:r>
          <w:rPr>
            <w:noProof/>
            <w:webHidden/>
          </w:rPr>
          <w:tab/>
        </w:r>
        <w:r>
          <w:rPr>
            <w:noProof/>
            <w:webHidden/>
          </w:rPr>
          <w:fldChar w:fldCharType="begin"/>
        </w:r>
        <w:r>
          <w:rPr>
            <w:noProof/>
            <w:webHidden/>
          </w:rPr>
          <w:instrText xml:space="preserve"> PAGEREF _Toc497469205 \h </w:instrText>
        </w:r>
        <w:r>
          <w:rPr>
            <w:noProof/>
            <w:webHidden/>
          </w:rPr>
        </w:r>
        <w:r>
          <w:rPr>
            <w:noProof/>
            <w:webHidden/>
          </w:rPr>
          <w:fldChar w:fldCharType="separate"/>
        </w:r>
        <w:r>
          <w:rPr>
            <w:noProof/>
            <w:webHidden/>
          </w:rPr>
          <w:t>69</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206" w:history="1">
        <w:r w:rsidRPr="00BF39BD">
          <w:rPr>
            <w:rStyle w:val="Hyperlink"/>
            <w:noProof/>
          </w:rPr>
          <w:t>Tabela 4 - Projeção de crescimento populacional urbano até 2038 no cenário previsível</w:t>
        </w:r>
        <w:r>
          <w:rPr>
            <w:noProof/>
            <w:webHidden/>
          </w:rPr>
          <w:tab/>
        </w:r>
        <w:r>
          <w:rPr>
            <w:noProof/>
            <w:webHidden/>
          </w:rPr>
          <w:fldChar w:fldCharType="begin"/>
        </w:r>
        <w:r>
          <w:rPr>
            <w:noProof/>
            <w:webHidden/>
          </w:rPr>
          <w:instrText xml:space="preserve"> PAGEREF _Toc497469206 \h </w:instrText>
        </w:r>
        <w:r>
          <w:rPr>
            <w:noProof/>
            <w:webHidden/>
          </w:rPr>
        </w:r>
        <w:r>
          <w:rPr>
            <w:noProof/>
            <w:webHidden/>
          </w:rPr>
          <w:fldChar w:fldCharType="separate"/>
        </w:r>
        <w:r>
          <w:rPr>
            <w:noProof/>
            <w:webHidden/>
          </w:rPr>
          <w:t>69</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207" w:history="1">
        <w:r w:rsidRPr="00BF39BD">
          <w:rPr>
            <w:rStyle w:val="Hyperlink"/>
            <w:noProof/>
          </w:rPr>
          <w:t>Tabela 5 - Locais passiveis de inundações e seus respectivos períodos de retorno</w:t>
        </w:r>
        <w:r>
          <w:rPr>
            <w:noProof/>
            <w:webHidden/>
          </w:rPr>
          <w:tab/>
        </w:r>
        <w:r>
          <w:rPr>
            <w:noProof/>
            <w:webHidden/>
          </w:rPr>
          <w:fldChar w:fldCharType="begin"/>
        </w:r>
        <w:r>
          <w:rPr>
            <w:noProof/>
            <w:webHidden/>
          </w:rPr>
          <w:instrText xml:space="preserve"> PAGEREF _Toc497469207 \h </w:instrText>
        </w:r>
        <w:r>
          <w:rPr>
            <w:noProof/>
            <w:webHidden/>
          </w:rPr>
        </w:r>
        <w:r>
          <w:rPr>
            <w:noProof/>
            <w:webHidden/>
          </w:rPr>
          <w:fldChar w:fldCharType="separate"/>
        </w:r>
        <w:r>
          <w:rPr>
            <w:noProof/>
            <w:webHidden/>
          </w:rPr>
          <w:t>71</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208" w:history="1">
        <w:r w:rsidRPr="00BF39BD">
          <w:rPr>
            <w:rStyle w:val="Hyperlink"/>
            <w:noProof/>
          </w:rPr>
          <w:t>Tabela 6 - Evolução das estruturas de retenção de resíduos sólidos — autolimpantes</w:t>
        </w:r>
        <w:r>
          <w:rPr>
            <w:noProof/>
            <w:webHidden/>
          </w:rPr>
          <w:tab/>
        </w:r>
        <w:r>
          <w:rPr>
            <w:noProof/>
            <w:webHidden/>
          </w:rPr>
          <w:fldChar w:fldCharType="begin"/>
        </w:r>
        <w:r>
          <w:rPr>
            <w:noProof/>
            <w:webHidden/>
          </w:rPr>
          <w:instrText xml:space="preserve"> PAGEREF _Toc497469208 \h </w:instrText>
        </w:r>
        <w:r>
          <w:rPr>
            <w:noProof/>
            <w:webHidden/>
          </w:rPr>
        </w:r>
        <w:r>
          <w:rPr>
            <w:noProof/>
            <w:webHidden/>
          </w:rPr>
          <w:fldChar w:fldCharType="separate"/>
        </w:r>
        <w:r>
          <w:rPr>
            <w:noProof/>
            <w:webHidden/>
          </w:rPr>
          <w:t>79</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209" w:history="1">
        <w:r w:rsidRPr="00BF39BD">
          <w:rPr>
            <w:rStyle w:val="Hyperlink"/>
            <w:noProof/>
          </w:rPr>
          <w:t>Tabela 7 - Fatores de referência hipotéticos para o cálculo da taxa de coleta de lixo baseado na área construída do imóvel</w:t>
        </w:r>
        <w:r>
          <w:rPr>
            <w:noProof/>
            <w:webHidden/>
          </w:rPr>
          <w:tab/>
        </w:r>
        <w:r>
          <w:rPr>
            <w:noProof/>
            <w:webHidden/>
          </w:rPr>
          <w:fldChar w:fldCharType="begin"/>
        </w:r>
        <w:r>
          <w:rPr>
            <w:noProof/>
            <w:webHidden/>
          </w:rPr>
          <w:instrText xml:space="preserve"> PAGEREF _Toc497469209 \h </w:instrText>
        </w:r>
        <w:r>
          <w:rPr>
            <w:noProof/>
            <w:webHidden/>
          </w:rPr>
        </w:r>
        <w:r>
          <w:rPr>
            <w:noProof/>
            <w:webHidden/>
          </w:rPr>
          <w:fldChar w:fldCharType="separate"/>
        </w:r>
        <w:r>
          <w:rPr>
            <w:noProof/>
            <w:webHidden/>
          </w:rPr>
          <w:t>100</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210" w:history="1">
        <w:r w:rsidRPr="00BF39BD">
          <w:rPr>
            <w:rStyle w:val="Hyperlink"/>
            <w:noProof/>
          </w:rPr>
          <w:t>Tabela 8 - Simulação das taxas de coleta de lixo baseadas na área construída do imóvel</w:t>
        </w:r>
        <w:r>
          <w:rPr>
            <w:noProof/>
            <w:webHidden/>
          </w:rPr>
          <w:tab/>
        </w:r>
        <w:r>
          <w:rPr>
            <w:noProof/>
            <w:webHidden/>
          </w:rPr>
          <w:fldChar w:fldCharType="begin"/>
        </w:r>
        <w:r>
          <w:rPr>
            <w:noProof/>
            <w:webHidden/>
          </w:rPr>
          <w:instrText xml:space="preserve"> PAGEREF _Toc497469210 \h </w:instrText>
        </w:r>
        <w:r>
          <w:rPr>
            <w:noProof/>
            <w:webHidden/>
          </w:rPr>
        </w:r>
        <w:r>
          <w:rPr>
            <w:noProof/>
            <w:webHidden/>
          </w:rPr>
          <w:fldChar w:fldCharType="separate"/>
        </w:r>
        <w:r>
          <w:rPr>
            <w:noProof/>
            <w:webHidden/>
          </w:rPr>
          <w:t>101</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211" w:history="1">
        <w:r w:rsidRPr="00BF39BD">
          <w:rPr>
            <w:rStyle w:val="Hyperlink"/>
            <w:noProof/>
          </w:rPr>
          <w:t>Tabela 9 - Simulação das taxas de coleta de resíduos sólidos baseadas no consumo de água</w:t>
        </w:r>
        <w:r>
          <w:rPr>
            <w:noProof/>
            <w:webHidden/>
          </w:rPr>
          <w:tab/>
        </w:r>
        <w:r>
          <w:rPr>
            <w:noProof/>
            <w:webHidden/>
          </w:rPr>
          <w:fldChar w:fldCharType="begin"/>
        </w:r>
        <w:r>
          <w:rPr>
            <w:noProof/>
            <w:webHidden/>
          </w:rPr>
          <w:instrText xml:space="preserve"> PAGEREF _Toc497469211 \h </w:instrText>
        </w:r>
        <w:r>
          <w:rPr>
            <w:noProof/>
            <w:webHidden/>
          </w:rPr>
        </w:r>
        <w:r>
          <w:rPr>
            <w:noProof/>
            <w:webHidden/>
          </w:rPr>
          <w:fldChar w:fldCharType="separate"/>
        </w:r>
        <w:r>
          <w:rPr>
            <w:noProof/>
            <w:webHidden/>
          </w:rPr>
          <w:t>102</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212" w:history="1">
        <w:r w:rsidRPr="00BF39BD">
          <w:rPr>
            <w:rStyle w:val="Hyperlink"/>
            <w:noProof/>
          </w:rPr>
          <w:t>Tabela 10 - Fatores de referência hipotéticos para o cálculo da taxa de coleta de lixo baseado no consumo de água</w:t>
        </w:r>
        <w:r>
          <w:rPr>
            <w:noProof/>
            <w:webHidden/>
          </w:rPr>
          <w:tab/>
        </w:r>
        <w:r>
          <w:rPr>
            <w:noProof/>
            <w:webHidden/>
          </w:rPr>
          <w:fldChar w:fldCharType="begin"/>
        </w:r>
        <w:r>
          <w:rPr>
            <w:noProof/>
            <w:webHidden/>
          </w:rPr>
          <w:instrText xml:space="preserve"> PAGEREF _Toc497469212 \h </w:instrText>
        </w:r>
        <w:r>
          <w:rPr>
            <w:noProof/>
            <w:webHidden/>
          </w:rPr>
        </w:r>
        <w:r>
          <w:rPr>
            <w:noProof/>
            <w:webHidden/>
          </w:rPr>
          <w:fldChar w:fldCharType="separate"/>
        </w:r>
        <w:r>
          <w:rPr>
            <w:noProof/>
            <w:webHidden/>
          </w:rPr>
          <w:t>103</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213" w:history="1">
        <w:r w:rsidRPr="00BF39BD">
          <w:rPr>
            <w:rStyle w:val="Hyperlink"/>
            <w:noProof/>
          </w:rPr>
          <w:t>Tabela 11 - Fatores de referência hipotéticos para o cálculo da taxa de coleta de lixo baseado no consumo de água</w:t>
        </w:r>
        <w:r>
          <w:rPr>
            <w:noProof/>
            <w:webHidden/>
          </w:rPr>
          <w:tab/>
        </w:r>
        <w:r>
          <w:rPr>
            <w:noProof/>
            <w:webHidden/>
          </w:rPr>
          <w:fldChar w:fldCharType="begin"/>
        </w:r>
        <w:r>
          <w:rPr>
            <w:noProof/>
            <w:webHidden/>
          </w:rPr>
          <w:instrText xml:space="preserve"> PAGEREF _Toc497469213 \h </w:instrText>
        </w:r>
        <w:r>
          <w:rPr>
            <w:noProof/>
            <w:webHidden/>
          </w:rPr>
        </w:r>
        <w:r>
          <w:rPr>
            <w:noProof/>
            <w:webHidden/>
          </w:rPr>
          <w:fldChar w:fldCharType="separate"/>
        </w:r>
        <w:r>
          <w:rPr>
            <w:noProof/>
            <w:webHidden/>
          </w:rPr>
          <w:t>103</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214" w:history="1">
        <w:r w:rsidRPr="00BF39BD">
          <w:rPr>
            <w:rStyle w:val="Hyperlink"/>
            <w:noProof/>
          </w:rPr>
          <w:t>Tabela 12 - Objetivos e metas do Sistema de Saneamento Básico Municipal de Córrego Novo</w:t>
        </w:r>
        <w:r>
          <w:rPr>
            <w:noProof/>
            <w:webHidden/>
          </w:rPr>
          <w:tab/>
        </w:r>
        <w:r>
          <w:rPr>
            <w:noProof/>
            <w:webHidden/>
          </w:rPr>
          <w:fldChar w:fldCharType="begin"/>
        </w:r>
        <w:r>
          <w:rPr>
            <w:noProof/>
            <w:webHidden/>
          </w:rPr>
          <w:instrText xml:space="preserve"> PAGEREF _Toc497469214 \h </w:instrText>
        </w:r>
        <w:r>
          <w:rPr>
            <w:noProof/>
            <w:webHidden/>
          </w:rPr>
        </w:r>
        <w:r>
          <w:rPr>
            <w:noProof/>
            <w:webHidden/>
          </w:rPr>
          <w:fldChar w:fldCharType="separate"/>
        </w:r>
        <w:r>
          <w:rPr>
            <w:noProof/>
            <w:webHidden/>
          </w:rPr>
          <w:t>192</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215" w:history="1">
        <w:r w:rsidRPr="00BF39BD">
          <w:rPr>
            <w:rStyle w:val="Hyperlink"/>
            <w:noProof/>
          </w:rPr>
          <w:t>Tabela 13 - Objetivos e metas do Sistema de Abastecimento de Água (SAA)</w:t>
        </w:r>
        <w:r>
          <w:rPr>
            <w:noProof/>
            <w:webHidden/>
          </w:rPr>
          <w:tab/>
        </w:r>
        <w:r>
          <w:rPr>
            <w:noProof/>
            <w:webHidden/>
          </w:rPr>
          <w:fldChar w:fldCharType="begin"/>
        </w:r>
        <w:r>
          <w:rPr>
            <w:noProof/>
            <w:webHidden/>
          </w:rPr>
          <w:instrText xml:space="preserve"> PAGEREF _Toc497469215 \h </w:instrText>
        </w:r>
        <w:r>
          <w:rPr>
            <w:noProof/>
            <w:webHidden/>
          </w:rPr>
        </w:r>
        <w:r>
          <w:rPr>
            <w:noProof/>
            <w:webHidden/>
          </w:rPr>
          <w:fldChar w:fldCharType="separate"/>
        </w:r>
        <w:r>
          <w:rPr>
            <w:noProof/>
            <w:webHidden/>
          </w:rPr>
          <w:t>199</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216" w:history="1">
        <w:r w:rsidRPr="00BF39BD">
          <w:rPr>
            <w:rStyle w:val="Hyperlink"/>
            <w:noProof/>
          </w:rPr>
          <w:t>Tabela 14 - Objetivos e metas do Sistema de Esgotamento Sanitário (SES)</w:t>
        </w:r>
        <w:r>
          <w:rPr>
            <w:noProof/>
            <w:webHidden/>
          </w:rPr>
          <w:tab/>
        </w:r>
        <w:r>
          <w:rPr>
            <w:noProof/>
            <w:webHidden/>
          </w:rPr>
          <w:fldChar w:fldCharType="begin"/>
        </w:r>
        <w:r>
          <w:rPr>
            <w:noProof/>
            <w:webHidden/>
          </w:rPr>
          <w:instrText xml:space="preserve"> PAGEREF _Toc497469216 \h </w:instrText>
        </w:r>
        <w:r>
          <w:rPr>
            <w:noProof/>
            <w:webHidden/>
          </w:rPr>
        </w:r>
        <w:r>
          <w:rPr>
            <w:noProof/>
            <w:webHidden/>
          </w:rPr>
          <w:fldChar w:fldCharType="separate"/>
        </w:r>
        <w:r>
          <w:rPr>
            <w:noProof/>
            <w:webHidden/>
          </w:rPr>
          <w:t>206</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217" w:history="1">
        <w:r w:rsidRPr="00BF39BD">
          <w:rPr>
            <w:rStyle w:val="Hyperlink"/>
            <w:noProof/>
          </w:rPr>
          <w:t>Tabela 15 - Objetivos e metas do Sistema de Drenagem Urbana e Manejo de Águas Pluviais</w:t>
        </w:r>
        <w:r>
          <w:rPr>
            <w:noProof/>
            <w:webHidden/>
          </w:rPr>
          <w:tab/>
        </w:r>
        <w:r>
          <w:rPr>
            <w:noProof/>
            <w:webHidden/>
          </w:rPr>
          <w:fldChar w:fldCharType="begin"/>
        </w:r>
        <w:r>
          <w:rPr>
            <w:noProof/>
            <w:webHidden/>
          </w:rPr>
          <w:instrText xml:space="preserve"> PAGEREF _Toc497469217 \h </w:instrText>
        </w:r>
        <w:r>
          <w:rPr>
            <w:noProof/>
            <w:webHidden/>
          </w:rPr>
        </w:r>
        <w:r>
          <w:rPr>
            <w:noProof/>
            <w:webHidden/>
          </w:rPr>
          <w:fldChar w:fldCharType="separate"/>
        </w:r>
        <w:r>
          <w:rPr>
            <w:noProof/>
            <w:webHidden/>
          </w:rPr>
          <w:t>212</w:t>
        </w:r>
        <w:r>
          <w:rPr>
            <w:noProof/>
            <w:webHidden/>
          </w:rPr>
          <w:fldChar w:fldCharType="end"/>
        </w:r>
      </w:hyperlink>
    </w:p>
    <w:p w:rsidR="004D1D76" w:rsidRDefault="004D1D76">
      <w:pPr>
        <w:pStyle w:val="ndicedeilustraes"/>
        <w:rPr>
          <w:rFonts w:asciiTheme="minorHAnsi" w:eastAsiaTheme="minorEastAsia" w:hAnsiTheme="minorHAnsi" w:cstheme="minorBidi"/>
          <w:noProof/>
          <w:sz w:val="22"/>
          <w:lang w:eastAsia="pt-BR"/>
        </w:rPr>
      </w:pPr>
      <w:hyperlink w:anchor="_Toc497469218" w:history="1">
        <w:r w:rsidRPr="00BF39BD">
          <w:rPr>
            <w:rStyle w:val="Hyperlink"/>
            <w:noProof/>
          </w:rPr>
          <w:t>Tabela 16 - Objetivos e metas do Sistema de Limpeza Urbana e Manejo de Resíduos Sólidos</w:t>
        </w:r>
        <w:r>
          <w:rPr>
            <w:noProof/>
            <w:webHidden/>
          </w:rPr>
          <w:tab/>
        </w:r>
        <w:r>
          <w:rPr>
            <w:noProof/>
            <w:webHidden/>
          </w:rPr>
          <w:fldChar w:fldCharType="begin"/>
        </w:r>
        <w:r>
          <w:rPr>
            <w:noProof/>
            <w:webHidden/>
          </w:rPr>
          <w:instrText xml:space="preserve"> PAGEREF _Toc497469218 \h </w:instrText>
        </w:r>
        <w:r>
          <w:rPr>
            <w:noProof/>
            <w:webHidden/>
          </w:rPr>
        </w:r>
        <w:r>
          <w:rPr>
            <w:noProof/>
            <w:webHidden/>
          </w:rPr>
          <w:fldChar w:fldCharType="separate"/>
        </w:r>
        <w:r>
          <w:rPr>
            <w:noProof/>
            <w:webHidden/>
          </w:rPr>
          <w:t>219</w:t>
        </w:r>
        <w:r>
          <w:rPr>
            <w:noProof/>
            <w:webHidden/>
          </w:rPr>
          <w:fldChar w:fldCharType="end"/>
        </w:r>
      </w:hyperlink>
    </w:p>
    <w:p w:rsidR="00C57ADC" w:rsidRPr="00F94A69" w:rsidRDefault="00C57ADC" w:rsidP="00CE1CFD">
      <w:r w:rsidRPr="00F94A69">
        <w:fldChar w:fldCharType="end"/>
      </w:r>
    </w:p>
    <w:p w:rsidR="00A70202" w:rsidRDefault="00A70202" w:rsidP="00A70202">
      <w:bookmarkStart w:id="6" w:name="_Toc472344484"/>
      <w:bookmarkStart w:id="7" w:name="_Toc476215414"/>
      <w:r>
        <w:br w:type="page"/>
      </w:r>
    </w:p>
    <w:p w:rsidR="00CE1CFD" w:rsidRPr="00F94A69" w:rsidRDefault="00CE1CFD" w:rsidP="00CE1CFD">
      <w:pPr>
        <w:keepNext/>
        <w:keepLines/>
        <w:spacing w:before="240" w:after="240"/>
        <w:jc w:val="center"/>
        <w:outlineLvl w:val="0"/>
        <w:rPr>
          <w:rFonts w:eastAsia="Times New Roman" w:cs="Arial"/>
          <w:b/>
          <w:bCs/>
          <w:sz w:val="28"/>
          <w:szCs w:val="28"/>
          <w:lang w:eastAsia="x-none"/>
        </w:rPr>
      </w:pPr>
      <w:bookmarkStart w:id="8" w:name="_Toc497468980"/>
      <w:r w:rsidRPr="00F94A69">
        <w:rPr>
          <w:rFonts w:eastAsia="Times New Roman" w:cs="Arial"/>
          <w:b/>
          <w:bCs/>
          <w:sz w:val="28"/>
          <w:szCs w:val="28"/>
          <w:lang w:eastAsia="x-none"/>
        </w:rPr>
        <w:lastRenderedPageBreak/>
        <w:t>Abreviaturas e Siglas</w:t>
      </w:r>
      <w:bookmarkEnd w:id="6"/>
      <w:bookmarkEnd w:id="7"/>
      <w:bookmarkEnd w:id="8"/>
    </w:p>
    <w:p w:rsidR="00BA03BF" w:rsidRPr="00BA03BF" w:rsidRDefault="00BA03BF" w:rsidP="00BA03BF">
      <w:pPr>
        <w:spacing w:before="120" w:after="120"/>
        <w:rPr>
          <w:rFonts w:cs="Arial"/>
          <w:szCs w:val="24"/>
        </w:rPr>
      </w:pPr>
      <w:r w:rsidRPr="00BA03BF">
        <w:rPr>
          <w:rFonts w:cs="Arial"/>
          <w:b/>
          <w:szCs w:val="24"/>
        </w:rPr>
        <w:t xml:space="preserve">APA </w:t>
      </w:r>
      <w:r w:rsidRPr="00BA03BF">
        <w:rPr>
          <w:rFonts w:cs="Arial"/>
          <w:szCs w:val="24"/>
        </w:rPr>
        <w:t>- Área de Proteção Ambiental.</w:t>
      </w:r>
    </w:p>
    <w:p w:rsidR="00BA03BF" w:rsidRPr="00BA03BF" w:rsidRDefault="00BA03BF" w:rsidP="00BA03BF">
      <w:pPr>
        <w:spacing w:before="120" w:after="120"/>
        <w:rPr>
          <w:rFonts w:cs="Arial"/>
          <w:szCs w:val="24"/>
        </w:rPr>
      </w:pPr>
      <w:r w:rsidRPr="00BA03BF">
        <w:rPr>
          <w:rFonts w:cs="Arial"/>
          <w:b/>
          <w:szCs w:val="24"/>
        </w:rPr>
        <w:t>APP</w:t>
      </w:r>
      <w:r w:rsidRPr="00BA03BF">
        <w:rPr>
          <w:rFonts w:cs="Arial"/>
          <w:szCs w:val="24"/>
        </w:rPr>
        <w:t xml:space="preserve"> - Área de Preservação Permanente.</w:t>
      </w:r>
    </w:p>
    <w:p w:rsidR="00BA03BF" w:rsidRPr="00BA03BF" w:rsidRDefault="00BA03BF" w:rsidP="00BA03BF">
      <w:pPr>
        <w:spacing w:before="120" w:after="120"/>
        <w:rPr>
          <w:rFonts w:cs="Arial"/>
          <w:szCs w:val="24"/>
        </w:rPr>
      </w:pPr>
      <w:r w:rsidRPr="00BA03BF">
        <w:rPr>
          <w:rFonts w:cs="Arial"/>
          <w:b/>
          <w:szCs w:val="24"/>
        </w:rPr>
        <w:t>CBH</w:t>
      </w:r>
      <w:r w:rsidRPr="00BA03BF">
        <w:rPr>
          <w:rFonts w:cs="Arial"/>
          <w:szCs w:val="24"/>
        </w:rPr>
        <w:t xml:space="preserve"> - Comitê de Bacia Hidrográfica.</w:t>
      </w:r>
    </w:p>
    <w:p w:rsidR="00BA03BF" w:rsidRPr="00BA03BF" w:rsidRDefault="00BA03BF" w:rsidP="00BA03BF">
      <w:pPr>
        <w:spacing w:before="120" w:after="120"/>
        <w:rPr>
          <w:rFonts w:cs="Arial"/>
          <w:szCs w:val="24"/>
        </w:rPr>
      </w:pPr>
      <w:r w:rsidRPr="00BA03BF">
        <w:rPr>
          <w:rFonts w:cs="Arial"/>
          <w:b/>
          <w:szCs w:val="24"/>
        </w:rPr>
        <w:t>EEE</w:t>
      </w:r>
      <w:r w:rsidRPr="00BA03BF">
        <w:rPr>
          <w:rFonts w:cs="Arial"/>
          <w:szCs w:val="24"/>
        </w:rPr>
        <w:t xml:space="preserve"> - Estação Elevatória de Esgotos.</w:t>
      </w:r>
    </w:p>
    <w:p w:rsidR="00BA03BF" w:rsidRPr="00BA03BF" w:rsidRDefault="00BA03BF" w:rsidP="00BA03BF">
      <w:pPr>
        <w:spacing w:before="120" w:after="120"/>
        <w:rPr>
          <w:rFonts w:cs="Arial"/>
          <w:szCs w:val="24"/>
        </w:rPr>
      </w:pPr>
      <w:r w:rsidRPr="00BA03BF">
        <w:rPr>
          <w:rFonts w:cs="Arial"/>
          <w:b/>
          <w:szCs w:val="24"/>
        </w:rPr>
        <w:t xml:space="preserve">EPI </w:t>
      </w:r>
      <w:r w:rsidRPr="00BA03BF">
        <w:rPr>
          <w:rFonts w:cs="Arial"/>
          <w:szCs w:val="24"/>
        </w:rPr>
        <w:t>- Equipamento de Proteção Individual.</w:t>
      </w:r>
    </w:p>
    <w:p w:rsidR="00BA03BF" w:rsidRPr="00BA03BF" w:rsidRDefault="00BA03BF" w:rsidP="00BA03BF">
      <w:pPr>
        <w:spacing w:before="120" w:after="120"/>
        <w:rPr>
          <w:rFonts w:cs="Arial"/>
          <w:szCs w:val="24"/>
        </w:rPr>
      </w:pPr>
      <w:r w:rsidRPr="00BA03BF">
        <w:rPr>
          <w:rFonts w:cs="Arial"/>
          <w:b/>
          <w:szCs w:val="24"/>
        </w:rPr>
        <w:t>ETA</w:t>
      </w:r>
      <w:r w:rsidRPr="00BA03BF">
        <w:rPr>
          <w:rFonts w:cs="Arial"/>
          <w:szCs w:val="24"/>
        </w:rPr>
        <w:t xml:space="preserve"> - Estação de Tratamento de Água.</w:t>
      </w:r>
    </w:p>
    <w:p w:rsidR="00BA03BF" w:rsidRPr="00BA03BF" w:rsidRDefault="00BA03BF" w:rsidP="00BA03BF">
      <w:pPr>
        <w:spacing w:before="120" w:after="120"/>
        <w:rPr>
          <w:rFonts w:cs="Arial"/>
          <w:szCs w:val="24"/>
        </w:rPr>
      </w:pPr>
      <w:r w:rsidRPr="00BA03BF">
        <w:rPr>
          <w:rFonts w:cs="Arial"/>
          <w:b/>
          <w:szCs w:val="24"/>
        </w:rPr>
        <w:t>ETE</w:t>
      </w:r>
      <w:r w:rsidRPr="00BA03BF">
        <w:rPr>
          <w:rFonts w:cs="Arial"/>
          <w:szCs w:val="24"/>
        </w:rPr>
        <w:t xml:space="preserve"> - Estação de Tratamento de Esgotos.</w:t>
      </w:r>
    </w:p>
    <w:p w:rsidR="00BA03BF" w:rsidRPr="00BA03BF" w:rsidRDefault="00BA03BF" w:rsidP="00BA03BF">
      <w:pPr>
        <w:spacing w:before="120" w:after="120"/>
        <w:rPr>
          <w:rFonts w:cs="Arial"/>
          <w:szCs w:val="24"/>
        </w:rPr>
      </w:pPr>
      <w:r w:rsidRPr="00BA03BF">
        <w:rPr>
          <w:rFonts w:cs="Arial"/>
          <w:b/>
          <w:szCs w:val="24"/>
        </w:rPr>
        <w:t>IBIO AGB Doce</w:t>
      </w:r>
      <w:r w:rsidRPr="00BA03BF">
        <w:rPr>
          <w:rFonts w:cs="Arial"/>
          <w:szCs w:val="24"/>
        </w:rPr>
        <w:t xml:space="preserve"> - Instituto BioAtlântica - Agência de Água da bacia hidrográfica do rio Doce.</w:t>
      </w:r>
    </w:p>
    <w:p w:rsidR="00BA03BF" w:rsidRPr="00BA03BF" w:rsidRDefault="00BA03BF" w:rsidP="00BA03BF">
      <w:pPr>
        <w:spacing w:before="120" w:after="120"/>
        <w:rPr>
          <w:rFonts w:cs="Arial"/>
          <w:szCs w:val="24"/>
        </w:rPr>
      </w:pPr>
      <w:r w:rsidRPr="00BA03BF">
        <w:rPr>
          <w:rFonts w:cs="Arial"/>
          <w:b/>
          <w:szCs w:val="24"/>
        </w:rPr>
        <w:t>ONG</w:t>
      </w:r>
      <w:r w:rsidRPr="00BA03BF">
        <w:rPr>
          <w:rFonts w:cs="Arial"/>
          <w:szCs w:val="24"/>
        </w:rPr>
        <w:t xml:space="preserve"> - Organização Não Governamental.</w:t>
      </w:r>
    </w:p>
    <w:p w:rsidR="00BA03BF" w:rsidRPr="00BA03BF" w:rsidRDefault="00BA03BF" w:rsidP="00BA03BF">
      <w:pPr>
        <w:spacing w:before="120" w:after="120"/>
        <w:rPr>
          <w:rFonts w:cs="Arial"/>
          <w:szCs w:val="24"/>
        </w:rPr>
      </w:pPr>
      <w:r w:rsidRPr="00BA03BF">
        <w:rPr>
          <w:rFonts w:cs="Arial"/>
          <w:b/>
          <w:szCs w:val="24"/>
        </w:rPr>
        <w:t xml:space="preserve">PARH - </w:t>
      </w:r>
      <w:r w:rsidRPr="00BA03BF">
        <w:rPr>
          <w:rFonts w:cs="Arial"/>
          <w:szCs w:val="24"/>
        </w:rPr>
        <w:t xml:space="preserve">Plano de Ações para as Unidades de Planejamento e Gestão de Recursos Hídricos. </w:t>
      </w:r>
    </w:p>
    <w:p w:rsidR="00BA03BF" w:rsidRPr="00BA03BF" w:rsidRDefault="00BA03BF" w:rsidP="00BA03BF">
      <w:pPr>
        <w:spacing w:before="120" w:after="120"/>
        <w:rPr>
          <w:rFonts w:cs="Arial"/>
          <w:szCs w:val="24"/>
        </w:rPr>
      </w:pPr>
      <w:r w:rsidRPr="00BA03BF">
        <w:rPr>
          <w:rFonts w:cs="Arial"/>
          <w:b/>
          <w:szCs w:val="24"/>
        </w:rPr>
        <w:t>PEV</w:t>
      </w:r>
      <w:r w:rsidRPr="00BA03BF">
        <w:rPr>
          <w:rFonts w:cs="Arial"/>
          <w:szCs w:val="24"/>
        </w:rPr>
        <w:t xml:space="preserve"> - Ponto de Entrega Voluntária.</w:t>
      </w:r>
    </w:p>
    <w:p w:rsidR="00BA03BF" w:rsidRPr="00BA03BF" w:rsidRDefault="00BA03BF" w:rsidP="00BA03BF">
      <w:pPr>
        <w:spacing w:before="120" w:after="120"/>
        <w:rPr>
          <w:rFonts w:cs="Arial"/>
          <w:szCs w:val="24"/>
        </w:rPr>
      </w:pPr>
      <w:r w:rsidRPr="00BA03BF">
        <w:rPr>
          <w:rFonts w:cs="Arial"/>
          <w:b/>
          <w:szCs w:val="24"/>
        </w:rPr>
        <w:t>PIRH</w:t>
      </w:r>
      <w:r w:rsidRPr="00BA03BF">
        <w:rPr>
          <w:rFonts w:cs="Arial"/>
          <w:szCs w:val="24"/>
        </w:rPr>
        <w:t xml:space="preserve"> - Plano Integrado de Recursos Hídricos da bacia do rio Doce.</w:t>
      </w:r>
    </w:p>
    <w:p w:rsidR="00BA03BF" w:rsidRPr="00BA03BF" w:rsidRDefault="00BA03BF" w:rsidP="00BA03BF">
      <w:pPr>
        <w:spacing w:before="120" w:after="120"/>
        <w:rPr>
          <w:rFonts w:cs="Arial"/>
          <w:szCs w:val="24"/>
        </w:rPr>
      </w:pPr>
      <w:r w:rsidRPr="00BA03BF">
        <w:rPr>
          <w:rFonts w:cs="Arial"/>
          <w:b/>
          <w:szCs w:val="24"/>
        </w:rPr>
        <w:t>PMGIRS</w:t>
      </w:r>
      <w:r w:rsidRPr="00BA03BF">
        <w:rPr>
          <w:rFonts w:cs="Arial"/>
          <w:szCs w:val="24"/>
        </w:rPr>
        <w:t xml:space="preserve"> - Plano Municipal de Gestão Integrada de Resíduos Sólidos.</w:t>
      </w:r>
    </w:p>
    <w:p w:rsidR="00BA03BF" w:rsidRPr="00BA03BF" w:rsidRDefault="00BA03BF" w:rsidP="00BA03BF">
      <w:pPr>
        <w:spacing w:before="120" w:after="120"/>
        <w:rPr>
          <w:rFonts w:cs="Arial"/>
          <w:szCs w:val="24"/>
        </w:rPr>
      </w:pPr>
      <w:r w:rsidRPr="00BA03BF">
        <w:rPr>
          <w:rFonts w:cs="Arial"/>
          <w:b/>
          <w:szCs w:val="24"/>
        </w:rPr>
        <w:t>PMSB</w:t>
      </w:r>
      <w:r w:rsidRPr="00BA03BF">
        <w:rPr>
          <w:rFonts w:cs="Arial"/>
          <w:szCs w:val="24"/>
        </w:rPr>
        <w:t xml:space="preserve"> - Plano Municipal de Saneamento Básico.</w:t>
      </w:r>
    </w:p>
    <w:p w:rsidR="00BA03BF" w:rsidRPr="00BA03BF" w:rsidRDefault="00BA03BF" w:rsidP="00BA03BF">
      <w:pPr>
        <w:spacing w:before="120" w:after="120"/>
        <w:jc w:val="left"/>
        <w:rPr>
          <w:rFonts w:cs="Arial"/>
          <w:szCs w:val="24"/>
        </w:rPr>
      </w:pPr>
      <w:r w:rsidRPr="00BA03BF">
        <w:rPr>
          <w:rFonts w:cs="Arial"/>
          <w:b/>
          <w:szCs w:val="24"/>
        </w:rPr>
        <w:t xml:space="preserve">PNRS - </w:t>
      </w:r>
      <w:r w:rsidRPr="00BA03BF">
        <w:rPr>
          <w:rFonts w:cs="Arial"/>
          <w:szCs w:val="24"/>
        </w:rPr>
        <w:t>Política Nacional de Resíduos Sólidos.</w:t>
      </w:r>
    </w:p>
    <w:p w:rsidR="00BA03BF" w:rsidRPr="00BA03BF" w:rsidRDefault="00BA03BF" w:rsidP="00BA03BF">
      <w:pPr>
        <w:spacing w:before="120" w:after="120"/>
        <w:rPr>
          <w:rFonts w:cs="Arial"/>
          <w:szCs w:val="24"/>
        </w:rPr>
      </w:pPr>
      <w:r w:rsidRPr="00BA03BF">
        <w:rPr>
          <w:rFonts w:cs="Arial"/>
          <w:b/>
          <w:szCs w:val="24"/>
        </w:rPr>
        <w:t xml:space="preserve">PPP </w:t>
      </w:r>
      <w:r w:rsidRPr="00BA03BF">
        <w:rPr>
          <w:rFonts w:cs="Arial"/>
          <w:szCs w:val="24"/>
        </w:rPr>
        <w:t>- Parceria público-privada.</w:t>
      </w:r>
    </w:p>
    <w:p w:rsidR="00BA03BF" w:rsidRPr="00BA03BF" w:rsidRDefault="00BA03BF" w:rsidP="00BA03BF">
      <w:pPr>
        <w:spacing w:before="120" w:after="120"/>
        <w:rPr>
          <w:rFonts w:cs="Arial"/>
          <w:szCs w:val="24"/>
        </w:rPr>
      </w:pPr>
      <w:r w:rsidRPr="00BA03BF">
        <w:rPr>
          <w:rFonts w:cs="Arial"/>
          <w:b/>
          <w:szCs w:val="24"/>
        </w:rPr>
        <w:t>SAA</w:t>
      </w:r>
      <w:r w:rsidRPr="00BA03BF">
        <w:rPr>
          <w:rFonts w:cs="Arial"/>
          <w:szCs w:val="24"/>
        </w:rPr>
        <w:t xml:space="preserve"> - Sistema de Abastecimento de Água.</w:t>
      </w:r>
    </w:p>
    <w:p w:rsidR="00BA03BF" w:rsidRPr="00BA03BF" w:rsidRDefault="00BA03BF" w:rsidP="00BA03BF">
      <w:pPr>
        <w:spacing w:before="120" w:after="120"/>
        <w:rPr>
          <w:rFonts w:cs="Arial"/>
          <w:szCs w:val="24"/>
        </w:rPr>
      </w:pPr>
      <w:r w:rsidRPr="00BA03BF">
        <w:rPr>
          <w:rFonts w:cs="Arial"/>
          <w:b/>
          <w:szCs w:val="24"/>
        </w:rPr>
        <w:t>SES</w:t>
      </w:r>
      <w:r w:rsidRPr="00BA03BF">
        <w:rPr>
          <w:rFonts w:cs="Arial"/>
          <w:szCs w:val="24"/>
        </w:rPr>
        <w:t xml:space="preserve"> - Sistema de Esgotamento Sanitário.</w:t>
      </w:r>
    </w:p>
    <w:p w:rsidR="00BA03BF" w:rsidRPr="00BA03BF" w:rsidRDefault="00BA03BF" w:rsidP="00BA03BF">
      <w:pPr>
        <w:spacing w:before="120" w:after="120"/>
        <w:rPr>
          <w:rFonts w:cs="Arial"/>
          <w:szCs w:val="24"/>
        </w:rPr>
      </w:pPr>
      <w:r w:rsidRPr="00BA03BF">
        <w:rPr>
          <w:rFonts w:cs="Arial"/>
          <w:b/>
          <w:szCs w:val="24"/>
        </w:rPr>
        <w:t>SMIS</w:t>
      </w:r>
      <w:r w:rsidRPr="00BA03BF">
        <w:rPr>
          <w:rFonts w:cs="Arial"/>
          <w:szCs w:val="24"/>
        </w:rPr>
        <w:t xml:space="preserve"> - Sistema Municipal de Informações sobre Saneamento.</w:t>
      </w:r>
    </w:p>
    <w:p w:rsidR="00BA03BF" w:rsidRPr="00BA03BF" w:rsidRDefault="00BA03BF" w:rsidP="00BA03BF">
      <w:pPr>
        <w:spacing w:before="120" w:after="120"/>
        <w:rPr>
          <w:rFonts w:cs="Arial"/>
          <w:szCs w:val="24"/>
        </w:rPr>
      </w:pPr>
      <w:r w:rsidRPr="00BA03BF">
        <w:rPr>
          <w:rFonts w:cs="Arial"/>
          <w:b/>
          <w:szCs w:val="24"/>
        </w:rPr>
        <w:t>SNIS</w:t>
      </w:r>
      <w:r w:rsidRPr="00BA03BF">
        <w:rPr>
          <w:rFonts w:cs="Arial"/>
          <w:szCs w:val="24"/>
        </w:rPr>
        <w:t xml:space="preserve"> - Sistema Nacional de Informações sobre Saneamento.</w:t>
      </w:r>
    </w:p>
    <w:p w:rsidR="00BA03BF" w:rsidRPr="00BA03BF" w:rsidRDefault="00BA03BF" w:rsidP="00BA03BF">
      <w:pPr>
        <w:spacing w:before="120" w:after="120"/>
        <w:rPr>
          <w:rFonts w:cs="Arial"/>
          <w:szCs w:val="24"/>
        </w:rPr>
      </w:pPr>
      <w:r w:rsidRPr="00BA03BF">
        <w:rPr>
          <w:rFonts w:cs="Arial"/>
          <w:b/>
          <w:szCs w:val="24"/>
        </w:rPr>
        <w:t>UC</w:t>
      </w:r>
      <w:r w:rsidRPr="00BA03BF">
        <w:rPr>
          <w:rFonts w:cs="Arial"/>
          <w:szCs w:val="24"/>
        </w:rPr>
        <w:t xml:space="preserve"> - Unidade de Conservação.</w:t>
      </w:r>
    </w:p>
    <w:p w:rsidR="00A70202" w:rsidRDefault="00A70202" w:rsidP="00A70202">
      <w:pPr>
        <w:spacing w:before="120" w:after="120"/>
        <w:rPr>
          <w:rFonts w:cs="Arial"/>
          <w:szCs w:val="24"/>
        </w:rPr>
      </w:pPr>
      <w:r>
        <w:rPr>
          <w:rFonts w:cs="Arial"/>
          <w:szCs w:val="24"/>
        </w:rPr>
        <w:br w:type="page"/>
      </w:r>
    </w:p>
    <w:p w:rsidR="00CE1CFD" w:rsidRPr="00F94A69" w:rsidRDefault="00CE1CFD" w:rsidP="00CE1CFD">
      <w:pPr>
        <w:keepNext/>
        <w:keepLines/>
        <w:tabs>
          <w:tab w:val="left" w:pos="426"/>
        </w:tabs>
        <w:spacing w:before="120" w:after="120"/>
        <w:jc w:val="center"/>
        <w:outlineLvl w:val="0"/>
        <w:rPr>
          <w:rFonts w:eastAsia="Times New Roman" w:cs="Arial"/>
          <w:b/>
          <w:bCs/>
          <w:sz w:val="28"/>
          <w:szCs w:val="28"/>
        </w:rPr>
      </w:pPr>
      <w:bookmarkStart w:id="9" w:name="_Toc472949935"/>
      <w:bookmarkStart w:id="10" w:name="_Toc476215415"/>
      <w:bookmarkStart w:id="11" w:name="_Toc497468981"/>
      <w:r w:rsidRPr="00F94A69">
        <w:rPr>
          <w:rFonts w:eastAsia="Times New Roman" w:cs="Arial"/>
          <w:b/>
          <w:bCs/>
          <w:sz w:val="28"/>
          <w:szCs w:val="28"/>
        </w:rPr>
        <w:lastRenderedPageBreak/>
        <w:t>Glossário</w:t>
      </w:r>
      <w:bookmarkEnd w:id="9"/>
      <w:bookmarkEnd w:id="10"/>
      <w:bookmarkEnd w:id="11"/>
    </w:p>
    <w:p w:rsidR="00CE1CFD" w:rsidRPr="00F94A69" w:rsidRDefault="00CE1CFD" w:rsidP="00CE1CFD">
      <w:pPr>
        <w:spacing w:before="120" w:after="120"/>
        <w:contextualSpacing/>
        <w:rPr>
          <w:rFonts w:cs="Arial"/>
          <w:szCs w:val="24"/>
        </w:rPr>
      </w:pPr>
      <w:r w:rsidRPr="00F94A69">
        <w:rPr>
          <w:rFonts w:cs="Arial"/>
          <w:b/>
          <w:szCs w:val="24"/>
        </w:rPr>
        <w:t>Área de preservação permanente:</w:t>
      </w:r>
      <w:r w:rsidRPr="00F94A69">
        <w:rPr>
          <w:rFonts w:cs="Arial"/>
          <w:szCs w:val="24"/>
        </w:rPr>
        <w:t xml:space="preserve"> área protegida, coberta ou não por vegetação nativa, com a função ambiental de preservar os recursos hídricos, a paisagem, a estabilidade geológica e a biodiversidade, facilitar o fluxo gênico de fauna e flora, proteger o solo e assegurar o bem-estar das populações humanas.</w:t>
      </w:r>
    </w:p>
    <w:p w:rsidR="00CE1CFD" w:rsidRPr="00F94A69" w:rsidRDefault="00CE1CFD" w:rsidP="00CE1CFD">
      <w:pPr>
        <w:spacing w:before="120" w:after="120"/>
        <w:contextualSpacing/>
        <w:rPr>
          <w:rFonts w:cs="Arial"/>
          <w:szCs w:val="24"/>
        </w:rPr>
      </w:pPr>
      <w:r w:rsidRPr="00F94A69">
        <w:rPr>
          <w:rFonts w:cs="Arial"/>
          <w:b/>
          <w:szCs w:val="24"/>
        </w:rPr>
        <w:t>Área de risco:</w:t>
      </w:r>
      <w:r w:rsidRPr="00F94A69">
        <w:rPr>
          <w:rFonts w:cs="Arial"/>
          <w:szCs w:val="24"/>
        </w:rPr>
        <w:t xml:space="preserve"> área especial que denota a existência de risco à vida humana e que necessita de sistema de drenagem especial, como encosta sujeita a deslizamentos, área inundável com proliferação de vetores, área sem infraestrutura de saneamento, etc.</w:t>
      </w:r>
    </w:p>
    <w:p w:rsidR="00CE1CFD" w:rsidRPr="00F94A69" w:rsidRDefault="00CE1CFD" w:rsidP="00CE1CFD">
      <w:pPr>
        <w:spacing w:before="120" w:after="120"/>
        <w:contextualSpacing/>
        <w:rPr>
          <w:rFonts w:cs="Arial"/>
          <w:szCs w:val="24"/>
        </w:rPr>
      </w:pPr>
      <w:r w:rsidRPr="00F94A69">
        <w:rPr>
          <w:rFonts w:cs="Arial"/>
          <w:b/>
          <w:szCs w:val="24"/>
        </w:rPr>
        <w:t>Área periurbana:</w:t>
      </w:r>
      <w:r w:rsidRPr="00F94A69">
        <w:rPr>
          <w:rFonts w:cs="Arial"/>
          <w:szCs w:val="24"/>
        </w:rPr>
        <w:t xml:space="preserve"> área que se localiza para além dos subúrbios de uma cidade. Espaço onde as atividades rurais e urbanas se misturam, dificultando a determinação dos limites físicos e sociais do espaço urbano e do rural. Resulta da implantação dispersa do povoamento urbano em meio rural. Aqui o tecido urbano surge de forma descontínua, a atividade agrícola é instável e assiste-se à implantação de indústrias e de alguns serviços. Na generalidade das áreas periurbanas, a densidade de ocupação humana registra valores reduzidos.</w:t>
      </w:r>
    </w:p>
    <w:p w:rsidR="00CE1CFD" w:rsidRPr="00F94A69" w:rsidRDefault="00CE1CFD" w:rsidP="00CE1CFD">
      <w:pPr>
        <w:spacing w:before="120" w:after="120"/>
        <w:contextualSpacing/>
        <w:rPr>
          <w:rFonts w:cs="Arial"/>
          <w:szCs w:val="24"/>
        </w:rPr>
      </w:pPr>
      <w:r w:rsidRPr="00F94A69">
        <w:rPr>
          <w:rFonts w:cs="Arial"/>
          <w:b/>
          <w:szCs w:val="24"/>
        </w:rPr>
        <w:t>Controle de vetores:</w:t>
      </w:r>
      <w:r w:rsidRPr="00F94A69">
        <w:rPr>
          <w:rFonts w:cs="Arial"/>
          <w:szCs w:val="24"/>
        </w:rPr>
        <w:t xml:space="preserve"> é o conjunto de programas cujo objetivo é evitar a proliferação das zoonoses, isto é, das doenças transmitidas ao homem por animais, tais como: raiva, leishmaniose, leptospirose, toxoplasmose, entre outras. São doenças consideradas típicas de áreas rurais, mas que, em função da interferência do homem no meio ambiente, manifestada na forma de desmatamento, acúmulo de lixo, circulação de animais, etc., aumentou a sua frequência de ocorrência em zonas urbanas.</w:t>
      </w:r>
    </w:p>
    <w:p w:rsidR="00CE1CFD" w:rsidRPr="00F94A69" w:rsidRDefault="00CE1CFD" w:rsidP="00CE1CFD">
      <w:pPr>
        <w:spacing w:before="120" w:after="120"/>
        <w:contextualSpacing/>
        <w:rPr>
          <w:rFonts w:eastAsia="Times New Roman" w:cs="Arial"/>
          <w:szCs w:val="24"/>
          <w:lang w:eastAsia="pt-BR"/>
        </w:rPr>
      </w:pPr>
      <w:r w:rsidRPr="00F94A69">
        <w:rPr>
          <w:rFonts w:eastAsia="Times New Roman" w:cs="Arial"/>
          <w:b/>
          <w:szCs w:val="24"/>
          <w:lang w:eastAsia="pt-BR"/>
        </w:rPr>
        <w:t>Controle social:</w:t>
      </w:r>
      <w:r w:rsidRPr="00F94A69">
        <w:rPr>
          <w:rFonts w:eastAsia="Times New Roman" w:cs="Arial"/>
          <w:szCs w:val="24"/>
          <w:lang w:eastAsia="pt-BR"/>
        </w:rPr>
        <w:t xml:space="preserve"> conjunto de mecanismos e procedimentos que garantem à sociedade informações, representações técnicas e participações nos processos de formulação de políticas, de planejamento e de avaliação relacionados aos serviços públicos de saneamento básico.</w:t>
      </w:r>
    </w:p>
    <w:p w:rsidR="00CE1CFD" w:rsidRPr="00F94A69" w:rsidRDefault="00CE1CFD" w:rsidP="00CE1CFD">
      <w:pPr>
        <w:spacing w:before="120" w:after="120"/>
        <w:contextualSpacing/>
        <w:rPr>
          <w:rFonts w:cs="Arial"/>
          <w:szCs w:val="24"/>
        </w:rPr>
      </w:pPr>
      <w:r w:rsidRPr="00F94A69">
        <w:rPr>
          <w:rFonts w:cs="Arial"/>
          <w:b/>
          <w:szCs w:val="24"/>
        </w:rPr>
        <w:t>Drenagem e manejo das águas pluviais urbanas:</w:t>
      </w:r>
      <w:r w:rsidRPr="00F94A69">
        <w:rPr>
          <w:rFonts w:cs="Arial"/>
          <w:szCs w:val="24"/>
        </w:rPr>
        <w:t xml:space="preserve"> conjunto de atividades, infraestruturas e instalações operacionais de drenagem urbana de águas pluviais, de transporte, detenção ou retenção para o amortecimento de vazões de cheias, tratamento e disposição final das águas pluviais drenadas nas áreas urbanas.</w:t>
      </w:r>
    </w:p>
    <w:p w:rsidR="00CE1CFD" w:rsidRPr="00F94A69" w:rsidRDefault="00CE1CFD" w:rsidP="00CE1CFD">
      <w:pPr>
        <w:spacing w:before="120" w:after="120"/>
        <w:contextualSpacing/>
        <w:rPr>
          <w:rFonts w:cs="Arial"/>
          <w:b/>
          <w:szCs w:val="24"/>
        </w:rPr>
      </w:pPr>
      <w:r w:rsidRPr="00F94A69">
        <w:rPr>
          <w:rFonts w:eastAsia="Times New Roman" w:cs="Arial"/>
          <w:b/>
          <w:szCs w:val="24"/>
          <w:lang w:eastAsia="pt-BR"/>
        </w:rPr>
        <w:lastRenderedPageBreak/>
        <w:t>Gestão associada:</w:t>
      </w:r>
      <w:r w:rsidRPr="00F94A69">
        <w:rPr>
          <w:rFonts w:eastAsia="Times New Roman" w:cs="Arial"/>
          <w:szCs w:val="24"/>
          <w:lang w:eastAsia="pt-BR"/>
        </w:rPr>
        <w:t xml:space="preserve"> associação voluntária de entes federados, por convênio de cooperação ou consórcio público, conforme disposto no art. 241 da Constituição Federal.</w:t>
      </w:r>
    </w:p>
    <w:p w:rsidR="00CE1CFD" w:rsidRPr="00F94A69" w:rsidRDefault="00CE1CFD" w:rsidP="00CE1CFD">
      <w:pPr>
        <w:spacing w:before="120" w:after="120"/>
        <w:contextualSpacing/>
        <w:rPr>
          <w:rFonts w:cs="Arial"/>
          <w:szCs w:val="24"/>
        </w:rPr>
      </w:pPr>
      <w:r w:rsidRPr="00F94A69">
        <w:rPr>
          <w:rFonts w:cs="Arial"/>
          <w:b/>
          <w:szCs w:val="24"/>
        </w:rPr>
        <w:t>Limpeza urbana e manejo de resíduos sólidos:</w:t>
      </w:r>
      <w:r w:rsidRPr="00F94A69">
        <w:rPr>
          <w:rFonts w:cs="Arial"/>
          <w:szCs w:val="24"/>
        </w:rPr>
        <w:t xml:space="preserve"> conjunto de atividades, infraestruturas e instalações operacionais de coleta, transporte, transbordo, tratamento e destino final do lixo doméstico e do lixo originário da varrição e limpeza de logradouros e vias públicas.</w:t>
      </w:r>
    </w:p>
    <w:p w:rsidR="00CE1CFD" w:rsidRPr="00F94A69" w:rsidRDefault="00CE1CFD" w:rsidP="00CE1CFD">
      <w:pPr>
        <w:spacing w:before="120" w:after="120"/>
        <w:contextualSpacing/>
        <w:rPr>
          <w:rFonts w:cs="Arial"/>
          <w:szCs w:val="24"/>
        </w:rPr>
      </w:pPr>
      <w:r w:rsidRPr="00F94A69">
        <w:rPr>
          <w:rFonts w:cs="Arial"/>
          <w:b/>
          <w:szCs w:val="24"/>
        </w:rPr>
        <w:t>Macro/mesodrenagem:</w:t>
      </w:r>
      <w:r w:rsidRPr="00F94A69">
        <w:rPr>
          <w:rFonts w:cs="Arial"/>
          <w:szCs w:val="24"/>
        </w:rPr>
        <w:t xml:space="preserve"> sistema de drenagem que compreende basicamente os principais canais de veiculação das vazões, recebendo ao longo de seu percurso as contribuições laterais e a rede primária urbana, provenientes da microdrenagem. Considera-se como macro e mesodrenagem os cursos de água, galerias tubulares com dimensões iguais ou superiores a 1,20 m de diâmetro e galerias celulares cuja área da seção transversal seja igual ou superior a 1m</w:t>
      </w:r>
      <w:r w:rsidRPr="00F94A69">
        <w:rPr>
          <w:rFonts w:cs="Arial"/>
          <w:szCs w:val="24"/>
          <w:vertAlign w:val="superscript"/>
        </w:rPr>
        <w:t>2</w:t>
      </w:r>
      <w:r w:rsidRPr="00F94A69">
        <w:rPr>
          <w:rFonts w:cs="Arial"/>
          <w:szCs w:val="24"/>
        </w:rPr>
        <w:t>.</w:t>
      </w:r>
    </w:p>
    <w:p w:rsidR="00CE1CFD" w:rsidRPr="00F94A69" w:rsidRDefault="00CE1CFD" w:rsidP="00CE1CFD">
      <w:pPr>
        <w:spacing w:before="120" w:after="120"/>
        <w:contextualSpacing/>
        <w:rPr>
          <w:rFonts w:cs="Arial"/>
          <w:szCs w:val="24"/>
        </w:rPr>
      </w:pPr>
      <w:r w:rsidRPr="00F94A69">
        <w:rPr>
          <w:rFonts w:cs="Arial"/>
          <w:b/>
          <w:szCs w:val="24"/>
        </w:rPr>
        <w:t>Microdrenagem:</w:t>
      </w:r>
      <w:r w:rsidRPr="00F94A69">
        <w:rPr>
          <w:rFonts w:cs="Arial"/>
          <w:szCs w:val="24"/>
        </w:rPr>
        <w:t xml:space="preserve"> sistema de drenagem de condutos pluviais em nível de loteamento ou de rede primária urbana, que constitui o elo entre os dispositivos de drenagem superficial e os dispositivos de macro e mesodrenagem, coletando e conduzindo as contribuições provenientes das bocas de lobo ou caixas coletoras. Consideram-se como microdrenagem as galerias tubulares com dimensões iguais ou superiores a 0,30m e inferiores a 1,20m de diâmetro e galerias celulares cuja área da seção transversal seja inferior a 1m</w:t>
      </w:r>
      <w:r w:rsidRPr="00F94A69">
        <w:rPr>
          <w:rFonts w:cs="Arial"/>
          <w:szCs w:val="24"/>
          <w:vertAlign w:val="superscript"/>
        </w:rPr>
        <w:t>2</w:t>
      </w:r>
      <w:r w:rsidRPr="00F94A69">
        <w:rPr>
          <w:rFonts w:cs="Arial"/>
          <w:szCs w:val="24"/>
        </w:rPr>
        <w:t>.</w:t>
      </w:r>
    </w:p>
    <w:p w:rsidR="00CE1CFD" w:rsidRPr="00F94A69" w:rsidRDefault="00CE1CFD" w:rsidP="00CE1CFD">
      <w:pPr>
        <w:spacing w:before="120" w:after="120"/>
        <w:contextualSpacing/>
        <w:rPr>
          <w:rFonts w:cs="Arial"/>
          <w:b/>
          <w:szCs w:val="24"/>
        </w:rPr>
      </w:pPr>
      <w:r w:rsidRPr="00F94A69">
        <w:rPr>
          <w:rFonts w:cs="Arial"/>
          <w:b/>
          <w:szCs w:val="24"/>
        </w:rPr>
        <w:t xml:space="preserve">Nascente: </w:t>
      </w:r>
      <w:r w:rsidRPr="00F94A69">
        <w:rPr>
          <w:rFonts w:cs="Arial"/>
          <w:szCs w:val="24"/>
        </w:rPr>
        <w:t xml:space="preserve">afloramento natural do lençol freático que apresenta perenidade e dá início a um curso d’água. </w:t>
      </w:r>
    </w:p>
    <w:p w:rsidR="00CE1CFD" w:rsidRPr="00F94A69" w:rsidRDefault="00CE1CFD" w:rsidP="00CE1CFD">
      <w:pPr>
        <w:spacing w:before="120" w:after="120"/>
        <w:contextualSpacing/>
        <w:rPr>
          <w:rFonts w:cs="Arial"/>
          <w:szCs w:val="24"/>
        </w:rPr>
      </w:pPr>
      <w:r w:rsidRPr="00F94A69">
        <w:rPr>
          <w:rFonts w:cs="Arial"/>
          <w:b/>
          <w:szCs w:val="24"/>
        </w:rPr>
        <w:t xml:space="preserve">Plano Plurianual: </w:t>
      </w:r>
      <w:r w:rsidRPr="00F94A69">
        <w:rPr>
          <w:rFonts w:cs="Arial"/>
          <w:szCs w:val="24"/>
        </w:rPr>
        <w:t>instrumento de planejamento governamental de médio prazo, previsto no artigo 165 da Constituição Federal, regulamentado pelo Decreto nº 2.829, de 29 de outubro de 1998 e estabelece diretrizes, objetivos e metas da Administração Pública para um período de quatro anos, organizando as ações do governo em programas que resultem em bens e serviços para a população. É aprovado por lei quadrienal, tendo vigência do segundo ano de um mandato majoritário até o final do primeiro ano do mandato seguinte. Nele constam, detalhadamente, os atributos das políticas públicas executadas, tais como metas físicas e financeiras, produtos a serem entregues à sociedade, entre outros.</w:t>
      </w:r>
    </w:p>
    <w:p w:rsidR="00CE1CFD" w:rsidRPr="00F94A69" w:rsidRDefault="00CE1CFD" w:rsidP="00CE1CFD">
      <w:pPr>
        <w:spacing w:before="120" w:after="120"/>
        <w:contextualSpacing/>
        <w:rPr>
          <w:rFonts w:cs="Arial"/>
          <w:szCs w:val="24"/>
        </w:rPr>
      </w:pPr>
      <w:r w:rsidRPr="00F94A69">
        <w:rPr>
          <w:rFonts w:cs="Arial"/>
          <w:b/>
          <w:szCs w:val="24"/>
        </w:rPr>
        <w:lastRenderedPageBreak/>
        <w:t xml:space="preserve">Salubridade ambiental: </w:t>
      </w:r>
      <w:r w:rsidRPr="00F94A69">
        <w:rPr>
          <w:rFonts w:cs="Arial"/>
          <w:szCs w:val="24"/>
        </w:rPr>
        <w:t>qualidade ambiental capaz de prevenir a ocorrência de doenças veiculadas pelo meio ambiente e de promover o aperfeiçoamento das condições mesológicas, favoráveis à saúde da população urbana e rural.</w:t>
      </w:r>
    </w:p>
    <w:p w:rsidR="00CE1CFD" w:rsidRPr="00F94A69" w:rsidRDefault="00CE1CFD" w:rsidP="00CE1CFD">
      <w:pPr>
        <w:spacing w:before="120" w:after="120"/>
        <w:contextualSpacing/>
        <w:rPr>
          <w:rFonts w:cs="Arial"/>
          <w:szCs w:val="24"/>
        </w:rPr>
      </w:pPr>
      <w:r w:rsidRPr="00F94A69">
        <w:rPr>
          <w:rFonts w:cs="Arial"/>
          <w:b/>
          <w:szCs w:val="24"/>
        </w:rPr>
        <w:t>Saneamento:</w:t>
      </w:r>
      <w:r w:rsidRPr="00F94A69">
        <w:rPr>
          <w:rFonts w:cs="Arial"/>
          <w:szCs w:val="24"/>
        </w:rPr>
        <w:t xml:space="preserve"> é o conjunto de ações, obras e serviços que tem por objetivo alcançar níveis crescentes e sustentáveis de salubridade ambiental.</w:t>
      </w:r>
    </w:p>
    <w:p w:rsidR="00CE1CFD" w:rsidRPr="00F94A69" w:rsidRDefault="00CE1CFD" w:rsidP="00CE1CFD">
      <w:pPr>
        <w:spacing w:before="120" w:after="120"/>
        <w:contextualSpacing/>
        <w:rPr>
          <w:rFonts w:cs="Arial"/>
          <w:szCs w:val="24"/>
          <w:shd w:val="clear" w:color="auto" w:fill="FFFFFF"/>
        </w:rPr>
      </w:pPr>
      <w:r w:rsidRPr="00F94A69">
        <w:rPr>
          <w:rFonts w:cs="Arial"/>
          <w:b/>
          <w:bCs/>
          <w:szCs w:val="24"/>
          <w:shd w:val="clear" w:color="auto" w:fill="FFFFFF"/>
        </w:rPr>
        <w:t xml:space="preserve">Saneamento ambiental: </w:t>
      </w:r>
      <w:r w:rsidRPr="00F94A69">
        <w:rPr>
          <w:rFonts w:cs="Arial"/>
          <w:szCs w:val="24"/>
          <w:shd w:val="clear" w:color="auto" w:fill="FFFFFF"/>
        </w:rPr>
        <w:t xml:space="preserve">é o nome que se dá ao conjunto de serviços e práticas que visam promover a qualidade e a melhoria do </w:t>
      </w:r>
      <w:hyperlink r:id="rId9" w:tooltip="Meio ambiente" w:history="1">
        <w:r w:rsidRPr="00F94A69">
          <w:rPr>
            <w:rFonts w:cs="Arial"/>
            <w:szCs w:val="24"/>
            <w:shd w:val="clear" w:color="auto" w:fill="FFFFFF"/>
          </w:rPr>
          <w:t>meio ambiente</w:t>
        </w:r>
      </w:hyperlink>
      <w:r w:rsidRPr="00F94A69">
        <w:rPr>
          <w:rFonts w:cs="Arial"/>
          <w:szCs w:val="24"/>
          <w:shd w:val="clear" w:color="auto" w:fill="FFFFFF"/>
        </w:rPr>
        <w:t xml:space="preserve"> e contribuir para a </w:t>
      </w:r>
      <w:hyperlink r:id="rId10" w:tooltip="Saúde pública" w:history="1">
        <w:r w:rsidRPr="00F94A69">
          <w:rPr>
            <w:rFonts w:cs="Arial"/>
            <w:szCs w:val="24"/>
            <w:shd w:val="clear" w:color="auto" w:fill="FFFFFF"/>
          </w:rPr>
          <w:t>saúde pública</w:t>
        </w:r>
      </w:hyperlink>
      <w:r w:rsidRPr="00F94A69">
        <w:rPr>
          <w:rFonts w:cs="Arial"/>
          <w:szCs w:val="24"/>
        </w:rPr>
        <w:t xml:space="preserve"> </w:t>
      </w:r>
      <w:r w:rsidRPr="00F94A69">
        <w:rPr>
          <w:rFonts w:cs="Arial"/>
          <w:szCs w:val="24"/>
          <w:shd w:val="clear" w:color="auto" w:fill="FFFFFF"/>
        </w:rPr>
        <w:t xml:space="preserve">e o bem-estar da </w:t>
      </w:r>
      <w:hyperlink r:id="rId11" w:tooltip="População" w:history="1">
        <w:r w:rsidRPr="00F94A69">
          <w:rPr>
            <w:rFonts w:cs="Arial"/>
            <w:szCs w:val="24"/>
            <w:shd w:val="clear" w:color="auto" w:fill="FFFFFF"/>
          </w:rPr>
          <w:t>população</w:t>
        </w:r>
      </w:hyperlink>
      <w:r w:rsidRPr="00F94A69">
        <w:rPr>
          <w:rFonts w:cs="Arial"/>
          <w:szCs w:val="24"/>
          <w:shd w:val="clear" w:color="auto" w:fill="FFFFFF"/>
        </w:rPr>
        <w:t>.</w:t>
      </w:r>
    </w:p>
    <w:p w:rsidR="00CE1CFD" w:rsidRPr="00F94A69" w:rsidRDefault="00CE1CFD" w:rsidP="00CE1CFD">
      <w:pPr>
        <w:spacing w:before="120" w:after="120"/>
        <w:contextualSpacing/>
        <w:rPr>
          <w:rFonts w:cs="Arial"/>
          <w:szCs w:val="24"/>
        </w:rPr>
      </w:pPr>
      <w:r w:rsidRPr="00F94A69">
        <w:rPr>
          <w:rFonts w:cs="Arial"/>
          <w:b/>
          <w:szCs w:val="24"/>
        </w:rPr>
        <w:t>Saneamento básico:</w:t>
      </w:r>
      <w:r w:rsidRPr="00F94A69">
        <w:rPr>
          <w:rFonts w:cs="Arial"/>
          <w:szCs w:val="24"/>
        </w:rPr>
        <w:t xml:space="preserve"> conjunto de serviços e ações com o objetivo de alcançar níveis crescentes de salubridade ambiental, nas condições que maximizem a promoção e a melhoria das condições de vida nos meios urbanos e rurais, compreendendo o abastecimento de água, o esgotamento sanitário, a limpeza urbana e o manejo de resíduos sólidos, a drenagem e o manejo de águas pluviais urbanas.</w:t>
      </w:r>
    </w:p>
    <w:p w:rsidR="00CE1CFD" w:rsidRPr="00F94A69" w:rsidRDefault="00CE1CFD" w:rsidP="00CE1CFD">
      <w:pPr>
        <w:spacing w:before="120" w:after="120"/>
        <w:contextualSpacing/>
        <w:rPr>
          <w:rFonts w:cs="Arial"/>
          <w:szCs w:val="24"/>
        </w:rPr>
      </w:pPr>
      <w:r w:rsidRPr="00F94A69">
        <w:rPr>
          <w:rFonts w:cs="Arial"/>
          <w:b/>
          <w:szCs w:val="24"/>
        </w:rPr>
        <w:t xml:space="preserve">Sistema de Abastecimento de Água: </w:t>
      </w:r>
      <w:r w:rsidRPr="00F94A69">
        <w:rPr>
          <w:rFonts w:cs="Arial"/>
          <w:szCs w:val="24"/>
        </w:rPr>
        <w:t>constituído pelas atividades, infraestruturas e instalações necessárias ao abastecimento público de água potável, desde a captação até as ligações prediais e respectivos instrumentos de medição.</w:t>
      </w:r>
    </w:p>
    <w:p w:rsidR="00CE1CFD" w:rsidRPr="00F94A69" w:rsidRDefault="00CE1CFD" w:rsidP="00CE1CFD">
      <w:pPr>
        <w:spacing w:before="120" w:after="120"/>
        <w:contextualSpacing/>
        <w:rPr>
          <w:rFonts w:cs="Arial"/>
          <w:szCs w:val="24"/>
        </w:rPr>
      </w:pPr>
      <w:r w:rsidRPr="00F94A69">
        <w:rPr>
          <w:rFonts w:cs="Arial"/>
          <w:b/>
          <w:szCs w:val="24"/>
        </w:rPr>
        <w:t xml:space="preserve">Sistema de Esgotamento Sanitário: </w:t>
      </w:r>
      <w:r w:rsidRPr="00F94A69">
        <w:rPr>
          <w:rFonts w:cs="Arial"/>
          <w:szCs w:val="24"/>
        </w:rPr>
        <w:t>constituído pelas atividades, infraestruturas e instalações operacionais de coleta, afastamento, recalque, tratamento e disposição final adequados dos esgotos sanitários, desde as ligações prediais até o seu lançamento final no meio ambiente.</w:t>
      </w:r>
    </w:p>
    <w:p w:rsidR="00CE1CFD" w:rsidRPr="00F94A69" w:rsidRDefault="00CE1CFD" w:rsidP="00CE1CFD">
      <w:pPr>
        <w:spacing w:before="120" w:after="120"/>
        <w:contextualSpacing/>
        <w:rPr>
          <w:rFonts w:cs="Arial"/>
          <w:szCs w:val="24"/>
        </w:rPr>
      </w:pPr>
      <w:r w:rsidRPr="00F94A69">
        <w:rPr>
          <w:rFonts w:cs="Arial"/>
          <w:b/>
          <w:szCs w:val="24"/>
        </w:rPr>
        <w:t xml:space="preserve">Sistema de Limpeza Urbana: </w:t>
      </w:r>
      <w:r w:rsidRPr="00F94A69">
        <w:rPr>
          <w:rFonts w:cs="Arial"/>
          <w:szCs w:val="24"/>
        </w:rPr>
        <w:t>conjunto de atividades, infraestruturas e instalações operacionais do lixo originário da varrição e limpeza de logradouros e vias públicas.</w:t>
      </w:r>
    </w:p>
    <w:p w:rsidR="00CE1CFD" w:rsidRPr="00F94A69" w:rsidRDefault="00CE1CFD" w:rsidP="00CE1CFD">
      <w:pPr>
        <w:contextualSpacing/>
        <w:rPr>
          <w:rFonts w:cs="Arial"/>
          <w:szCs w:val="24"/>
          <w:shd w:val="clear" w:color="auto" w:fill="FFFFFF"/>
        </w:rPr>
      </w:pPr>
      <w:r w:rsidRPr="00F94A69">
        <w:rPr>
          <w:rFonts w:cs="Arial"/>
          <w:b/>
          <w:szCs w:val="24"/>
        </w:rPr>
        <w:t xml:space="preserve">Sustentabilidade: </w:t>
      </w:r>
      <w:r w:rsidRPr="00F94A69">
        <w:rPr>
          <w:rFonts w:cs="Arial"/>
          <w:szCs w:val="24"/>
          <w:shd w:val="clear" w:color="auto" w:fill="FFFFFF"/>
        </w:rPr>
        <w:t xml:space="preserve">termo usado para definir ações e atividades humanas que visam suprir as necessidades atuais dos seres humanos, sem comprometer o futuro das próximas gerações. Ou seja, a sustentabilidade está diretamente relacionada ao desenvolvimento econômico e material sem agredir o meio ambiente, usando os recursos naturais de forma inteligente para que eles se mantenham no futuro. </w:t>
      </w:r>
    </w:p>
    <w:p w:rsidR="00CE1CFD" w:rsidRPr="00F94A69" w:rsidRDefault="00CE1CFD" w:rsidP="00CE1CFD">
      <w:pPr>
        <w:spacing w:before="120" w:after="120"/>
        <w:contextualSpacing/>
        <w:rPr>
          <w:rFonts w:eastAsia="Times New Roman" w:cs="Arial"/>
          <w:szCs w:val="24"/>
          <w:lang w:eastAsia="pt-BR"/>
        </w:rPr>
      </w:pPr>
      <w:r w:rsidRPr="00F94A69">
        <w:rPr>
          <w:rFonts w:eastAsia="Times New Roman" w:cs="Arial"/>
          <w:b/>
          <w:szCs w:val="24"/>
          <w:lang w:eastAsia="pt-BR"/>
        </w:rPr>
        <w:t>Universalização</w:t>
      </w:r>
      <w:r w:rsidRPr="00F94A69">
        <w:rPr>
          <w:rFonts w:eastAsia="Times New Roman" w:cs="Arial"/>
          <w:szCs w:val="24"/>
          <w:lang w:eastAsia="pt-BR"/>
        </w:rPr>
        <w:t>: ampliação progressiva do acesso de todos os domicílios ocupados ao saneamento básico.</w:t>
      </w:r>
    </w:p>
    <w:p w:rsidR="00CE1CFD" w:rsidRPr="009053B4" w:rsidRDefault="00CE1CFD" w:rsidP="00CE1CFD">
      <w:pPr>
        <w:spacing w:before="120" w:after="120"/>
        <w:rPr>
          <w:highlight w:val="yellow"/>
          <w:lang w:eastAsia="pt-BR"/>
        </w:rPr>
      </w:pPr>
      <w:r w:rsidRPr="009053B4">
        <w:rPr>
          <w:rFonts w:ascii="Calibri" w:hAnsi="Calibri"/>
          <w:b/>
          <w:bCs/>
          <w:sz w:val="22"/>
          <w:highlight w:val="yellow"/>
          <w:lang w:eastAsia="pt-BR"/>
        </w:rPr>
        <w:br w:type="page"/>
      </w:r>
    </w:p>
    <w:p w:rsidR="00CE1CFD" w:rsidRPr="008F056A" w:rsidRDefault="00CE1CFD" w:rsidP="00CE1CFD">
      <w:pPr>
        <w:keepNext/>
        <w:keepLines/>
        <w:spacing w:before="240" w:after="240"/>
        <w:jc w:val="center"/>
        <w:outlineLvl w:val="0"/>
        <w:rPr>
          <w:rFonts w:eastAsia="Times New Roman" w:cs="Arial"/>
          <w:b/>
          <w:bCs/>
          <w:sz w:val="28"/>
          <w:szCs w:val="28"/>
          <w:lang w:eastAsia="x-none"/>
        </w:rPr>
      </w:pPr>
      <w:bookmarkStart w:id="12" w:name="_Toc471721199"/>
      <w:bookmarkStart w:id="13" w:name="_Toc472949936"/>
      <w:bookmarkStart w:id="14" w:name="_Toc476215416"/>
      <w:bookmarkStart w:id="15" w:name="_Toc497468982"/>
      <w:r w:rsidRPr="008F056A">
        <w:rPr>
          <w:rFonts w:eastAsia="Times New Roman" w:cs="Arial"/>
          <w:b/>
          <w:bCs/>
          <w:sz w:val="28"/>
          <w:szCs w:val="28"/>
          <w:lang w:eastAsia="x-none"/>
        </w:rPr>
        <w:lastRenderedPageBreak/>
        <w:t>Apresentação</w:t>
      </w:r>
      <w:bookmarkEnd w:id="12"/>
      <w:bookmarkEnd w:id="13"/>
      <w:bookmarkEnd w:id="14"/>
      <w:bookmarkEnd w:id="15"/>
    </w:p>
    <w:p w:rsidR="00CE1CFD" w:rsidRPr="008F056A" w:rsidRDefault="00CE1CFD" w:rsidP="00CE1CFD">
      <w:pPr>
        <w:autoSpaceDE w:val="0"/>
        <w:autoSpaceDN w:val="0"/>
        <w:adjustRightInd w:val="0"/>
        <w:ind w:firstLine="709"/>
        <w:contextualSpacing/>
        <w:rPr>
          <w:rFonts w:cs="Arial"/>
          <w:szCs w:val="24"/>
          <w:lang w:eastAsia="pt-BR"/>
        </w:rPr>
      </w:pPr>
      <w:r w:rsidRPr="008F056A">
        <w:rPr>
          <w:rFonts w:cs="Arial"/>
          <w:szCs w:val="24"/>
          <w:lang w:eastAsia="pt-BR"/>
        </w:rPr>
        <w:t xml:space="preserve">O </w:t>
      </w:r>
      <w:r w:rsidRPr="008F056A">
        <w:rPr>
          <w:rFonts w:cs="Arial"/>
          <w:bCs/>
          <w:szCs w:val="24"/>
          <w:lang w:eastAsia="pt-BR"/>
        </w:rPr>
        <w:t xml:space="preserve">Instituto BioAtlântica (IBIO) </w:t>
      </w:r>
      <w:r w:rsidRPr="008F056A">
        <w:rPr>
          <w:rFonts w:cs="Arial"/>
          <w:szCs w:val="24"/>
          <w:lang w:eastAsia="pt-BR"/>
        </w:rPr>
        <w:t>é uma organização sem fins lucrativos, criada por indivíduos, empresas e ONGs ligadas ao tema sustentabilidade, através do Decreto Federal de 2002, alterado pelo Decreto Federal de 1º de setembro de 2010. Em 2011 foi habilitado a exercer as funções de Agência de Água na bacia hidrográfica do rio Doce, tendo sido sua indicação como entidade delegatária aprovada pelo Conselho Nacional de Recursos Hídricos, por meio da Resolução CNRH nº 130, de 20 de setembro de 2011.</w:t>
      </w:r>
    </w:p>
    <w:p w:rsidR="000A1032" w:rsidRPr="008F056A" w:rsidRDefault="008A5CE3" w:rsidP="000A1032">
      <w:pPr>
        <w:ind w:firstLine="708"/>
        <w:rPr>
          <w:rFonts w:cs="Arial"/>
          <w:shd w:val="clear" w:color="auto" w:fill="FFFFFF"/>
        </w:rPr>
      </w:pPr>
      <w:r w:rsidRPr="008F056A">
        <w:rPr>
          <w:rFonts w:cs="Arial"/>
          <w:shd w:val="clear" w:color="auto" w:fill="FFFFFF"/>
        </w:rPr>
        <w:t>A Lei nº 11.445, sancionada em 5 de janeiro de 2007, trouxe nova disciplina para a prestação de serviços de saneamento básico, exigindo tanto do titular quanto do prestador de serviços novas atribuições, direitos e obrigações, entre elas a obrigatoriedade da elaboração dos planos de saneamento básico, a regulação dos serviços, a instituição do controle social dos serviços de saneamento e a participação social no planejamento do setor, além da adequação da prestação dos serviços às condições de sustentabilidade e equilíbrio econômico-financeiro, em regime de eficiência.</w:t>
      </w:r>
      <w:r w:rsidR="000A1032" w:rsidRPr="008F056A">
        <w:rPr>
          <w:rFonts w:cs="Arial"/>
          <w:shd w:val="clear" w:color="auto" w:fill="FFFFFF"/>
        </w:rPr>
        <w:t xml:space="preserve"> Ainda de acordo com a legislação vigente, a obtenção de financiamentos ou de recursos a fundo perdido, nos órgãos federais e estaduais, ficou atrelada à apresentação, por parte do </w:t>
      </w:r>
      <w:r w:rsidR="008F2F65">
        <w:rPr>
          <w:rFonts w:cs="Arial"/>
          <w:shd w:val="clear" w:color="auto" w:fill="FFFFFF"/>
        </w:rPr>
        <w:t>P</w:t>
      </w:r>
      <w:r w:rsidR="000A1032" w:rsidRPr="008F056A">
        <w:rPr>
          <w:rFonts w:cs="Arial"/>
          <w:shd w:val="clear" w:color="auto" w:fill="FFFFFF"/>
        </w:rPr>
        <w:t xml:space="preserve">oder </w:t>
      </w:r>
      <w:r w:rsidR="008F2F65">
        <w:rPr>
          <w:rFonts w:cs="Arial"/>
          <w:shd w:val="clear" w:color="auto" w:fill="FFFFFF"/>
        </w:rPr>
        <w:t>P</w:t>
      </w:r>
      <w:r w:rsidR="000A1032" w:rsidRPr="008F056A">
        <w:rPr>
          <w:rFonts w:cs="Arial"/>
          <w:shd w:val="clear" w:color="auto" w:fill="FFFFFF"/>
        </w:rPr>
        <w:t xml:space="preserve">úblico </w:t>
      </w:r>
      <w:r w:rsidR="008F2F65">
        <w:rPr>
          <w:rFonts w:cs="Arial"/>
          <w:shd w:val="clear" w:color="auto" w:fill="FFFFFF"/>
        </w:rPr>
        <w:t>M</w:t>
      </w:r>
      <w:r w:rsidR="000A1032" w:rsidRPr="008F056A">
        <w:rPr>
          <w:rFonts w:cs="Arial"/>
          <w:shd w:val="clear" w:color="auto" w:fill="FFFFFF"/>
        </w:rPr>
        <w:t>unicipal, do Plano Municipal de Saneamento Básico e do Plano Municipal de Gestão Integrada de Resíduos Sólidos.</w:t>
      </w:r>
    </w:p>
    <w:p w:rsidR="00F00E20" w:rsidRPr="008F056A" w:rsidRDefault="008A5CE3" w:rsidP="00CE1CFD">
      <w:pPr>
        <w:autoSpaceDE w:val="0"/>
        <w:autoSpaceDN w:val="0"/>
        <w:adjustRightInd w:val="0"/>
        <w:ind w:firstLine="709"/>
        <w:contextualSpacing/>
        <w:rPr>
          <w:rFonts w:cs="Arial"/>
          <w:szCs w:val="24"/>
          <w:lang w:eastAsia="pt-BR"/>
        </w:rPr>
      </w:pPr>
      <w:r w:rsidRPr="008F056A">
        <w:rPr>
          <w:rFonts w:cs="Arial"/>
          <w:szCs w:val="24"/>
          <w:lang w:eastAsia="pt-BR"/>
        </w:rPr>
        <w:t xml:space="preserve">Ciente da importância dessa normatização no setor de saneamento dos municípios que integram a bacia hidrográfica do rio Doce, </w:t>
      </w:r>
      <w:r w:rsidR="00CE1CFD" w:rsidRPr="008F056A">
        <w:rPr>
          <w:rFonts w:cs="Arial"/>
          <w:szCs w:val="24"/>
        </w:rPr>
        <w:t>o IBIO-AGB Doce consolidou</w:t>
      </w:r>
      <w:r w:rsidRPr="008F056A">
        <w:rPr>
          <w:rFonts w:cs="Arial"/>
          <w:szCs w:val="24"/>
        </w:rPr>
        <w:t>, funcionando como</w:t>
      </w:r>
      <w:r w:rsidR="00703079" w:rsidRPr="008F056A">
        <w:rPr>
          <w:rFonts w:cs="Arial"/>
          <w:szCs w:val="24"/>
        </w:rPr>
        <w:t xml:space="preserve"> </w:t>
      </w:r>
      <w:r w:rsidRPr="008F056A">
        <w:rPr>
          <w:rFonts w:cs="Arial"/>
          <w:szCs w:val="24"/>
        </w:rPr>
        <w:t xml:space="preserve">Agência de Águas, </w:t>
      </w:r>
      <w:r w:rsidR="00CE1CFD" w:rsidRPr="008F056A">
        <w:rPr>
          <w:rFonts w:cs="Arial"/>
          <w:szCs w:val="24"/>
        </w:rPr>
        <w:t xml:space="preserve">a elaboração de Planos </w:t>
      </w:r>
      <w:r w:rsidRPr="008F056A">
        <w:rPr>
          <w:rFonts w:cs="Arial"/>
          <w:szCs w:val="24"/>
        </w:rPr>
        <w:t xml:space="preserve">Municipais </w:t>
      </w:r>
      <w:r w:rsidR="00CE1CFD" w:rsidRPr="008F056A">
        <w:rPr>
          <w:rFonts w:cs="Arial"/>
          <w:szCs w:val="24"/>
        </w:rPr>
        <w:t xml:space="preserve">de Saneamento Básico a partir da aprovação, pelos Comitês de Bacias Hidrográficas (CBHs), do Plano de Aplicação Plurianual (PAP) </w:t>
      </w:r>
      <w:r w:rsidRPr="008F056A">
        <w:rPr>
          <w:rFonts w:cs="Arial"/>
          <w:szCs w:val="24"/>
        </w:rPr>
        <w:t>com</w:t>
      </w:r>
      <w:r w:rsidR="00CE1CFD" w:rsidRPr="008F056A">
        <w:rPr>
          <w:rFonts w:cs="Arial"/>
          <w:szCs w:val="24"/>
        </w:rPr>
        <w:t xml:space="preserve"> recursos provenientes da cobrança pelo uso da água, a partir de programas priorizados no Plano Integrado de Recursos Hídricos da bacia do rio Doce (PIRH). Trata-se de um esforço conjunto para viabilizar aos municípios um instrumento de gestão dos </w:t>
      </w:r>
      <w:r w:rsidR="000A1032" w:rsidRPr="008F056A">
        <w:rPr>
          <w:rFonts w:cs="Arial"/>
          <w:szCs w:val="24"/>
        </w:rPr>
        <w:t>eixos</w:t>
      </w:r>
      <w:r w:rsidR="00CE1CFD" w:rsidRPr="008F056A">
        <w:rPr>
          <w:rFonts w:cs="Arial"/>
          <w:szCs w:val="24"/>
        </w:rPr>
        <w:t xml:space="preserve"> </w:t>
      </w:r>
      <w:r w:rsidRPr="008F056A">
        <w:rPr>
          <w:rFonts w:cs="Arial"/>
          <w:szCs w:val="24"/>
        </w:rPr>
        <w:t>que integram o</w:t>
      </w:r>
      <w:r w:rsidR="00703079" w:rsidRPr="008F056A">
        <w:rPr>
          <w:rFonts w:cs="Arial"/>
          <w:szCs w:val="24"/>
        </w:rPr>
        <w:t xml:space="preserve"> </w:t>
      </w:r>
      <w:r w:rsidR="00CE1CFD" w:rsidRPr="008F056A">
        <w:rPr>
          <w:rFonts w:cs="Arial"/>
          <w:szCs w:val="24"/>
        </w:rPr>
        <w:t>saneamento básico.</w:t>
      </w:r>
      <w:r w:rsidR="007B7163" w:rsidRPr="008F056A">
        <w:rPr>
          <w:rFonts w:cs="Arial"/>
          <w:szCs w:val="24"/>
        </w:rPr>
        <w:t xml:space="preserve"> </w:t>
      </w:r>
    </w:p>
    <w:p w:rsidR="00CE1CFD" w:rsidRPr="008F056A" w:rsidRDefault="00CE1CFD" w:rsidP="00CE1CFD">
      <w:pPr>
        <w:autoSpaceDE w:val="0"/>
        <w:autoSpaceDN w:val="0"/>
        <w:adjustRightInd w:val="0"/>
        <w:ind w:firstLine="709"/>
        <w:rPr>
          <w:rFonts w:cs="Arial"/>
          <w:i/>
          <w:szCs w:val="24"/>
          <w:lang w:eastAsia="pt-BR"/>
        </w:rPr>
      </w:pPr>
      <w:r w:rsidRPr="008F056A">
        <w:rPr>
          <w:rFonts w:cs="Arial"/>
          <w:szCs w:val="24"/>
          <w:lang w:eastAsia="pt-BR"/>
        </w:rPr>
        <w:t xml:space="preserve">Em setembro de 2016, o IBIO lançou o Ato Convocatório nº 08/2016 para instruir a contratação de empresa especializada na prestação de serviços de elaboração dos </w:t>
      </w:r>
      <w:r w:rsidRPr="008F056A">
        <w:rPr>
          <w:rFonts w:cs="Arial"/>
          <w:i/>
          <w:szCs w:val="24"/>
          <w:lang w:eastAsia="pt-BR"/>
        </w:rPr>
        <w:t>Planos Municipais de Saneamento Básico</w:t>
      </w:r>
      <w:r w:rsidRPr="008F056A">
        <w:rPr>
          <w:rFonts w:cs="Arial"/>
          <w:szCs w:val="24"/>
          <w:lang w:eastAsia="pt-BR"/>
        </w:rPr>
        <w:t xml:space="preserve"> (PMSBs) para os seguintes municípios </w:t>
      </w:r>
      <w:r w:rsidRPr="008F056A">
        <w:rPr>
          <w:rFonts w:cs="Arial"/>
          <w:szCs w:val="24"/>
          <w:lang w:eastAsia="pt-BR"/>
        </w:rPr>
        <w:lastRenderedPageBreak/>
        <w:t xml:space="preserve">integrantes da bacia hidrográfica do rio Doce: </w:t>
      </w:r>
      <w:r w:rsidRPr="008F056A">
        <w:rPr>
          <w:rFonts w:cs="Arial"/>
          <w:i/>
          <w:szCs w:val="24"/>
          <w:lang w:eastAsia="pt-BR"/>
        </w:rPr>
        <w:t xml:space="preserve">Córrego Novo, </w:t>
      </w:r>
      <w:r w:rsidR="00D86C51" w:rsidRPr="008F056A">
        <w:rPr>
          <w:rFonts w:cs="Arial"/>
          <w:i/>
          <w:szCs w:val="24"/>
          <w:lang w:eastAsia="pt-BR"/>
        </w:rPr>
        <w:t>Itaverava</w:t>
      </w:r>
      <w:r w:rsidRPr="008F056A">
        <w:rPr>
          <w:rFonts w:cs="Arial"/>
          <w:i/>
          <w:szCs w:val="24"/>
          <w:lang w:eastAsia="pt-BR"/>
        </w:rPr>
        <w:t xml:space="preserve"> e Pingo-d’Água, pertencentes à UGRH 1 Piranga; </w:t>
      </w:r>
      <w:r w:rsidR="009053B4" w:rsidRPr="008F056A">
        <w:rPr>
          <w:rFonts w:cs="Arial"/>
          <w:i/>
          <w:szCs w:val="24"/>
          <w:lang w:eastAsia="pt-BR"/>
        </w:rPr>
        <w:t>São Gonçalo do Rio Abaixo</w:t>
      </w:r>
      <w:r w:rsidRPr="008F056A">
        <w:rPr>
          <w:rFonts w:cs="Arial"/>
          <w:i/>
          <w:szCs w:val="24"/>
          <w:lang w:eastAsia="pt-BR"/>
        </w:rPr>
        <w:t xml:space="preserve">, pertencente à UGRH 2 Piracicaba; Belo Oriente, </w:t>
      </w:r>
      <w:r w:rsidR="007A2B6D">
        <w:rPr>
          <w:rFonts w:cs="Arial"/>
          <w:i/>
          <w:szCs w:val="24"/>
          <w:lang w:eastAsia="pt-BR"/>
        </w:rPr>
        <w:t>Joanésia</w:t>
      </w:r>
      <w:r w:rsidRPr="008F056A">
        <w:rPr>
          <w:rFonts w:cs="Arial"/>
          <w:i/>
          <w:szCs w:val="24"/>
          <w:lang w:eastAsia="pt-BR"/>
        </w:rPr>
        <w:t xml:space="preserve"> e Santo Antônio do Itambé, pertencentes à UGRH 3 Santo Antônio; e Entre Folhas e Ipaba, pertencentes à UGRH 5 Caratinga.</w:t>
      </w:r>
    </w:p>
    <w:p w:rsidR="000A1032" w:rsidRPr="008F056A" w:rsidRDefault="00CE1CFD" w:rsidP="00CE1CFD">
      <w:pPr>
        <w:autoSpaceDE w:val="0"/>
        <w:autoSpaceDN w:val="0"/>
        <w:adjustRightInd w:val="0"/>
        <w:ind w:firstLine="709"/>
        <w:rPr>
          <w:rFonts w:cs="Arial"/>
          <w:szCs w:val="24"/>
          <w:lang w:eastAsia="pt-BR"/>
        </w:rPr>
      </w:pPr>
      <w:r w:rsidRPr="008F056A">
        <w:rPr>
          <w:rFonts w:cs="Arial"/>
          <w:szCs w:val="24"/>
          <w:lang w:eastAsia="pt-BR"/>
        </w:rPr>
        <w:t xml:space="preserve">Em 28/11/2016 o IBIO-AGB Doce assinou contrato </w:t>
      </w:r>
      <w:r w:rsidR="000A1032" w:rsidRPr="008F056A">
        <w:rPr>
          <w:rFonts w:cs="Arial"/>
          <w:szCs w:val="24"/>
          <w:lang w:eastAsia="pt-BR"/>
        </w:rPr>
        <w:t xml:space="preserve">e ordem de serviço com a empresa </w:t>
      </w:r>
      <w:r w:rsidR="000A1032" w:rsidRPr="008F056A">
        <w:rPr>
          <w:rFonts w:cs="Arial"/>
          <w:i/>
          <w:szCs w:val="24"/>
          <w:lang w:eastAsia="pt-BR"/>
        </w:rPr>
        <w:t>SHS – Consultoria e Projetos de Engenharia Ltda. EPP</w:t>
      </w:r>
      <w:r w:rsidR="000A1032" w:rsidRPr="008F056A">
        <w:rPr>
          <w:rFonts w:cs="Arial"/>
          <w:szCs w:val="24"/>
          <w:lang w:eastAsia="pt-BR"/>
        </w:rPr>
        <w:t>, ambas estabelecendo a vigência de 12 meses aos trabalhos de prestação de serviços na elaboração dos P</w:t>
      </w:r>
      <w:r w:rsidRPr="008F056A">
        <w:rPr>
          <w:rFonts w:cs="Arial"/>
          <w:szCs w:val="24"/>
          <w:lang w:eastAsia="pt-BR"/>
        </w:rPr>
        <w:t xml:space="preserve">MSBs dos nove municípios anteriormente mencionados. </w:t>
      </w:r>
    </w:p>
    <w:p w:rsidR="00415C17" w:rsidRPr="009053B4" w:rsidRDefault="00415C17">
      <w:pPr>
        <w:spacing w:line="240" w:lineRule="auto"/>
        <w:jc w:val="left"/>
        <w:rPr>
          <w:rFonts w:cs="Arial"/>
          <w:szCs w:val="24"/>
          <w:highlight w:val="yellow"/>
          <w:lang w:eastAsia="pt-BR"/>
        </w:rPr>
      </w:pPr>
    </w:p>
    <w:p w:rsidR="00CE1CFD" w:rsidRPr="00F94A69" w:rsidRDefault="00CE1CFD" w:rsidP="00415C17">
      <w:pPr>
        <w:keepNext/>
        <w:keepLines/>
        <w:jc w:val="center"/>
        <w:outlineLvl w:val="0"/>
        <w:rPr>
          <w:lang w:eastAsia="x-none"/>
        </w:rPr>
      </w:pPr>
      <w:bookmarkStart w:id="16" w:name="_Toc476215417"/>
      <w:bookmarkStart w:id="17" w:name="_Toc497468983"/>
      <w:r w:rsidRPr="00F94A69">
        <w:rPr>
          <w:rFonts w:eastAsia="Times New Roman" w:cs="Arial"/>
          <w:b/>
          <w:bCs/>
          <w:sz w:val="28"/>
          <w:szCs w:val="28"/>
          <w:lang w:eastAsia="x-none"/>
        </w:rPr>
        <w:t>Equipe Técnica</w:t>
      </w:r>
      <w:bookmarkEnd w:id="16"/>
      <w:bookmarkEnd w:id="17"/>
      <w:r w:rsidRPr="00F94A69">
        <w:rPr>
          <w:rFonts w:eastAsia="Times New Roman" w:cs="Arial"/>
          <w:b/>
          <w:bCs/>
          <w:sz w:val="28"/>
          <w:szCs w:val="28"/>
          <w:lang w:eastAsia="x-none"/>
        </w:rPr>
        <w:t xml:space="preserve"> </w:t>
      </w:r>
    </w:p>
    <w:tbl>
      <w:tblPr>
        <w:tblW w:w="10304" w:type="dxa"/>
        <w:jc w:val="center"/>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ook w:val="04A0" w:firstRow="1" w:lastRow="0" w:firstColumn="1" w:lastColumn="0" w:noHBand="0" w:noVBand="1"/>
      </w:tblPr>
      <w:tblGrid>
        <w:gridCol w:w="3452"/>
        <w:gridCol w:w="2693"/>
        <w:gridCol w:w="4159"/>
      </w:tblGrid>
      <w:tr w:rsidR="00CE1CFD" w:rsidRPr="00F94A69" w:rsidTr="002828C8">
        <w:trPr>
          <w:trHeight w:val="20"/>
          <w:jc w:val="center"/>
        </w:trPr>
        <w:tc>
          <w:tcPr>
            <w:tcW w:w="10304" w:type="dxa"/>
            <w:gridSpan w:val="3"/>
            <w:tcBorders>
              <w:top w:val="single" w:sz="8" w:space="0" w:color="4F81BD"/>
              <w:left w:val="single" w:sz="8" w:space="0" w:color="4F81BD"/>
              <w:bottom w:val="single" w:sz="8" w:space="0" w:color="4F81BD"/>
              <w:right w:val="single" w:sz="8" w:space="0" w:color="4F81BD"/>
            </w:tcBorders>
            <w:shd w:val="clear" w:color="auto" w:fill="auto"/>
            <w:vAlign w:val="center"/>
          </w:tcPr>
          <w:p w:rsidR="00CE1CFD" w:rsidRPr="00F94A69" w:rsidRDefault="00CE1CFD" w:rsidP="002828C8">
            <w:pPr>
              <w:spacing w:line="240" w:lineRule="auto"/>
              <w:jc w:val="center"/>
              <w:rPr>
                <w:rFonts w:eastAsia="Times New Roman" w:cs="Arial"/>
                <w:b/>
                <w:bCs/>
                <w:sz w:val="20"/>
                <w:szCs w:val="20"/>
              </w:rPr>
            </w:pPr>
            <w:r w:rsidRPr="00F94A69">
              <w:rPr>
                <w:rFonts w:eastAsia="Times New Roman" w:cs="Arial"/>
                <w:b/>
                <w:bCs/>
                <w:sz w:val="20"/>
                <w:szCs w:val="20"/>
              </w:rPr>
              <w:t>EQUIPE-CHAVE</w:t>
            </w:r>
          </w:p>
        </w:tc>
      </w:tr>
      <w:tr w:rsidR="00CE1CFD" w:rsidRPr="00F94A69" w:rsidTr="002828C8">
        <w:trPr>
          <w:trHeight w:val="230"/>
          <w:jc w:val="center"/>
        </w:trPr>
        <w:tc>
          <w:tcPr>
            <w:tcW w:w="3452" w:type="dxa"/>
            <w:vMerge w:val="restart"/>
            <w:tcBorders>
              <w:top w:val="single" w:sz="8" w:space="0" w:color="4F81BD"/>
              <w:left w:val="single" w:sz="8" w:space="0" w:color="4F81BD"/>
              <w:bottom w:val="single" w:sz="8" w:space="0" w:color="4F81BD"/>
              <w:right w:val="single" w:sz="8" w:space="0" w:color="4F81BD"/>
            </w:tcBorders>
            <w:shd w:val="clear" w:color="auto" w:fill="auto"/>
            <w:vAlign w:val="center"/>
            <w:hideMark/>
          </w:tcPr>
          <w:p w:rsidR="00CE1CFD" w:rsidRPr="00F94A69" w:rsidRDefault="00CE1CFD" w:rsidP="002828C8">
            <w:pPr>
              <w:spacing w:line="240" w:lineRule="auto"/>
              <w:jc w:val="center"/>
              <w:rPr>
                <w:rFonts w:eastAsia="Times New Roman" w:cs="Arial"/>
                <w:b/>
                <w:bCs/>
                <w:sz w:val="20"/>
                <w:szCs w:val="20"/>
              </w:rPr>
            </w:pPr>
            <w:r w:rsidRPr="00F94A69">
              <w:rPr>
                <w:rFonts w:eastAsia="Times New Roman" w:cs="Arial"/>
                <w:b/>
                <w:bCs/>
                <w:sz w:val="20"/>
                <w:szCs w:val="20"/>
              </w:rPr>
              <w:t>PROFISSIONAL</w:t>
            </w:r>
          </w:p>
        </w:tc>
        <w:tc>
          <w:tcPr>
            <w:tcW w:w="2693" w:type="dxa"/>
            <w:vMerge w:val="restart"/>
            <w:tcBorders>
              <w:top w:val="single" w:sz="8" w:space="0" w:color="4F81BD"/>
              <w:left w:val="single" w:sz="8" w:space="0" w:color="4F81BD"/>
              <w:bottom w:val="single" w:sz="8" w:space="0" w:color="4F81BD"/>
              <w:right w:val="single" w:sz="8" w:space="0" w:color="4F81BD"/>
            </w:tcBorders>
            <w:shd w:val="clear" w:color="auto" w:fill="auto"/>
            <w:vAlign w:val="center"/>
            <w:hideMark/>
          </w:tcPr>
          <w:p w:rsidR="00CE1CFD" w:rsidRPr="00F94A69" w:rsidRDefault="00CE1CFD" w:rsidP="002828C8">
            <w:pPr>
              <w:spacing w:line="240" w:lineRule="auto"/>
              <w:jc w:val="center"/>
              <w:rPr>
                <w:rFonts w:eastAsia="Times New Roman" w:cs="Arial"/>
                <w:b/>
                <w:sz w:val="20"/>
                <w:szCs w:val="20"/>
              </w:rPr>
            </w:pPr>
            <w:r w:rsidRPr="00F94A69">
              <w:rPr>
                <w:rFonts w:eastAsia="Times New Roman" w:cs="Arial"/>
                <w:b/>
                <w:sz w:val="20"/>
                <w:szCs w:val="20"/>
              </w:rPr>
              <w:t>FORMAÇÃO</w:t>
            </w:r>
          </w:p>
        </w:tc>
        <w:tc>
          <w:tcPr>
            <w:tcW w:w="4159" w:type="dxa"/>
            <w:vMerge w:val="restart"/>
            <w:tcBorders>
              <w:top w:val="single" w:sz="8" w:space="0" w:color="4F81BD"/>
              <w:left w:val="single" w:sz="8" w:space="0" w:color="4F81BD"/>
              <w:bottom w:val="single" w:sz="8" w:space="0" w:color="4F81BD"/>
              <w:right w:val="single" w:sz="8" w:space="0" w:color="4F81BD"/>
            </w:tcBorders>
            <w:shd w:val="clear" w:color="auto" w:fill="auto"/>
            <w:vAlign w:val="center"/>
            <w:hideMark/>
          </w:tcPr>
          <w:p w:rsidR="00CE1CFD" w:rsidRPr="00F94A69" w:rsidRDefault="00CE1CFD" w:rsidP="002828C8">
            <w:pPr>
              <w:spacing w:line="240" w:lineRule="auto"/>
              <w:jc w:val="center"/>
              <w:rPr>
                <w:rFonts w:eastAsia="Times New Roman" w:cs="Arial"/>
                <w:b/>
                <w:sz w:val="20"/>
                <w:szCs w:val="20"/>
              </w:rPr>
            </w:pPr>
            <w:r w:rsidRPr="00F94A69">
              <w:rPr>
                <w:rFonts w:eastAsia="Times New Roman" w:cs="Arial"/>
                <w:b/>
                <w:sz w:val="20"/>
                <w:szCs w:val="20"/>
              </w:rPr>
              <w:t>FUNÇÕES PRINCIPAIS</w:t>
            </w:r>
          </w:p>
        </w:tc>
      </w:tr>
      <w:tr w:rsidR="00CE1CFD" w:rsidRPr="00F94A69" w:rsidTr="002828C8">
        <w:trPr>
          <w:trHeight w:val="230"/>
          <w:jc w:val="center"/>
        </w:trPr>
        <w:tc>
          <w:tcPr>
            <w:tcW w:w="3452" w:type="dxa"/>
            <w:vMerge/>
            <w:tcBorders>
              <w:top w:val="single" w:sz="8" w:space="0" w:color="4F81BD"/>
              <w:left w:val="single" w:sz="8" w:space="0" w:color="4F81BD"/>
              <w:bottom w:val="single" w:sz="8" w:space="0" w:color="4F81BD"/>
              <w:right w:val="single" w:sz="8" w:space="0" w:color="4F81BD"/>
            </w:tcBorders>
            <w:shd w:val="clear" w:color="auto" w:fill="auto"/>
            <w:vAlign w:val="center"/>
            <w:hideMark/>
          </w:tcPr>
          <w:p w:rsidR="00CE1CFD" w:rsidRPr="00F94A69" w:rsidRDefault="00CE1CFD" w:rsidP="002828C8">
            <w:pPr>
              <w:spacing w:line="240" w:lineRule="auto"/>
              <w:jc w:val="center"/>
              <w:rPr>
                <w:rFonts w:eastAsia="Times New Roman" w:cs="Arial"/>
                <w:b/>
                <w:bCs/>
                <w:sz w:val="20"/>
                <w:szCs w:val="20"/>
              </w:rPr>
            </w:pPr>
          </w:p>
        </w:tc>
        <w:tc>
          <w:tcPr>
            <w:tcW w:w="2693" w:type="dxa"/>
            <w:vMerge/>
            <w:tcBorders>
              <w:top w:val="single" w:sz="8" w:space="0" w:color="4F81BD"/>
              <w:left w:val="single" w:sz="8" w:space="0" w:color="4F81BD"/>
              <w:bottom w:val="single" w:sz="8" w:space="0" w:color="4F81BD"/>
              <w:right w:val="single" w:sz="8" w:space="0" w:color="4F81BD"/>
            </w:tcBorders>
            <w:shd w:val="clear" w:color="auto" w:fill="auto"/>
            <w:vAlign w:val="center"/>
            <w:hideMark/>
          </w:tcPr>
          <w:p w:rsidR="00CE1CFD" w:rsidRPr="00F94A69" w:rsidRDefault="00CE1CFD" w:rsidP="002828C8">
            <w:pPr>
              <w:spacing w:line="240" w:lineRule="auto"/>
              <w:jc w:val="center"/>
              <w:rPr>
                <w:rFonts w:eastAsia="Times New Roman" w:cs="Arial"/>
                <w:b/>
                <w:bCs/>
                <w:sz w:val="20"/>
                <w:szCs w:val="20"/>
              </w:rPr>
            </w:pPr>
          </w:p>
        </w:tc>
        <w:tc>
          <w:tcPr>
            <w:tcW w:w="4159" w:type="dxa"/>
            <w:vMerge/>
            <w:tcBorders>
              <w:top w:val="single" w:sz="8" w:space="0" w:color="4F81BD"/>
              <w:left w:val="single" w:sz="8" w:space="0" w:color="4F81BD"/>
              <w:bottom w:val="single" w:sz="8" w:space="0" w:color="4F81BD"/>
              <w:right w:val="single" w:sz="8" w:space="0" w:color="4F81BD"/>
            </w:tcBorders>
            <w:shd w:val="clear" w:color="auto" w:fill="auto"/>
            <w:vAlign w:val="center"/>
            <w:hideMark/>
          </w:tcPr>
          <w:p w:rsidR="00CE1CFD" w:rsidRPr="00F94A69" w:rsidRDefault="00CE1CFD" w:rsidP="002828C8">
            <w:pPr>
              <w:spacing w:line="240" w:lineRule="auto"/>
              <w:jc w:val="center"/>
              <w:rPr>
                <w:rFonts w:eastAsia="Times New Roman" w:cs="Arial"/>
                <w:b/>
                <w:bCs/>
                <w:sz w:val="20"/>
                <w:szCs w:val="20"/>
              </w:rPr>
            </w:pPr>
          </w:p>
        </w:tc>
      </w:tr>
      <w:tr w:rsidR="00CE1CFD" w:rsidRPr="00F94A69" w:rsidTr="002828C8">
        <w:trPr>
          <w:trHeight w:val="20"/>
          <w:jc w:val="center"/>
        </w:trPr>
        <w:tc>
          <w:tcPr>
            <w:tcW w:w="3452" w:type="dxa"/>
            <w:tcBorders>
              <w:top w:val="single" w:sz="8" w:space="0" w:color="4F81BD"/>
            </w:tcBorders>
            <w:shd w:val="clear" w:color="auto" w:fill="auto"/>
            <w:vAlign w:val="center"/>
          </w:tcPr>
          <w:p w:rsidR="00CE1CFD" w:rsidRPr="00F94A69" w:rsidRDefault="00CE1CFD" w:rsidP="002828C8">
            <w:pPr>
              <w:spacing w:line="240" w:lineRule="auto"/>
              <w:jc w:val="left"/>
              <w:rPr>
                <w:rFonts w:eastAsia="Times New Roman" w:cs="Arial"/>
                <w:b/>
                <w:bCs/>
                <w:sz w:val="20"/>
                <w:szCs w:val="20"/>
              </w:rPr>
            </w:pPr>
            <w:r w:rsidRPr="00F94A69">
              <w:rPr>
                <w:rFonts w:eastAsia="Times New Roman" w:cs="Arial"/>
                <w:b/>
                <w:bCs/>
                <w:sz w:val="20"/>
                <w:szCs w:val="20"/>
              </w:rPr>
              <w:t>Lívia Cristina Holmo Villela</w:t>
            </w:r>
          </w:p>
        </w:tc>
        <w:tc>
          <w:tcPr>
            <w:tcW w:w="2693" w:type="dxa"/>
            <w:tcBorders>
              <w:top w:val="single" w:sz="8" w:space="0" w:color="4F81BD"/>
            </w:tcBorders>
            <w:shd w:val="clear" w:color="auto" w:fill="auto"/>
            <w:vAlign w:val="center"/>
          </w:tcPr>
          <w:p w:rsidR="00CE1CFD" w:rsidRPr="00F94A69" w:rsidRDefault="00CE1CFD" w:rsidP="002828C8">
            <w:pPr>
              <w:spacing w:line="240" w:lineRule="auto"/>
              <w:jc w:val="left"/>
              <w:rPr>
                <w:rFonts w:eastAsia="Times New Roman" w:cs="Arial"/>
                <w:sz w:val="20"/>
                <w:szCs w:val="20"/>
              </w:rPr>
            </w:pPr>
            <w:r w:rsidRPr="00F94A69">
              <w:rPr>
                <w:rFonts w:eastAsia="Times New Roman" w:cs="Arial"/>
                <w:sz w:val="20"/>
                <w:szCs w:val="20"/>
              </w:rPr>
              <w:t>Engenheira Civil Sênior / Doutora em Engenharia Hidráulica e Saneamento</w:t>
            </w:r>
          </w:p>
          <w:p w:rsidR="00CE1CFD" w:rsidRPr="00F94A69" w:rsidRDefault="00CE1CFD" w:rsidP="002828C8">
            <w:pPr>
              <w:spacing w:line="240" w:lineRule="auto"/>
              <w:jc w:val="left"/>
              <w:rPr>
                <w:rFonts w:eastAsia="Times New Roman" w:cs="Arial"/>
                <w:sz w:val="20"/>
                <w:szCs w:val="20"/>
              </w:rPr>
            </w:pPr>
          </w:p>
        </w:tc>
        <w:tc>
          <w:tcPr>
            <w:tcW w:w="4159" w:type="dxa"/>
            <w:tcBorders>
              <w:top w:val="single" w:sz="8" w:space="0" w:color="4F81BD"/>
            </w:tcBorders>
            <w:shd w:val="clear" w:color="auto" w:fill="auto"/>
            <w:vAlign w:val="center"/>
          </w:tcPr>
          <w:p w:rsidR="00CE1CFD" w:rsidRPr="00F94A69" w:rsidRDefault="00CE1CFD" w:rsidP="002828C8">
            <w:pPr>
              <w:spacing w:line="240" w:lineRule="auto"/>
              <w:jc w:val="left"/>
              <w:rPr>
                <w:rFonts w:eastAsia="Times New Roman" w:cs="Arial"/>
                <w:sz w:val="20"/>
                <w:szCs w:val="20"/>
              </w:rPr>
            </w:pPr>
            <w:r w:rsidRPr="00F94A69">
              <w:rPr>
                <w:rFonts w:eastAsia="Times New Roman" w:cs="Arial"/>
                <w:sz w:val="20"/>
                <w:szCs w:val="20"/>
              </w:rPr>
              <w:t>Coordenação e revisão geral.</w:t>
            </w:r>
          </w:p>
        </w:tc>
      </w:tr>
      <w:tr w:rsidR="00CE1CFD" w:rsidRPr="00F94A69" w:rsidTr="002828C8">
        <w:trPr>
          <w:trHeight w:val="20"/>
          <w:jc w:val="center"/>
        </w:trPr>
        <w:tc>
          <w:tcPr>
            <w:tcW w:w="3452" w:type="dxa"/>
            <w:tcBorders>
              <w:top w:val="single" w:sz="8" w:space="0" w:color="4F81BD"/>
              <w:left w:val="single" w:sz="8" w:space="0" w:color="4F81BD"/>
              <w:bottom w:val="single" w:sz="8" w:space="0" w:color="4F81BD"/>
              <w:right w:val="single" w:sz="8" w:space="0" w:color="4F81BD"/>
            </w:tcBorders>
            <w:shd w:val="clear" w:color="auto" w:fill="auto"/>
            <w:vAlign w:val="center"/>
          </w:tcPr>
          <w:p w:rsidR="00CE1CFD" w:rsidRPr="00F94A69" w:rsidRDefault="00CE1CFD" w:rsidP="002828C8">
            <w:pPr>
              <w:spacing w:line="240" w:lineRule="auto"/>
              <w:jc w:val="left"/>
              <w:rPr>
                <w:rFonts w:eastAsia="Times New Roman" w:cs="Arial"/>
                <w:b/>
                <w:bCs/>
                <w:sz w:val="20"/>
                <w:szCs w:val="20"/>
              </w:rPr>
            </w:pPr>
            <w:r w:rsidRPr="00F94A69">
              <w:rPr>
                <w:rFonts w:eastAsia="Times New Roman" w:cs="Arial"/>
                <w:b/>
                <w:bCs/>
                <w:sz w:val="20"/>
                <w:szCs w:val="20"/>
              </w:rPr>
              <w:t>Iveti Ap. Pavão Macedo da Silva</w:t>
            </w:r>
          </w:p>
        </w:tc>
        <w:tc>
          <w:tcPr>
            <w:tcW w:w="2693" w:type="dxa"/>
            <w:tcBorders>
              <w:top w:val="single" w:sz="8" w:space="0" w:color="4F81BD"/>
              <w:left w:val="single" w:sz="8" w:space="0" w:color="4F81BD"/>
              <w:bottom w:val="single" w:sz="8" w:space="0" w:color="4F81BD"/>
              <w:right w:val="single" w:sz="8" w:space="0" w:color="4F81BD"/>
            </w:tcBorders>
            <w:shd w:val="clear" w:color="auto" w:fill="auto"/>
            <w:vAlign w:val="center"/>
          </w:tcPr>
          <w:p w:rsidR="00CE1CFD" w:rsidRPr="00F94A69" w:rsidRDefault="00CE1CFD" w:rsidP="002828C8">
            <w:pPr>
              <w:spacing w:line="240" w:lineRule="auto"/>
              <w:jc w:val="left"/>
              <w:rPr>
                <w:rFonts w:eastAsia="Times New Roman" w:cs="Arial"/>
                <w:sz w:val="20"/>
                <w:szCs w:val="20"/>
              </w:rPr>
            </w:pPr>
            <w:r w:rsidRPr="00F94A69">
              <w:rPr>
                <w:rFonts w:eastAsia="Times New Roman" w:cs="Arial"/>
                <w:sz w:val="20"/>
                <w:szCs w:val="20"/>
              </w:rPr>
              <w:t>Engenheira Civil Sênior / Especialista em projetos de saneamento</w:t>
            </w:r>
          </w:p>
        </w:tc>
        <w:tc>
          <w:tcPr>
            <w:tcW w:w="4159" w:type="dxa"/>
            <w:tcBorders>
              <w:top w:val="single" w:sz="8" w:space="0" w:color="4F81BD"/>
              <w:left w:val="single" w:sz="8" w:space="0" w:color="4F81BD"/>
              <w:bottom w:val="single" w:sz="8" w:space="0" w:color="4F81BD"/>
              <w:right w:val="single" w:sz="8" w:space="0" w:color="4F81BD"/>
            </w:tcBorders>
            <w:shd w:val="clear" w:color="auto" w:fill="auto"/>
            <w:vAlign w:val="center"/>
          </w:tcPr>
          <w:p w:rsidR="00CE1CFD" w:rsidRPr="00F94A69" w:rsidRDefault="00CE1CFD" w:rsidP="002828C8">
            <w:pPr>
              <w:spacing w:line="240" w:lineRule="auto"/>
              <w:jc w:val="left"/>
              <w:rPr>
                <w:rFonts w:eastAsia="Times New Roman" w:cs="Arial"/>
                <w:sz w:val="20"/>
                <w:szCs w:val="20"/>
              </w:rPr>
            </w:pPr>
            <w:r w:rsidRPr="00F94A69">
              <w:rPr>
                <w:rFonts w:eastAsia="Times New Roman" w:cs="Arial"/>
                <w:sz w:val="20"/>
                <w:szCs w:val="20"/>
              </w:rPr>
              <w:t>Responsável pelos setores de abastecimento de água; esgotamento sanitário; drenagem urbana e manejo de águas pluviais; limpeza urbana e manejo de resíduos sólidos.</w:t>
            </w:r>
          </w:p>
          <w:p w:rsidR="00CE1CFD" w:rsidRPr="00F94A69" w:rsidRDefault="00CE1CFD" w:rsidP="002828C8">
            <w:pPr>
              <w:spacing w:line="240" w:lineRule="auto"/>
              <w:jc w:val="left"/>
              <w:rPr>
                <w:rFonts w:eastAsia="Times New Roman" w:cs="Arial"/>
                <w:sz w:val="20"/>
                <w:szCs w:val="20"/>
              </w:rPr>
            </w:pPr>
          </w:p>
        </w:tc>
      </w:tr>
      <w:tr w:rsidR="00CE1CFD" w:rsidRPr="00F94A69" w:rsidTr="002828C8">
        <w:trPr>
          <w:trHeight w:val="20"/>
          <w:jc w:val="center"/>
        </w:trPr>
        <w:tc>
          <w:tcPr>
            <w:tcW w:w="3452" w:type="dxa"/>
            <w:shd w:val="clear" w:color="auto" w:fill="auto"/>
            <w:vAlign w:val="center"/>
          </w:tcPr>
          <w:p w:rsidR="00CE1CFD" w:rsidRPr="00F94A69" w:rsidRDefault="00CE1CFD" w:rsidP="002828C8">
            <w:pPr>
              <w:spacing w:line="240" w:lineRule="auto"/>
              <w:jc w:val="left"/>
              <w:rPr>
                <w:rFonts w:eastAsia="Times New Roman" w:cs="Arial"/>
                <w:b/>
                <w:bCs/>
                <w:sz w:val="20"/>
                <w:szCs w:val="20"/>
              </w:rPr>
            </w:pPr>
            <w:r w:rsidRPr="00F94A69">
              <w:rPr>
                <w:rFonts w:eastAsia="Times New Roman" w:cs="Arial"/>
                <w:b/>
                <w:bCs/>
                <w:sz w:val="20"/>
                <w:szCs w:val="20"/>
              </w:rPr>
              <w:t>Larissa Nogueira Olmo Margarido</w:t>
            </w:r>
          </w:p>
        </w:tc>
        <w:tc>
          <w:tcPr>
            <w:tcW w:w="2693" w:type="dxa"/>
            <w:shd w:val="clear" w:color="auto" w:fill="auto"/>
            <w:vAlign w:val="center"/>
          </w:tcPr>
          <w:p w:rsidR="00CE1CFD" w:rsidRPr="00F94A69" w:rsidRDefault="00CE1CFD" w:rsidP="002828C8">
            <w:pPr>
              <w:spacing w:line="240" w:lineRule="auto"/>
              <w:jc w:val="left"/>
              <w:rPr>
                <w:rFonts w:eastAsia="Times New Roman" w:cs="Arial"/>
                <w:sz w:val="20"/>
                <w:szCs w:val="20"/>
              </w:rPr>
            </w:pPr>
            <w:r w:rsidRPr="00F94A69">
              <w:rPr>
                <w:rFonts w:eastAsia="Times New Roman" w:cs="Arial"/>
                <w:sz w:val="20"/>
                <w:szCs w:val="20"/>
              </w:rPr>
              <w:t>Engenheira Civil Sênior / Mestre em Engenharia Hidráulica e Saneamento</w:t>
            </w:r>
          </w:p>
        </w:tc>
        <w:tc>
          <w:tcPr>
            <w:tcW w:w="4159" w:type="dxa"/>
            <w:shd w:val="clear" w:color="auto" w:fill="auto"/>
            <w:vAlign w:val="center"/>
          </w:tcPr>
          <w:p w:rsidR="00CE1CFD" w:rsidRPr="00F94A69" w:rsidRDefault="00CE1CFD" w:rsidP="002828C8">
            <w:pPr>
              <w:spacing w:line="240" w:lineRule="auto"/>
              <w:jc w:val="left"/>
              <w:rPr>
                <w:rFonts w:eastAsia="Times New Roman" w:cs="Arial"/>
                <w:sz w:val="20"/>
                <w:szCs w:val="20"/>
              </w:rPr>
            </w:pPr>
            <w:r w:rsidRPr="00F94A69">
              <w:rPr>
                <w:rFonts w:eastAsia="Times New Roman" w:cs="Arial"/>
                <w:sz w:val="20"/>
                <w:szCs w:val="20"/>
              </w:rPr>
              <w:t>Responsável pelos setores de abastecimento de água; esgotamento sanitário; drenagem urbana e manejo de águas pluviais; limpeza urbana e manejo de resíduos sólidos. Responsável pelos estudos populacionais.</w:t>
            </w:r>
          </w:p>
          <w:p w:rsidR="00CE1CFD" w:rsidRPr="00F94A69" w:rsidRDefault="00CE1CFD" w:rsidP="002828C8">
            <w:pPr>
              <w:spacing w:line="240" w:lineRule="auto"/>
              <w:jc w:val="left"/>
              <w:rPr>
                <w:rFonts w:eastAsia="Times New Roman" w:cs="Arial"/>
                <w:sz w:val="20"/>
                <w:szCs w:val="20"/>
              </w:rPr>
            </w:pPr>
          </w:p>
        </w:tc>
      </w:tr>
      <w:tr w:rsidR="00CE1CFD" w:rsidRPr="00F94A69" w:rsidTr="002828C8">
        <w:trPr>
          <w:trHeight w:val="20"/>
          <w:jc w:val="center"/>
        </w:trPr>
        <w:tc>
          <w:tcPr>
            <w:tcW w:w="3452" w:type="dxa"/>
            <w:tcBorders>
              <w:top w:val="single" w:sz="8" w:space="0" w:color="4F81BD"/>
              <w:left w:val="single" w:sz="8" w:space="0" w:color="4F81BD"/>
              <w:bottom w:val="single" w:sz="8" w:space="0" w:color="4F81BD"/>
              <w:right w:val="single" w:sz="8" w:space="0" w:color="4F81BD"/>
            </w:tcBorders>
            <w:shd w:val="clear" w:color="auto" w:fill="auto"/>
            <w:vAlign w:val="center"/>
            <w:hideMark/>
          </w:tcPr>
          <w:p w:rsidR="00CE1CFD" w:rsidRPr="00F94A69" w:rsidRDefault="00CE1CFD" w:rsidP="002828C8">
            <w:pPr>
              <w:spacing w:line="240" w:lineRule="auto"/>
              <w:jc w:val="left"/>
              <w:rPr>
                <w:rFonts w:eastAsia="Times New Roman" w:cs="Arial"/>
                <w:b/>
                <w:bCs/>
                <w:sz w:val="20"/>
                <w:szCs w:val="20"/>
              </w:rPr>
            </w:pPr>
            <w:r w:rsidRPr="00F94A69">
              <w:rPr>
                <w:rFonts w:eastAsia="Times New Roman" w:cs="Arial"/>
                <w:b/>
                <w:bCs/>
                <w:sz w:val="20"/>
                <w:szCs w:val="20"/>
              </w:rPr>
              <w:t>Swami Marcondes Villela</w:t>
            </w:r>
          </w:p>
        </w:tc>
        <w:tc>
          <w:tcPr>
            <w:tcW w:w="2693" w:type="dxa"/>
            <w:tcBorders>
              <w:top w:val="single" w:sz="8" w:space="0" w:color="4F81BD"/>
              <w:left w:val="single" w:sz="8" w:space="0" w:color="4F81BD"/>
              <w:bottom w:val="single" w:sz="8" w:space="0" w:color="4F81BD"/>
              <w:right w:val="single" w:sz="8" w:space="0" w:color="4F81BD"/>
            </w:tcBorders>
            <w:shd w:val="clear" w:color="auto" w:fill="auto"/>
            <w:vAlign w:val="center"/>
            <w:hideMark/>
          </w:tcPr>
          <w:p w:rsidR="00CE1CFD" w:rsidRPr="00F94A69" w:rsidRDefault="00CE1CFD" w:rsidP="002828C8">
            <w:pPr>
              <w:spacing w:line="240" w:lineRule="auto"/>
              <w:jc w:val="left"/>
              <w:rPr>
                <w:rFonts w:eastAsia="Times New Roman" w:cs="Arial"/>
                <w:sz w:val="20"/>
                <w:szCs w:val="20"/>
              </w:rPr>
            </w:pPr>
            <w:r w:rsidRPr="00F94A69">
              <w:rPr>
                <w:rFonts w:eastAsia="Times New Roman" w:cs="Arial"/>
                <w:sz w:val="20"/>
                <w:szCs w:val="20"/>
              </w:rPr>
              <w:t>Engenheiro Civil Sênior / Livre-docente da Universidade de São Paulo</w:t>
            </w:r>
          </w:p>
        </w:tc>
        <w:tc>
          <w:tcPr>
            <w:tcW w:w="4159" w:type="dxa"/>
            <w:tcBorders>
              <w:top w:val="single" w:sz="8" w:space="0" w:color="4F81BD"/>
              <w:left w:val="single" w:sz="8" w:space="0" w:color="4F81BD"/>
              <w:bottom w:val="single" w:sz="8" w:space="0" w:color="4F81BD"/>
              <w:right w:val="single" w:sz="8" w:space="0" w:color="4F81BD"/>
            </w:tcBorders>
            <w:shd w:val="clear" w:color="auto" w:fill="auto"/>
            <w:vAlign w:val="center"/>
          </w:tcPr>
          <w:p w:rsidR="00CE1CFD" w:rsidRPr="00F94A69" w:rsidRDefault="00CE1CFD" w:rsidP="002828C8">
            <w:pPr>
              <w:spacing w:line="240" w:lineRule="auto"/>
              <w:jc w:val="left"/>
              <w:rPr>
                <w:rFonts w:eastAsia="Times New Roman" w:cs="Arial"/>
                <w:sz w:val="20"/>
                <w:szCs w:val="20"/>
              </w:rPr>
            </w:pPr>
            <w:r w:rsidRPr="00F94A69">
              <w:rPr>
                <w:rFonts w:eastAsia="Times New Roman" w:cs="Arial"/>
                <w:sz w:val="20"/>
                <w:szCs w:val="20"/>
              </w:rPr>
              <w:t>Responsável pelos setores de abastecimento de água; esgotamento sanitário; drenagem urbana e manejo de águas pluviais; limpeza urbana e manejo de resíduos sólidos.</w:t>
            </w:r>
          </w:p>
          <w:p w:rsidR="00CE1CFD" w:rsidRPr="00F94A69" w:rsidRDefault="00CE1CFD" w:rsidP="002828C8">
            <w:pPr>
              <w:spacing w:line="240" w:lineRule="auto"/>
              <w:jc w:val="left"/>
              <w:rPr>
                <w:rFonts w:eastAsia="Times New Roman" w:cs="Arial"/>
                <w:sz w:val="20"/>
                <w:szCs w:val="20"/>
              </w:rPr>
            </w:pPr>
          </w:p>
        </w:tc>
      </w:tr>
      <w:tr w:rsidR="00CE1CFD" w:rsidRPr="00F94A69" w:rsidTr="002828C8">
        <w:trPr>
          <w:trHeight w:val="20"/>
          <w:jc w:val="center"/>
        </w:trPr>
        <w:tc>
          <w:tcPr>
            <w:tcW w:w="3452" w:type="dxa"/>
            <w:shd w:val="clear" w:color="auto" w:fill="auto"/>
            <w:vAlign w:val="center"/>
          </w:tcPr>
          <w:p w:rsidR="00CE1CFD" w:rsidRPr="00F94A69" w:rsidRDefault="00CE1CFD" w:rsidP="002828C8">
            <w:pPr>
              <w:spacing w:line="240" w:lineRule="auto"/>
              <w:jc w:val="left"/>
              <w:rPr>
                <w:rFonts w:eastAsia="Times New Roman" w:cs="Arial"/>
                <w:b/>
                <w:bCs/>
                <w:sz w:val="20"/>
                <w:szCs w:val="20"/>
              </w:rPr>
            </w:pPr>
            <w:r w:rsidRPr="00F94A69">
              <w:rPr>
                <w:rFonts w:eastAsia="Times New Roman" w:cs="Arial"/>
                <w:b/>
                <w:bCs/>
                <w:sz w:val="20"/>
                <w:szCs w:val="20"/>
              </w:rPr>
              <w:t>Ana Carolina do Prado Whitaker Medeiros</w:t>
            </w:r>
          </w:p>
        </w:tc>
        <w:tc>
          <w:tcPr>
            <w:tcW w:w="2693" w:type="dxa"/>
            <w:shd w:val="clear" w:color="auto" w:fill="auto"/>
            <w:vAlign w:val="center"/>
          </w:tcPr>
          <w:p w:rsidR="00CE1CFD" w:rsidRPr="00F94A69" w:rsidRDefault="00CE1CFD" w:rsidP="002828C8">
            <w:pPr>
              <w:spacing w:line="240" w:lineRule="auto"/>
              <w:jc w:val="left"/>
              <w:rPr>
                <w:rFonts w:eastAsia="Times New Roman" w:cs="Arial"/>
                <w:sz w:val="20"/>
                <w:szCs w:val="20"/>
              </w:rPr>
            </w:pPr>
            <w:r w:rsidRPr="00F94A69">
              <w:rPr>
                <w:rFonts w:eastAsia="Times New Roman" w:cs="Arial"/>
                <w:sz w:val="20"/>
                <w:szCs w:val="20"/>
              </w:rPr>
              <w:t>Bacharel em Comunicação Social – Jornalismo / Pós-graduada em Gestão Ambiental</w:t>
            </w:r>
          </w:p>
        </w:tc>
        <w:tc>
          <w:tcPr>
            <w:tcW w:w="4159" w:type="dxa"/>
            <w:shd w:val="clear" w:color="auto" w:fill="auto"/>
            <w:vAlign w:val="center"/>
          </w:tcPr>
          <w:p w:rsidR="00CE1CFD" w:rsidRPr="00F94A69" w:rsidRDefault="00CE1CFD" w:rsidP="002828C8">
            <w:pPr>
              <w:spacing w:line="240" w:lineRule="auto"/>
              <w:jc w:val="left"/>
              <w:rPr>
                <w:rFonts w:eastAsia="Times New Roman" w:cs="Arial"/>
                <w:sz w:val="20"/>
                <w:szCs w:val="20"/>
              </w:rPr>
            </w:pPr>
            <w:r w:rsidRPr="00F94A69">
              <w:rPr>
                <w:rFonts w:eastAsia="Times New Roman" w:cs="Arial"/>
                <w:sz w:val="20"/>
                <w:szCs w:val="20"/>
              </w:rPr>
              <w:t>Responsável pelo Plano de Comunicação e Mobilização Social.</w:t>
            </w:r>
          </w:p>
          <w:p w:rsidR="00CE1CFD" w:rsidRPr="00F94A69" w:rsidRDefault="00CE1CFD" w:rsidP="002828C8">
            <w:pPr>
              <w:spacing w:line="240" w:lineRule="auto"/>
              <w:jc w:val="left"/>
              <w:rPr>
                <w:rFonts w:eastAsia="Times New Roman" w:cs="Arial"/>
                <w:sz w:val="20"/>
                <w:szCs w:val="20"/>
              </w:rPr>
            </w:pPr>
          </w:p>
          <w:p w:rsidR="00CE1CFD" w:rsidRPr="00F94A69" w:rsidRDefault="00CE1CFD" w:rsidP="002828C8">
            <w:pPr>
              <w:spacing w:line="240" w:lineRule="auto"/>
              <w:jc w:val="left"/>
              <w:rPr>
                <w:rFonts w:eastAsia="Times New Roman" w:cs="Arial"/>
                <w:sz w:val="20"/>
                <w:szCs w:val="20"/>
              </w:rPr>
            </w:pPr>
          </w:p>
        </w:tc>
      </w:tr>
      <w:tr w:rsidR="00CE1CFD" w:rsidRPr="00F94A69" w:rsidTr="002828C8">
        <w:trPr>
          <w:trHeight w:val="20"/>
          <w:jc w:val="center"/>
        </w:trPr>
        <w:tc>
          <w:tcPr>
            <w:tcW w:w="3452" w:type="dxa"/>
            <w:tcBorders>
              <w:top w:val="single" w:sz="8" w:space="0" w:color="4F81BD"/>
              <w:left w:val="single" w:sz="8" w:space="0" w:color="4F81BD"/>
              <w:bottom w:val="single" w:sz="8" w:space="0" w:color="4F81BD"/>
              <w:right w:val="single" w:sz="8" w:space="0" w:color="4F81BD"/>
            </w:tcBorders>
            <w:shd w:val="clear" w:color="auto" w:fill="auto"/>
            <w:vAlign w:val="center"/>
          </w:tcPr>
          <w:p w:rsidR="00CE1CFD" w:rsidRPr="00F94A69" w:rsidRDefault="00CE1CFD" w:rsidP="002828C8">
            <w:pPr>
              <w:spacing w:line="240" w:lineRule="auto"/>
              <w:jc w:val="left"/>
              <w:rPr>
                <w:rFonts w:eastAsia="Times New Roman" w:cs="Arial"/>
                <w:b/>
                <w:bCs/>
                <w:sz w:val="20"/>
                <w:szCs w:val="20"/>
              </w:rPr>
            </w:pPr>
            <w:r w:rsidRPr="00F94A69">
              <w:rPr>
                <w:rFonts w:eastAsia="Times New Roman" w:cs="Arial"/>
                <w:b/>
                <w:bCs/>
                <w:sz w:val="20"/>
                <w:szCs w:val="20"/>
              </w:rPr>
              <w:t>Paula Roberta Velho</w:t>
            </w:r>
          </w:p>
        </w:tc>
        <w:tc>
          <w:tcPr>
            <w:tcW w:w="2693" w:type="dxa"/>
            <w:tcBorders>
              <w:top w:val="single" w:sz="8" w:space="0" w:color="4F81BD"/>
              <w:left w:val="single" w:sz="8" w:space="0" w:color="4F81BD"/>
              <w:bottom w:val="single" w:sz="8" w:space="0" w:color="4F81BD"/>
              <w:right w:val="single" w:sz="8" w:space="0" w:color="4F81BD"/>
            </w:tcBorders>
            <w:shd w:val="clear" w:color="auto" w:fill="auto"/>
            <w:vAlign w:val="center"/>
          </w:tcPr>
          <w:p w:rsidR="00CE1CFD" w:rsidRPr="00F94A69" w:rsidRDefault="00CE1CFD" w:rsidP="002828C8">
            <w:pPr>
              <w:spacing w:line="240" w:lineRule="auto"/>
              <w:jc w:val="left"/>
              <w:rPr>
                <w:rFonts w:eastAsia="Times New Roman" w:cs="Arial"/>
                <w:sz w:val="20"/>
                <w:szCs w:val="20"/>
              </w:rPr>
            </w:pPr>
            <w:r w:rsidRPr="00F94A69">
              <w:rPr>
                <w:rFonts w:eastAsia="Times New Roman" w:cs="Arial"/>
                <w:sz w:val="20"/>
                <w:szCs w:val="20"/>
              </w:rPr>
              <w:t>Bacharel em Economia / Mestre em Relações Internacionais pela Universidade de Londres</w:t>
            </w:r>
          </w:p>
        </w:tc>
        <w:tc>
          <w:tcPr>
            <w:tcW w:w="4159" w:type="dxa"/>
            <w:tcBorders>
              <w:top w:val="single" w:sz="8" w:space="0" w:color="4F81BD"/>
              <w:left w:val="single" w:sz="8" w:space="0" w:color="4F81BD"/>
              <w:bottom w:val="single" w:sz="8" w:space="0" w:color="4F81BD"/>
              <w:right w:val="single" w:sz="8" w:space="0" w:color="4F81BD"/>
            </w:tcBorders>
            <w:shd w:val="clear" w:color="auto" w:fill="auto"/>
            <w:vAlign w:val="center"/>
          </w:tcPr>
          <w:p w:rsidR="00CE1CFD" w:rsidRPr="00F94A69" w:rsidRDefault="00CE1CFD" w:rsidP="002828C8">
            <w:pPr>
              <w:spacing w:line="240" w:lineRule="auto"/>
              <w:jc w:val="left"/>
              <w:rPr>
                <w:rFonts w:eastAsia="Times New Roman" w:cs="Arial"/>
                <w:sz w:val="20"/>
                <w:szCs w:val="20"/>
              </w:rPr>
            </w:pPr>
            <w:r w:rsidRPr="00F94A69">
              <w:rPr>
                <w:rFonts w:eastAsia="Times New Roman" w:cs="Arial"/>
                <w:sz w:val="20"/>
                <w:szCs w:val="20"/>
              </w:rPr>
              <w:t>Responsável pelos trabalhos na área de Economia.</w:t>
            </w:r>
          </w:p>
          <w:p w:rsidR="00CE1CFD" w:rsidRPr="00F94A69" w:rsidRDefault="00CE1CFD" w:rsidP="002828C8">
            <w:pPr>
              <w:spacing w:line="240" w:lineRule="auto"/>
              <w:jc w:val="left"/>
              <w:rPr>
                <w:rFonts w:eastAsia="Times New Roman" w:cs="Arial"/>
                <w:sz w:val="20"/>
                <w:szCs w:val="20"/>
              </w:rPr>
            </w:pPr>
          </w:p>
          <w:p w:rsidR="00CE1CFD" w:rsidRPr="00F94A69" w:rsidRDefault="00CE1CFD" w:rsidP="002828C8">
            <w:pPr>
              <w:spacing w:line="240" w:lineRule="auto"/>
              <w:jc w:val="left"/>
              <w:rPr>
                <w:rFonts w:eastAsia="Times New Roman" w:cs="Arial"/>
                <w:sz w:val="20"/>
                <w:szCs w:val="20"/>
              </w:rPr>
            </w:pPr>
          </w:p>
        </w:tc>
      </w:tr>
      <w:tr w:rsidR="00CE1CFD" w:rsidRPr="00F94A69" w:rsidTr="002828C8">
        <w:trPr>
          <w:trHeight w:val="20"/>
          <w:jc w:val="center"/>
        </w:trPr>
        <w:tc>
          <w:tcPr>
            <w:tcW w:w="3452" w:type="dxa"/>
            <w:shd w:val="clear" w:color="auto" w:fill="auto"/>
            <w:vAlign w:val="center"/>
          </w:tcPr>
          <w:p w:rsidR="00CE1CFD" w:rsidRPr="00F94A69" w:rsidRDefault="00CE1CFD" w:rsidP="002828C8">
            <w:pPr>
              <w:spacing w:line="240" w:lineRule="auto"/>
              <w:jc w:val="left"/>
              <w:rPr>
                <w:rFonts w:eastAsia="Times New Roman" w:cs="Arial"/>
                <w:b/>
                <w:bCs/>
                <w:sz w:val="20"/>
                <w:szCs w:val="20"/>
              </w:rPr>
            </w:pPr>
            <w:r w:rsidRPr="00F94A69">
              <w:rPr>
                <w:rFonts w:eastAsia="Times New Roman" w:cs="Arial"/>
                <w:b/>
                <w:bCs/>
                <w:sz w:val="20"/>
                <w:szCs w:val="20"/>
              </w:rPr>
              <w:t>Isabel Cristina Inocente Pavão</w:t>
            </w:r>
          </w:p>
        </w:tc>
        <w:tc>
          <w:tcPr>
            <w:tcW w:w="2693" w:type="dxa"/>
            <w:shd w:val="clear" w:color="auto" w:fill="auto"/>
            <w:vAlign w:val="center"/>
          </w:tcPr>
          <w:p w:rsidR="00CE1CFD" w:rsidRPr="00F94A69" w:rsidRDefault="00CE1CFD" w:rsidP="002828C8">
            <w:pPr>
              <w:spacing w:line="240" w:lineRule="auto"/>
              <w:jc w:val="left"/>
              <w:rPr>
                <w:rFonts w:eastAsia="Times New Roman" w:cs="Arial"/>
                <w:sz w:val="20"/>
                <w:szCs w:val="20"/>
              </w:rPr>
            </w:pPr>
            <w:r w:rsidRPr="00F94A69">
              <w:rPr>
                <w:rFonts w:eastAsia="Times New Roman" w:cs="Arial"/>
                <w:sz w:val="20"/>
                <w:szCs w:val="20"/>
              </w:rPr>
              <w:t>Advogada</w:t>
            </w:r>
          </w:p>
        </w:tc>
        <w:tc>
          <w:tcPr>
            <w:tcW w:w="4159" w:type="dxa"/>
            <w:shd w:val="clear" w:color="auto" w:fill="auto"/>
            <w:vAlign w:val="center"/>
          </w:tcPr>
          <w:p w:rsidR="00CE1CFD" w:rsidRPr="00F94A69" w:rsidRDefault="00CE1CFD" w:rsidP="002828C8">
            <w:pPr>
              <w:spacing w:line="240" w:lineRule="auto"/>
              <w:jc w:val="left"/>
              <w:rPr>
                <w:rFonts w:eastAsia="Times New Roman" w:cs="Arial"/>
                <w:sz w:val="20"/>
                <w:szCs w:val="20"/>
              </w:rPr>
            </w:pPr>
            <w:r w:rsidRPr="00F94A69">
              <w:rPr>
                <w:rFonts w:eastAsia="Times New Roman" w:cs="Arial"/>
                <w:sz w:val="20"/>
                <w:szCs w:val="20"/>
              </w:rPr>
              <w:t>Responsável pelos trabalhos na área jurídica.</w:t>
            </w:r>
          </w:p>
          <w:p w:rsidR="00CE1CFD" w:rsidRPr="00F94A69" w:rsidRDefault="00CE1CFD" w:rsidP="002828C8">
            <w:pPr>
              <w:spacing w:line="240" w:lineRule="auto"/>
              <w:jc w:val="left"/>
              <w:rPr>
                <w:rFonts w:eastAsia="Times New Roman" w:cs="Arial"/>
                <w:sz w:val="20"/>
                <w:szCs w:val="20"/>
              </w:rPr>
            </w:pPr>
          </w:p>
        </w:tc>
      </w:tr>
    </w:tbl>
    <w:p w:rsidR="00CE1CFD" w:rsidRPr="00F94A69" w:rsidRDefault="00CE1CFD" w:rsidP="00CE1CFD">
      <w:pPr>
        <w:jc w:val="left"/>
      </w:pPr>
    </w:p>
    <w:tbl>
      <w:tblPr>
        <w:tblW w:w="10304" w:type="dxa"/>
        <w:jc w:val="center"/>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ook w:val="04A0" w:firstRow="1" w:lastRow="0" w:firstColumn="1" w:lastColumn="0" w:noHBand="0" w:noVBand="1"/>
      </w:tblPr>
      <w:tblGrid>
        <w:gridCol w:w="3452"/>
        <w:gridCol w:w="2693"/>
        <w:gridCol w:w="4159"/>
      </w:tblGrid>
      <w:tr w:rsidR="00CE1CFD" w:rsidRPr="00F94A69" w:rsidTr="002828C8">
        <w:trPr>
          <w:trHeight w:val="20"/>
          <w:tblHeader/>
          <w:jc w:val="center"/>
        </w:trPr>
        <w:tc>
          <w:tcPr>
            <w:tcW w:w="10304" w:type="dxa"/>
            <w:gridSpan w:val="3"/>
            <w:tcBorders>
              <w:top w:val="single" w:sz="8" w:space="0" w:color="4F81BD"/>
              <w:left w:val="single" w:sz="8" w:space="0" w:color="4F81BD"/>
              <w:bottom w:val="single" w:sz="8" w:space="0" w:color="4F81BD"/>
              <w:right w:val="single" w:sz="8" w:space="0" w:color="4F81BD"/>
            </w:tcBorders>
            <w:shd w:val="clear" w:color="auto" w:fill="auto"/>
            <w:vAlign w:val="center"/>
          </w:tcPr>
          <w:p w:rsidR="00CE1CFD" w:rsidRPr="00F94A69" w:rsidRDefault="00CE1CFD" w:rsidP="002828C8">
            <w:pPr>
              <w:spacing w:line="240" w:lineRule="auto"/>
              <w:jc w:val="center"/>
              <w:rPr>
                <w:rFonts w:eastAsia="Times New Roman" w:cs="Arial"/>
                <w:b/>
                <w:bCs/>
                <w:sz w:val="20"/>
                <w:szCs w:val="20"/>
              </w:rPr>
            </w:pPr>
            <w:r w:rsidRPr="00F94A69">
              <w:lastRenderedPageBreak/>
              <w:br w:type="page"/>
            </w:r>
            <w:r w:rsidRPr="00F94A69">
              <w:rPr>
                <w:rFonts w:eastAsia="Times New Roman" w:cs="Arial"/>
                <w:b/>
                <w:bCs/>
                <w:sz w:val="20"/>
                <w:szCs w:val="20"/>
              </w:rPr>
              <w:t>EQUIPE COMPLEMENTAR</w:t>
            </w:r>
          </w:p>
        </w:tc>
      </w:tr>
      <w:tr w:rsidR="00CE1CFD" w:rsidRPr="00F94A69" w:rsidTr="002828C8">
        <w:trPr>
          <w:trHeight w:val="20"/>
          <w:tblHeader/>
          <w:jc w:val="center"/>
        </w:trPr>
        <w:tc>
          <w:tcPr>
            <w:tcW w:w="3452" w:type="dxa"/>
            <w:shd w:val="clear" w:color="auto" w:fill="auto"/>
            <w:vAlign w:val="center"/>
            <w:hideMark/>
          </w:tcPr>
          <w:p w:rsidR="00CE1CFD" w:rsidRPr="00F94A69" w:rsidRDefault="00CE1CFD" w:rsidP="002828C8">
            <w:pPr>
              <w:spacing w:line="240" w:lineRule="auto"/>
              <w:jc w:val="center"/>
              <w:rPr>
                <w:rFonts w:eastAsia="Times New Roman" w:cs="Arial"/>
                <w:b/>
                <w:bCs/>
                <w:sz w:val="20"/>
                <w:szCs w:val="20"/>
              </w:rPr>
            </w:pPr>
            <w:r w:rsidRPr="00F94A69">
              <w:rPr>
                <w:rFonts w:eastAsia="Times New Roman" w:cs="Arial"/>
                <w:b/>
                <w:bCs/>
                <w:sz w:val="20"/>
                <w:szCs w:val="20"/>
              </w:rPr>
              <w:t>PROFISSIONAL</w:t>
            </w:r>
          </w:p>
        </w:tc>
        <w:tc>
          <w:tcPr>
            <w:tcW w:w="2693" w:type="dxa"/>
            <w:shd w:val="clear" w:color="auto" w:fill="auto"/>
            <w:vAlign w:val="center"/>
            <w:hideMark/>
          </w:tcPr>
          <w:p w:rsidR="00CE1CFD" w:rsidRPr="00F94A69" w:rsidRDefault="00CE1CFD" w:rsidP="002828C8">
            <w:pPr>
              <w:spacing w:line="240" w:lineRule="auto"/>
              <w:jc w:val="center"/>
              <w:rPr>
                <w:rFonts w:eastAsia="Times New Roman" w:cs="Arial"/>
                <w:b/>
                <w:bCs/>
                <w:sz w:val="20"/>
                <w:szCs w:val="20"/>
              </w:rPr>
            </w:pPr>
            <w:r w:rsidRPr="00F94A69">
              <w:rPr>
                <w:rFonts w:eastAsia="Times New Roman" w:cs="Arial"/>
                <w:b/>
                <w:bCs/>
                <w:sz w:val="20"/>
                <w:szCs w:val="20"/>
              </w:rPr>
              <w:t>FORMAÇÃO</w:t>
            </w:r>
          </w:p>
        </w:tc>
        <w:tc>
          <w:tcPr>
            <w:tcW w:w="4159" w:type="dxa"/>
            <w:shd w:val="clear" w:color="auto" w:fill="auto"/>
            <w:vAlign w:val="center"/>
            <w:hideMark/>
          </w:tcPr>
          <w:p w:rsidR="00CE1CFD" w:rsidRPr="00F94A69" w:rsidRDefault="00CE1CFD" w:rsidP="002828C8">
            <w:pPr>
              <w:spacing w:line="240" w:lineRule="auto"/>
              <w:jc w:val="center"/>
              <w:rPr>
                <w:rFonts w:eastAsia="Times New Roman" w:cs="Arial"/>
                <w:b/>
                <w:bCs/>
                <w:sz w:val="20"/>
                <w:szCs w:val="20"/>
              </w:rPr>
            </w:pPr>
            <w:r w:rsidRPr="00F94A69">
              <w:rPr>
                <w:rFonts w:eastAsia="Times New Roman" w:cs="Arial"/>
                <w:b/>
                <w:bCs/>
                <w:sz w:val="20"/>
                <w:szCs w:val="20"/>
              </w:rPr>
              <w:t>FUNÇÕES PRINCIPAIS</w:t>
            </w:r>
          </w:p>
        </w:tc>
      </w:tr>
      <w:tr w:rsidR="00CE1CFD" w:rsidRPr="00F94A69" w:rsidTr="002828C8">
        <w:trPr>
          <w:trHeight w:val="20"/>
          <w:jc w:val="center"/>
        </w:trPr>
        <w:tc>
          <w:tcPr>
            <w:tcW w:w="3452" w:type="dxa"/>
            <w:tcBorders>
              <w:top w:val="single" w:sz="8" w:space="0" w:color="4F81BD"/>
              <w:left w:val="single" w:sz="8" w:space="0" w:color="4F81BD"/>
              <w:bottom w:val="single" w:sz="8" w:space="0" w:color="4F81BD"/>
              <w:right w:val="single" w:sz="8" w:space="0" w:color="4F81BD"/>
            </w:tcBorders>
            <w:shd w:val="clear" w:color="auto" w:fill="auto"/>
            <w:vAlign w:val="center"/>
          </w:tcPr>
          <w:p w:rsidR="00CE1CFD" w:rsidRPr="00F94A69" w:rsidRDefault="00CE1CFD" w:rsidP="002828C8">
            <w:pPr>
              <w:spacing w:line="240" w:lineRule="auto"/>
              <w:jc w:val="left"/>
              <w:rPr>
                <w:rFonts w:eastAsia="Times New Roman" w:cs="Arial"/>
                <w:b/>
                <w:bCs/>
                <w:sz w:val="20"/>
                <w:szCs w:val="20"/>
              </w:rPr>
            </w:pPr>
            <w:r w:rsidRPr="00F94A69">
              <w:rPr>
                <w:rFonts w:eastAsia="Times New Roman" w:cs="Arial"/>
                <w:b/>
                <w:bCs/>
                <w:sz w:val="20"/>
                <w:szCs w:val="20"/>
              </w:rPr>
              <w:t>Sheila Holmo Villela</w:t>
            </w:r>
          </w:p>
        </w:tc>
        <w:tc>
          <w:tcPr>
            <w:tcW w:w="2693" w:type="dxa"/>
            <w:tcBorders>
              <w:top w:val="single" w:sz="8" w:space="0" w:color="4F81BD"/>
              <w:left w:val="single" w:sz="8" w:space="0" w:color="4F81BD"/>
              <w:bottom w:val="single" w:sz="8" w:space="0" w:color="4F81BD"/>
              <w:right w:val="single" w:sz="8" w:space="0" w:color="4F81BD"/>
            </w:tcBorders>
            <w:shd w:val="clear" w:color="auto" w:fill="auto"/>
            <w:vAlign w:val="center"/>
          </w:tcPr>
          <w:p w:rsidR="00CE1CFD" w:rsidRPr="00F94A69" w:rsidRDefault="00CE1CFD" w:rsidP="002828C8">
            <w:pPr>
              <w:spacing w:line="240" w:lineRule="auto"/>
              <w:jc w:val="left"/>
              <w:rPr>
                <w:rFonts w:eastAsia="Times New Roman" w:cs="Arial"/>
                <w:sz w:val="20"/>
                <w:szCs w:val="20"/>
              </w:rPr>
            </w:pPr>
            <w:r w:rsidRPr="00F94A69">
              <w:rPr>
                <w:rFonts w:eastAsia="Times New Roman" w:cs="Arial"/>
                <w:sz w:val="20"/>
                <w:szCs w:val="20"/>
              </w:rPr>
              <w:t>Bacharel em Psicologia / Mestre e Doutora em Ciências da Engenharia Ambiental</w:t>
            </w:r>
          </w:p>
        </w:tc>
        <w:tc>
          <w:tcPr>
            <w:tcW w:w="4159" w:type="dxa"/>
            <w:tcBorders>
              <w:top w:val="single" w:sz="8" w:space="0" w:color="4F81BD"/>
              <w:left w:val="single" w:sz="8" w:space="0" w:color="4F81BD"/>
              <w:bottom w:val="single" w:sz="8" w:space="0" w:color="4F81BD"/>
              <w:right w:val="single" w:sz="8" w:space="0" w:color="4F81BD"/>
            </w:tcBorders>
            <w:shd w:val="clear" w:color="auto" w:fill="auto"/>
            <w:vAlign w:val="center"/>
          </w:tcPr>
          <w:p w:rsidR="00CE1CFD" w:rsidRPr="00F94A69" w:rsidRDefault="00CE1CFD" w:rsidP="002828C8">
            <w:pPr>
              <w:spacing w:line="240" w:lineRule="auto"/>
              <w:jc w:val="left"/>
              <w:rPr>
                <w:rFonts w:eastAsia="Times New Roman" w:cs="Arial"/>
                <w:sz w:val="20"/>
                <w:szCs w:val="20"/>
              </w:rPr>
            </w:pPr>
            <w:r w:rsidRPr="00F94A69">
              <w:rPr>
                <w:rFonts w:eastAsia="Times New Roman" w:cs="Arial"/>
                <w:sz w:val="20"/>
                <w:szCs w:val="20"/>
              </w:rPr>
              <w:t>Coordenadora operacional dos PMSBs nos quatro setores do saneamento (água, esgoto, drenagem e resíduos sólidos); responsável pela configuração dos eventos públicos (Seminários, Oficinas, Audiências) e pelas equipes de campo.</w:t>
            </w:r>
          </w:p>
        </w:tc>
      </w:tr>
      <w:tr w:rsidR="00CE1CFD" w:rsidRPr="00F94A69" w:rsidTr="002828C8">
        <w:trPr>
          <w:trHeight w:val="20"/>
          <w:jc w:val="center"/>
        </w:trPr>
        <w:tc>
          <w:tcPr>
            <w:tcW w:w="3452" w:type="dxa"/>
            <w:shd w:val="clear" w:color="auto" w:fill="auto"/>
            <w:vAlign w:val="center"/>
          </w:tcPr>
          <w:p w:rsidR="00CE1CFD" w:rsidRPr="00F94A69" w:rsidRDefault="00CE1CFD" w:rsidP="002828C8">
            <w:pPr>
              <w:spacing w:line="240" w:lineRule="auto"/>
              <w:jc w:val="left"/>
              <w:rPr>
                <w:rFonts w:eastAsia="Times New Roman" w:cs="Arial"/>
                <w:b/>
                <w:bCs/>
                <w:sz w:val="20"/>
                <w:szCs w:val="20"/>
              </w:rPr>
            </w:pPr>
            <w:r w:rsidRPr="00F94A69">
              <w:rPr>
                <w:rFonts w:eastAsia="Times New Roman" w:cs="Arial"/>
                <w:b/>
                <w:bCs/>
                <w:sz w:val="20"/>
                <w:szCs w:val="20"/>
              </w:rPr>
              <w:t>João Paulo Freitas Alves Pereira</w:t>
            </w:r>
          </w:p>
        </w:tc>
        <w:tc>
          <w:tcPr>
            <w:tcW w:w="2693" w:type="dxa"/>
            <w:shd w:val="clear" w:color="auto" w:fill="auto"/>
            <w:vAlign w:val="center"/>
          </w:tcPr>
          <w:p w:rsidR="00CE1CFD" w:rsidRPr="00F94A69" w:rsidRDefault="00CE1CFD" w:rsidP="002828C8">
            <w:pPr>
              <w:spacing w:line="240" w:lineRule="auto"/>
              <w:jc w:val="left"/>
              <w:rPr>
                <w:rFonts w:eastAsia="Times New Roman" w:cs="Arial"/>
                <w:sz w:val="20"/>
                <w:szCs w:val="20"/>
              </w:rPr>
            </w:pPr>
            <w:r w:rsidRPr="00F94A69">
              <w:rPr>
                <w:rFonts w:eastAsia="Times New Roman" w:cs="Arial"/>
                <w:sz w:val="20"/>
                <w:szCs w:val="20"/>
              </w:rPr>
              <w:t>Engenheiro Ambiental Junior</w:t>
            </w:r>
          </w:p>
        </w:tc>
        <w:tc>
          <w:tcPr>
            <w:tcW w:w="4159" w:type="dxa"/>
            <w:shd w:val="clear" w:color="auto" w:fill="auto"/>
            <w:vAlign w:val="center"/>
          </w:tcPr>
          <w:p w:rsidR="00CE1CFD" w:rsidRPr="00F94A69" w:rsidRDefault="00CE1CFD" w:rsidP="002828C8">
            <w:pPr>
              <w:spacing w:line="240" w:lineRule="auto"/>
              <w:jc w:val="left"/>
              <w:rPr>
                <w:rFonts w:eastAsia="Times New Roman" w:cs="Arial"/>
                <w:sz w:val="20"/>
                <w:szCs w:val="20"/>
              </w:rPr>
            </w:pPr>
            <w:r w:rsidRPr="00F94A69">
              <w:rPr>
                <w:rFonts w:eastAsia="Times New Roman" w:cs="Arial"/>
                <w:sz w:val="20"/>
                <w:szCs w:val="20"/>
              </w:rPr>
              <w:t>Coordenador operacional dos quatro setores do saneamento básico (água, esgoto, drenagem e resíduos sólidos); responsável pelo Sistema de Informação e Bases Cartográficas elaboradas utilizando técnicas de geoprocessamento (SIG).</w:t>
            </w:r>
          </w:p>
        </w:tc>
      </w:tr>
      <w:tr w:rsidR="00CE1CFD" w:rsidRPr="00F94A69" w:rsidTr="002828C8">
        <w:trPr>
          <w:trHeight w:val="20"/>
          <w:jc w:val="center"/>
        </w:trPr>
        <w:tc>
          <w:tcPr>
            <w:tcW w:w="3452" w:type="dxa"/>
            <w:shd w:val="clear" w:color="auto" w:fill="auto"/>
            <w:vAlign w:val="center"/>
          </w:tcPr>
          <w:p w:rsidR="00CE1CFD" w:rsidRPr="00F94A69" w:rsidRDefault="00CE1CFD" w:rsidP="002828C8">
            <w:pPr>
              <w:spacing w:line="240" w:lineRule="auto"/>
              <w:jc w:val="left"/>
              <w:rPr>
                <w:rFonts w:eastAsia="Times New Roman" w:cs="Arial"/>
                <w:b/>
                <w:bCs/>
                <w:sz w:val="20"/>
                <w:szCs w:val="20"/>
              </w:rPr>
            </w:pPr>
            <w:r w:rsidRPr="00F94A69">
              <w:rPr>
                <w:rFonts w:eastAsia="Times New Roman" w:cs="Arial"/>
                <w:b/>
                <w:bCs/>
                <w:sz w:val="20"/>
                <w:szCs w:val="20"/>
              </w:rPr>
              <w:t>Darci Pereira</w:t>
            </w:r>
          </w:p>
        </w:tc>
        <w:tc>
          <w:tcPr>
            <w:tcW w:w="2693" w:type="dxa"/>
            <w:shd w:val="clear" w:color="auto" w:fill="auto"/>
            <w:vAlign w:val="center"/>
          </w:tcPr>
          <w:p w:rsidR="00CE1CFD" w:rsidRPr="00F94A69" w:rsidRDefault="00CE1CFD" w:rsidP="002828C8">
            <w:pPr>
              <w:spacing w:line="240" w:lineRule="auto"/>
              <w:jc w:val="left"/>
              <w:rPr>
                <w:rFonts w:eastAsia="Times New Roman" w:cs="Arial"/>
                <w:sz w:val="20"/>
                <w:szCs w:val="20"/>
              </w:rPr>
            </w:pPr>
            <w:r w:rsidRPr="00F94A69">
              <w:rPr>
                <w:rFonts w:eastAsia="Times New Roman" w:cs="Arial"/>
                <w:sz w:val="20"/>
                <w:szCs w:val="20"/>
              </w:rPr>
              <w:t>Engenheiro Civil Pleno / Especialista em projetos de saneamento</w:t>
            </w:r>
          </w:p>
        </w:tc>
        <w:tc>
          <w:tcPr>
            <w:tcW w:w="4159" w:type="dxa"/>
            <w:shd w:val="clear" w:color="auto" w:fill="auto"/>
            <w:vAlign w:val="center"/>
          </w:tcPr>
          <w:p w:rsidR="00CE1CFD" w:rsidRPr="00F94A69" w:rsidRDefault="00CE1CFD" w:rsidP="002828C8">
            <w:pPr>
              <w:spacing w:line="240" w:lineRule="auto"/>
              <w:jc w:val="left"/>
              <w:rPr>
                <w:rFonts w:eastAsia="Times New Roman" w:cs="Arial"/>
                <w:sz w:val="20"/>
                <w:szCs w:val="20"/>
              </w:rPr>
            </w:pPr>
            <w:r w:rsidRPr="00F94A69">
              <w:rPr>
                <w:rFonts w:eastAsia="Times New Roman" w:cs="Arial"/>
                <w:sz w:val="20"/>
                <w:szCs w:val="20"/>
              </w:rPr>
              <w:t>Corresponsável pelo setor de drenagem urbana e manejo de águas pluviais.</w:t>
            </w:r>
          </w:p>
        </w:tc>
      </w:tr>
      <w:tr w:rsidR="00CE1CFD" w:rsidRPr="00F94A69" w:rsidTr="002828C8">
        <w:trPr>
          <w:trHeight w:val="20"/>
          <w:jc w:val="center"/>
        </w:trPr>
        <w:tc>
          <w:tcPr>
            <w:tcW w:w="3452" w:type="dxa"/>
            <w:tcBorders>
              <w:top w:val="single" w:sz="8" w:space="0" w:color="4F81BD"/>
              <w:left w:val="single" w:sz="8" w:space="0" w:color="4F81BD"/>
              <w:bottom w:val="single" w:sz="8" w:space="0" w:color="4F81BD"/>
              <w:right w:val="single" w:sz="8" w:space="0" w:color="4F81BD"/>
            </w:tcBorders>
            <w:shd w:val="clear" w:color="auto" w:fill="auto"/>
            <w:vAlign w:val="center"/>
          </w:tcPr>
          <w:p w:rsidR="00CE1CFD" w:rsidRPr="00F94A69" w:rsidRDefault="00CE1CFD" w:rsidP="002828C8">
            <w:pPr>
              <w:spacing w:line="240" w:lineRule="auto"/>
              <w:jc w:val="left"/>
              <w:rPr>
                <w:rFonts w:eastAsia="Times New Roman" w:cs="Arial"/>
                <w:b/>
                <w:bCs/>
                <w:sz w:val="20"/>
                <w:szCs w:val="20"/>
              </w:rPr>
            </w:pPr>
            <w:r w:rsidRPr="00F94A69">
              <w:rPr>
                <w:rFonts w:eastAsia="Times New Roman" w:cs="Arial"/>
                <w:b/>
                <w:bCs/>
                <w:sz w:val="20"/>
                <w:szCs w:val="20"/>
              </w:rPr>
              <w:t>Vitor Catoia</w:t>
            </w:r>
          </w:p>
        </w:tc>
        <w:tc>
          <w:tcPr>
            <w:tcW w:w="2693" w:type="dxa"/>
            <w:tcBorders>
              <w:top w:val="single" w:sz="8" w:space="0" w:color="4F81BD"/>
              <w:left w:val="single" w:sz="8" w:space="0" w:color="4F81BD"/>
              <w:bottom w:val="single" w:sz="8" w:space="0" w:color="4F81BD"/>
              <w:right w:val="single" w:sz="8" w:space="0" w:color="4F81BD"/>
            </w:tcBorders>
            <w:shd w:val="clear" w:color="auto" w:fill="auto"/>
            <w:vAlign w:val="center"/>
          </w:tcPr>
          <w:p w:rsidR="00CE1CFD" w:rsidRPr="00F94A69" w:rsidRDefault="00CE1CFD" w:rsidP="002828C8">
            <w:pPr>
              <w:spacing w:line="240" w:lineRule="auto"/>
              <w:jc w:val="left"/>
              <w:rPr>
                <w:rFonts w:eastAsia="Times New Roman" w:cs="Arial"/>
                <w:sz w:val="20"/>
                <w:szCs w:val="20"/>
              </w:rPr>
            </w:pPr>
            <w:r w:rsidRPr="00F94A69">
              <w:rPr>
                <w:rFonts w:eastAsia="Times New Roman" w:cs="Arial"/>
                <w:sz w:val="20"/>
                <w:szCs w:val="20"/>
              </w:rPr>
              <w:t>Biólogo</w:t>
            </w:r>
          </w:p>
        </w:tc>
        <w:tc>
          <w:tcPr>
            <w:tcW w:w="4159" w:type="dxa"/>
            <w:tcBorders>
              <w:top w:val="single" w:sz="8" w:space="0" w:color="4F81BD"/>
              <w:left w:val="single" w:sz="8" w:space="0" w:color="4F81BD"/>
              <w:bottom w:val="single" w:sz="8" w:space="0" w:color="4F81BD"/>
              <w:right w:val="single" w:sz="8" w:space="0" w:color="4F81BD"/>
            </w:tcBorders>
            <w:shd w:val="clear" w:color="auto" w:fill="auto"/>
            <w:vAlign w:val="center"/>
          </w:tcPr>
          <w:p w:rsidR="00CE1CFD" w:rsidRPr="00F94A69" w:rsidRDefault="00CE1CFD" w:rsidP="002828C8">
            <w:pPr>
              <w:spacing w:line="240" w:lineRule="auto"/>
              <w:jc w:val="left"/>
              <w:rPr>
                <w:rFonts w:eastAsia="Times New Roman" w:cs="Arial"/>
                <w:sz w:val="20"/>
                <w:szCs w:val="20"/>
              </w:rPr>
            </w:pPr>
            <w:r w:rsidRPr="00F94A69">
              <w:rPr>
                <w:rFonts w:eastAsia="Times New Roman" w:cs="Arial"/>
                <w:sz w:val="20"/>
                <w:szCs w:val="20"/>
              </w:rPr>
              <w:t xml:space="preserve">Corresponsável pela caracterização geral dos municípios e Sistema de Informação e Bases Cartográficas elaboradas utilizando técnicas de geoprocessamento (SIG). </w:t>
            </w:r>
          </w:p>
        </w:tc>
      </w:tr>
      <w:tr w:rsidR="00CE1CFD" w:rsidRPr="00F94A69" w:rsidTr="002828C8">
        <w:trPr>
          <w:trHeight w:val="20"/>
          <w:jc w:val="center"/>
        </w:trPr>
        <w:tc>
          <w:tcPr>
            <w:tcW w:w="3452" w:type="dxa"/>
            <w:shd w:val="clear" w:color="auto" w:fill="auto"/>
            <w:vAlign w:val="center"/>
          </w:tcPr>
          <w:p w:rsidR="00CE1CFD" w:rsidRPr="00F94A69" w:rsidRDefault="00CE1CFD" w:rsidP="002828C8">
            <w:pPr>
              <w:spacing w:line="240" w:lineRule="auto"/>
              <w:jc w:val="left"/>
              <w:rPr>
                <w:rFonts w:eastAsia="Times New Roman" w:cs="Arial"/>
                <w:b/>
                <w:bCs/>
                <w:sz w:val="20"/>
                <w:szCs w:val="20"/>
              </w:rPr>
            </w:pPr>
            <w:r w:rsidRPr="00F94A69">
              <w:rPr>
                <w:rFonts w:eastAsia="Times New Roman" w:cs="Arial"/>
                <w:b/>
                <w:bCs/>
                <w:sz w:val="20"/>
                <w:szCs w:val="20"/>
              </w:rPr>
              <w:t>Paloma Fernandes Paulino</w:t>
            </w:r>
          </w:p>
        </w:tc>
        <w:tc>
          <w:tcPr>
            <w:tcW w:w="2693" w:type="dxa"/>
            <w:shd w:val="clear" w:color="auto" w:fill="auto"/>
            <w:vAlign w:val="center"/>
          </w:tcPr>
          <w:p w:rsidR="00CE1CFD" w:rsidRPr="00F94A69" w:rsidRDefault="00CE1CFD" w:rsidP="002828C8">
            <w:pPr>
              <w:spacing w:line="240" w:lineRule="auto"/>
              <w:jc w:val="left"/>
              <w:rPr>
                <w:rFonts w:eastAsia="Times New Roman" w:cs="Arial"/>
                <w:sz w:val="20"/>
                <w:szCs w:val="20"/>
              </w:rPr>
            </w:pPr>
            <w:r w:rsidRPr="00F94A69">
              <w:rPr>
                <w:rFonts w:eastAsia="Times New Roman" w:cs="Arial"/>
                <w:sz w:val="20"/>
                <w:szCs w:val="20"/>
              </w:rPr>
              <w:t>Engenheira Ambiental Plena / Mestre em Engenharia Hidráulica e Saneamento</w:t>
            </w:r>
          </w:p>
        </w:tc>
        <w:tc>
          <w:tcPr>
            <w:tcW w:w="4159" w:type="dxa"/>
            <w:shd w:val="clear" w:color="auto" w:fill="auto"/>
            <w:vAlign w:val="center"/>
          </w:tcPr>
          <w:p w:rsidR="00CE1CFD" w:rsidRPr="00F94A69" w:rsidRDefault="00CE1CFD" w:rsidP="002828C8">
            <w:pPr>
              <w:spacing w:line="240" w:lineRule="auto"/>
              <w:jc w:val="left"/>
              <w:rPr>
                <w:rFonts w:eastAsia="Times New Roman" w:cs="Arial"/>
                <w:sz w:val="20"/>
                <w:szCs w:val="20"/>
              </w:rPr>
            </w:pPr>
            <w:r w:rsidRPr="00F94A69">
              <w:rPr>
                <w:rFonts w:eastAsia="Times New Roman" w:cs="Arial"/>
                <w:sz w:val="20"/>
                <w:szCs w:val="20"/>
              </w:rPr>
              <w:t>Responsável pelo setor de drenagem; responsável pelo Sistema de Informação e Bases Cartográficas elaboradas utilizando técnicas de geoprocessamento (SIG).</w:t>
            </w:r>
          </w:p>
        </w:tc>
      </w:tr>
      <w:tr w:rsidR="00CE1CFD" w:rsidRPr="00F94A69" w:rsidTr="002828C8">
        <w:trPr>
          <w:trHeight w:val="20"/>
          <w:jc w:val="center"/>
        </w:trPr>
        <w:tc>
          <w:tcPr>
            <w:tcW w:w="3452" w:type="dxa"/>
            <w:shd w:val="clear" w:color="auto" w:fill="auto"/>
            <w:vAlign w:val="center"/>
          </w:tcPr>
          <w:p w:rsidR="00CE1CFD" w:rsidRPr="00F94A69" w:rsidRDefault="00CE1CFD" w:rsidP="002828C8">
            <w:pPr>
              <w:spacing w:line="240" w:lineRule="auto"/>
              <w:jc w:val="left"/>
              <w:rPr>
                <w:rFonts w:eastAsia="Times New Roman" w:cs="Arial"/>
                <w:b/>
                <w:bCs/>
                <w:sz w:val="20"/>
                <w:szCs w:val="20"/>
              </w:rPr>
            </w:pPr>
            <w:r w:rsidRPr="00F94A69">
              <w:rPr>
                <w:rFonts w:eastAsia="Times New Roman" w:cs="Arial"/>
                <w:b/>
                <w:bCs/>
                <w:sz w:val="20"/>
                <w:szCs w:val="20"/>
              </w:rPr>
              <w:t>Vilma Matias</w:t>
            </w:r>
          </w:p>
        </w:tc>
        <w:tc>
          <w:tcPr>
            <w:tcW w:w="2693" w:type="dxa"/>
            <w:shd w:val="clear" w:color="auto" w:fill="auto"/>
            <w:vAlign w:val="center"/>
          </w:tcPr>
          <w:p w:rsidR="00CE1CFD" w:rsidRPr="00F94A69" w:rsidRDefault="00CE1CFD" w:rsidP="002828C8">
            <w:pPr>
              <w:spacing w:line="240" w:lineRule="auto"/>
              <w:jc w:val="left"/>
              <w:rPr>
                <w:rFonts w:eastAsia="Times New Roman" w:cs="Arial"/>
                <w:sz w:val="20"/>
                <w:szCs w:val="20"/>
              </w:rPr>
            </w:pPr>
            <w:r w:rsidRPr="00F94A69">
              <w:rPr>
                <w:rFonts w:eastAsia="Times New Roman" w:cs="Arial"/>
                <w:sz w:val="20"/>
                <w:szCs w:val="20"/>
              </w:rPr>
              <w:t>Bióloga</w:t>
            </w:r>
          </w:p>
        </w:tc>
        <w:tc>
          <w:tcPr>
            <w:tcW w:w="4159" w:type="dxa"/>
            <w:shd w:val="clear" w:color="auto" w:fill="auto"/>
            <w:vAlign w:val="center"/>
          </w:tcPr>
          <w:p w:rsidR="00CE1CFD" w:rsidRPr="00F94A69" w:rsidRDefault="00CE1CFD" w:rsidP="002828C8">
            <w:pPr>
              <w:spacing w:line="240" w:lineRule="auto"/>
              <w:jc w:val="left"/>
              <w:rPr>
                <w:rFonts w:eastAsia="Times New Roman" w:cs="Arial"/>
                <w:sz w:val="20"/>
                <w:szCs w:val="20"/>
              </w:rPr>
            </w:pPr>
            <w:r w:rsidRPr="00F94A69">
              <w:rPr>
                <w:rFonts w:eastAsia="Times New Roman" w:cs="Arial"/>
                <w:sz w:val="20"/>
                <w:szCs w:val="20"/>
              </w:rPr>
              <w:t>Levantamento de dados e apoio aos gestores municipais quanto aos procedimentos de comunicação e mobilização social.</w:t>
            </w:r>
          </w:p>
        </w:tc>
      </w:tr>
      <w:tr w:rsidR="00CE1CFD" w:rsidRPr="00F94A69" w:rsidTr="002828C8">
        <w:trPr>
          <w:trHeight w:val="20"/>
          <w:jc w:val="center"/>
        </w:trPr>
        <w:tc>
          <w:tcPr>
            <w:tcW w:w="3452" w:type="dxa"/>
            <w:tcBorders>
              <w:top w:val="single" w:sz="8" w:space="0" w:color="4F81BD"/>
              <w:left w:val="single" w:sz="8" w:space="0" w:color="4F81BD"/>
              <w:bottom w:val="single" w:sz="8" w:space="0" w:color="4F81BD"/>
              <w:right w:val="single" w:sz="8" w:space="0" w:color="4F81BD"/>
            </w:tcBorders>
            <w:shd w:val="clear" w:color="auto" w:fill="auto"/>
            <w:vAlign w:val="center"/>
          </w:tcPr>
          <w:p w:rsidR="00CE1CFD" w:rsidRPr="00F94A69" w:rsidRDefault="00CE1CFD" w:rsidP="002828C8">
            <w:pPr>
              <w:spacing w:line="240" w:lineRule="auto"/>
              <w:jc w:val="left"/>
              <w:rPr>
                <w:rFonts w:eastAsia="Times New Roman" w:cs="Arial"/>
                <w:b/>
                <w:bCs/>
                <w:sz w:val="20"/>
                <w:szCs w:val="20"/>
              </w:rPr>
            </w:pPr>
            <w:r w:rsidRPr="00F94A69">
              <w:rPr>
                <w:rFonts w:eastAsia="Times New Roman" w:cs="Arial"/>
                <w:b/>
                <w:bCs/>
                <w:sz w:val="20"/>
                <w:szCs w:val="20"/>
              </w:rPr>
              <w:t>Flávia B. Feliciano de Lima</w:t>
            </w:r>
          </w:p>
        </w:tc>
        <w:tc>
          <w:tcPr>
            <w:tcW w:w="2693" w:type="dxa"/>
            <w:tcBorders>
              <w:top w:val="single" w:sz="8" w:space="0" w:color="4F81BD"/>
              <w:left w:val="single" w:sz="8" w:space="0" w:color="4F81BD"/>
              <w:bottom w:val="single" w:sz="8" w:space="0" w:color="4F81BD"/>
              <w:right w:val="single" w:sz="8" w:space="0" w:color="4F81BD"/>
            </w:tcBorders>
            <w:shd w:val="clear" w:color="auto" w:fill="auto"/>
            <w:vAlign w:val="center"/>
          </w:tcPr>
          <w:p w:rsidR="00CE1CFD" w:rsidRPr="00F94A69" w:rsidRDefault="00CE1CFD" w:rsidP="002828C8">
            <w:pPr>
              <w:spacing w:line="240" w:lineRule="auto"/>
              <w:jc w:val="left"/>
              <w:rPr>
                <w:rFonts w:eastAsia="Times New Roman" w:cs="Arial"/>
                <w:sz w:val="20"/>
                <w:szCs w:val="20"/>
              </w:rPr>
            </w:pPr>
            <w:r w:rsidRPr="00F94A69">
              <w:rPr>
                <w:rFonts w:eastAsia="Times New Roman" w:cs="Arial"/>
                <w:sz w:val="20"/>
                <w:szCs w:val="20"/>
              </w:rPr>
              <w:t>Pedagoga</w:t>
            </w:r>
          </w:p>
        </w:tc>
        <w:tc>
          <w:tcPr>
            <w:tcW w:w="4159" w:type="dxa"/>
            <w:tcBorders>
              <w:top w:val="single" w:sz="8" w:space="0" w:color="4F81BD"/>
              <w:left w:val="single" w:sz="8" w:space="0" w:color="4F81BD"/>
              <w:bottom w:val="single" w:sz="8" w:space="0" w:color="4F81BD"/>
              <w:right w:val="single" w:sz="8" w:space="0" w:color="4F81BD"/>
            </w:tcBorders>
            <w:shd w:val="clear" w:color="auto" w:fill="auto"/>
            <w:vAlign w:val="center"/>
          </w:tcPr>
          <w:p w:rsidR="00CE1CFD" w:rsidRPr="00F94A69" w:rsidRDefault="00CE1CFD" w:rsidP="002828C8">
            <w:pPr>
              <w:spacing w:line="240" w:lineRule="auto"/>
              <w:jc w:val="left"/>
              <w:rPr>
                <w:rFonts w:eastAsia="Times New Roman" w:cs="Arial"/>
                <w:sz w:val="20"/>
                <w:szCs w:val="20"/>
              </w:rPr>
            </w:pPr>
            <w:r w:rsidRPr="00F94A69">
              <w:rPr>
                <w:rFonts w:eastAsia="Times New Roman" w:cs="Arial"/>
                <w:sz w:val="20"/>
                <w:szCs w:val="20"/>
              </w:rPr>
              <w:t>Responsável pela revisão e edição geral dos textos e corresponsável pela área de comunicação e mobilização social.</w:t>
            </w:r>
          </w:p>
        </w:tc>
      </w:tr>
      <w:tr w:rsidR="00CE1CFD" w:rsidRPr="00F94A69" w:rsidTr="002828C8">
        <w:trPr>
          <w:trHeight w:val="20"/>
          <w:jc w:val="center"/>
        </w:trPr>
        <w:tc>
          <w:tcPr>
            <w:tcW w:w="3452" w:type="dxa"/>
            <w:shd w:val="clear" w:color="auto" w:fill="auto"/>
            <w:vAlign w:val="center"/>
          </w:tcPr>
          <w:p w:rsidR="00CE1CFD" w:rsidRPr="00F94A69" w:rsidRDefault="00CE1CFD" w:rsidP="002828C8">
            <w:pPr>
              <w:spacing w:line="240" w:lineRule="auto"/>
              <w:jc w:val="left"/>
              <w:rPr>
                <w:rFonts w:eastAsia="Times New Roman" w:cs="Arial"/>
                <w:b/>
                <w:bCs/>
                <w:sz w:val="20"/>
                <w:szCs w:val="20"/>
              </w:rPr>
            </w:pPr>
            <w:r w:rsidRPr="00F94A69">
              <w:rPr>
                <w:rFonts w:eastAsia="Times New Roman" w:cs="Arial"/>
                <w:b/>
                <w:bCs/>
                <w:sz w:val="20"/>
                <w:szCs w:val="20"/>
              </w:rPr>
              <w:t>Danilo Gustavo</w:t>
            </w:r>
          </w:p>
          <w:p w:rsidR="00CE1CFD" w:rsidRPr="00F94A69" w:rsidRDefault="00CE1CFD" w:rsidP="002828C8">
            <w:pPr>
              <w:spacing w:line="240" w:lineRule="auto"/>
              <w:jc w:val="left"/>
              <w:rPr>
                <w:rFonts w:eastAsia="Times New Roman" w:cs="Arial"/>
                <w:b/>
                <w:bCs/>
                <w:sz w:val="20"/>
                <w:szCs w:val="20"/>
              </w:rPr>
            </w:pPr>
          </w:p>
        </w:tc>
        <w:tc>
          <w:tcPr>
            <w:tcW w:w="2693" w:type="dxa"/>
            <w:shd w:val="clear" w:color="auto" w:fill="auto"/>
            <w:vAlign w:val="center"/>
          </w:tcPr>
          <w:p w:rsidR="00CE1CFD" w:rsidRPr="00F94A69" w:rsidRDefault="00CE1CFD" w:rsidP="002828C8">
            <w:pPr>
              <w:spacing w:line="240" w:lineRule="auto"/>
              <w:jc w:val="left"/>
              <w:rPr>
                <w:rFonts w:eastAsia="Times New Roman" w:cs="Arial"/>
                <w:sz w:val="20"/>
                <w:szCs w:val="20"/>
              </w:rPr>
            </w:pPr>
            <w:r w:rsidRPr="00F94A69">
              <w:rPr>
                <w:rFonts w:eastAsia="Times New Roman" w:cs="Arial"/>
                <w:sz w:val="20"/>
                <w:szCs w:val="20"/>
              </w:rPr>
              <w:t>Desenhista / Projetista</w:t>
            </w:r>
          </w:p>
        </w:tc>
        <w:tc>
          <w:tcPr>
            <w:tcW w:w="4159" w:type="dxa"/>
            <w:shd w:val="clear" w:color="auto" w:fill="auto"/>
            <w:vAlign w:val="center"/>
          </w:tcPr>
          <w:p w:rsidR="00CE1CFD" w:rsidRPr="00F94A69" w:rsidRDefault="00CE1CFD" w:rsidP="002828C8">
            <w:pPr>
              <w:spacing w:line="240" w:lineRule="auto"/>
              <w:jc w:val="left"/>
              <w:rPr>
                <w:rFonts w:eastAsia="Times New Roman" w:cs="Arial"/>
                <w:sz w:val="20"/>
                <w:szCs w:val="20"/>
              </w:rPr>
            </w:pPr>
            <w:r w:rsidRPr="00F94A69">
              <w:rPr>
                <w:rFonts w:eastAsia="Times New Roman" w:cs="Arial"/>
                <w:sz w:val="20"/>
                <w:szCs w:val="20"/>
              </w:rPr>
              <w:t>Responsável pelos desenhos técnicos.</w:t>
            </w:r>
          </w:p>
        </w:tc>
      </w:tr>
      <w:tr w:rsidR="00CE1CFD" w:rsidRPr="00F94A69" w:rsidTr="002828C8">
        <w:trPr>
          <w:trHeight w:val="20"/>
          <w:jc w:val="center"/>
        </w:trPr>
        <w:tc>
          <w:tcPr>
            <w:tcW w:w="3452" w:type="dxa"/>
            <w:tcBorders>
              <w:top w:val="single" w:sz="8" w:space="0" w:color="4F81BD"/>
              <w:left w:val="single" w:sz="8" w:space="0" w:color="4F81BD"/>
              <w:bottom w:val="single" w:sz="8" w:space="0" w:color="4F81BD"/>
              <w:right w:val="single" w:sz="8" w:space="0" w:color="4F81BD"/>
            </w:tcBorders>
            <w:shd w:val="clear" w:color="auto" w:fill="auto"/>
            <w:vAlign w:val="center"/>
          </w:tcPr>
          <w:p w:rsidR="00CE1CFD" w:rsidRPr="00F94A69" w:rsidRDefault="00CE1CFD" w:rsidP="002828C8">
            <w:pPr>
              <w:spacing w:line="240" w:lineRule="auto"/>
              <w:jc w:val="left"/>
              <w:rPr>
                <w:rFonts w:eastAsia="Times New Roman" w:cs="Arial"/>
                <w:b/>
                <w:bCs/>
                <w:sz w:val="20"/>
                <w:szCs w:val="20"/>
              </w:rPr>
            </w:pPr>
            <w:r w:rsidRPr="00F94A69">
              <w:rPr>
                <w:rFonts w:eastAsia="Times New Roman" w:cs="Arial"/>
                <w:b/>
                <w:bCs/>
                <w:sz w:val="20"/>
                <w:szCs w:val="20"/>
              </w:rPr>
              <w:t>Simone Pavão</w:t>
            </w:r>
          </w:p>
          <w:p w:rsidR="00CE1CFD" w:rsidRPr="00F94A69" w:rsidRDefault="00CE1CFD" w:rsidP="002828C8">
            <w:pPr>
              <w:spacing w:line="240" w:lineRule="auto"/>
              <w:jc w:val="left"/>
              <w:rPr>
                <w:rFonts w:eastAsia="Times New Roman" w:cs="Arial"/>
                <w:b/>
                <w:bCs/>
                <w:sz w:val="20"/>
                <w:szCs w:val="20"/>
              </w:rPr>
            </w:pPr>
          </w:p>
          <w:p w:rsidR="00CE1CFD" w:rsidRPr="00F94A69" w:rsidRDefault="00CE1CFD" w:rsidP="002828C8">
            <w:pPr>
              <w:spacing w:line="240" w:lineRule="auto"/>
              <w:jc w:val="left"/>
              <w:rPr>
                <w:rFonts w:eastAsia="Times New Roman" w:cs="Arial"/>
                <w:b/>
                <w:bCs/>
                <w:sz w:val="20"/>
                <w:szCs w:val="20"/>
              </w:rPr>
            </w:pPr>
          </w:p>
        </w:tc>
        <w:tc>
          <w:tcPr>
            <w:tcW w:w="2693" w:type="dxa"/>
            <w:tcBorders>
              <w:top w:val="single" w:sz="8" w:space="0" w:color="4F81BD"/>
              <w:left w:val="single" w:sz="8" w:space="0" w:color="4F81BD"/>
              <w:bottom w:val="single" w:sz="8" w:space="0" w:color="4F81BD"/>
              <w:right w:val="single" w:sz="8" w:space="0" w:color="4F81BD"/>
            </w:tcBorders>
            <w:shd w:val="clear" w:color="auto" w:fill="auto"/>
            <w:vAlign w:val="center"/>
          </w:tcPr>
          <w:p w:rsidR="00CE1CFD" w:rsidRPr="00F94A69" w:rsidRDefault="00CE1CFD" w:rsidP="002828C8">
            <w:pPr>
              <w:spacing w:line="240" w:lineRule="auto"/>
              <w:jc w:val="left"/>
              <w:rPr>
                <w:rFonts w:eastAsia="Times New Roman" w:cs="Arial"/>
                <w:sz w:val="20"/>
                <w:szCs w:val="20"/>
              </w:rPr>
            </w:pPr>
            <w:r w:rsidRPr="00F94A69">
              <w:rPr>
                <w:rFonts w:eastAsia="Times New Roman" w:cs="Arial"/>
                <w:sz w:val="20"/>
                <w:szCs w:val="20"/>
              </w:rPr>
              <w:t xml:space="preserve">Técnica em Gestão </w:t>
            </w:r>
          </w:p>
        </w:tc>
        <w:tc>
          <w:tcPr>
            <w:tcW w:w="4159" w:type="dxa"/>
            <w:tcBorders>
              <w:top w:val="single" w:sz="8" w:space="0" w:color="4F81BD"/>
              <w:left w:val="single" w:sz="8" w:space="0" w:color="4F81BD"/>
              <w:bottom w:val="single" w:sz="8" w:space="0" w:color="4F81BD"/>
              <w:right w:val="single" w:sz="8" w:space="0" w:color="4F81BD"/>
            </w:tcBorders>
            <w:shd w:val="clear" w:color="auto" w:fill="auto"/>
            <w:vAlign w:val="center"/>
          </w:tcPr>
          <w:p w:rsidR="00CE1CFD" w:rsidRPr="00F94A69" w:rsidRDefault="00CE1CFD" w:rsidP="002828C8">
            <w:pPr>
              <w:spacing w:line="240" w:lineRule="auto"/>
              <w:jc w:val="left"/>
              <w:rPr>
                <w:rFonts w:eastAsia="Times New Roman" w:cs="Arial"/>
                <w:sz w:val="20"/>
                <w:szCs w:val="20"/>
              </w:rPr>
            </w:pPr>
            <w:r w:rsidRPr="00F94A69">
              <w:rPr>
                <w:rFonts w:eastAsia="Times New Roman" w:cs="Arial"/>
                <w:sz w:val="20"/>
                <w:szCs w:val="20"/>
              </w:rPr>
              <w:t>Responsável pela área administrativa.</w:t>
            </w:r>
          </w:p>
        </w:tc>
      </w:tr>
      <w:tr w:rsidR="00CE1CFD" w:rsidRPr="00F94A69" w:rsidTr="002828C8">
        <w:trPr>
          <w:trHeight w:val="20"/>
          <w:jc w:val="center"/>
        </w:trPr>
        <w:tc>
          <w:tcPr>
            <w:tcW w:w="3452" w:type="dxa"/>
            <w:tcBorders>
              <w:top w:val="single" w:sz="8" w:space="0" w:color="4F81BD"/>
              <w:left w:val="single" w:sz="8" w:space="0" w:color="4F81BD"/>
              <w:bottom w:val="single" w:sz="8" w:space="0" w:color="4F81BD"/>
              <w:right w:val="single" w:sz="8" w:space="0" w:color="4F81BD"/>
            </w:tcBorders>
            <w:shd w:val="clear" w:color="auto" w:fill="auto"/>
            <w:vAlign w:val="center"/>
          </w:tcPr>
          <w:p w:rsidR="00CE1CFD" w:rsidRPr="00F94A69" w:rsidRDefault="00CE1CFD" w:rsidP="002828C8">
            <w:pPr>
              <w:spacing w:line="240" w:lineRule="auto"/>
              <w:jc w:val="left"/>
              <w:rPr>
                <w:rFonts w:eastAsia="Times New Roman" w:cs="Arial"/>
                <w:b/>
                <w:bCs/>
                <w:sz w:val="20"/>
                <w:szCs w:val="20"/>
              </w:rPr>
            </w:pPr>
            <w:r w:rsidRPr="00F94A69">
              <w:rPr>
                <w:rFonts w:eastAsia="Times New Roman" w:cs="Arial"/>
                <w:b/>
                <w:bCs/>
                <w:sz w:val="20"/>
                <w:szCs w:val="20"/>
              </w:rPr>
              <w:t>Ana Carolina Ferrari dos Santos</w:t>
            </w:r>
          </w:p>
          <w:p w:rsidR="00CE1CFD" w:rsidRPr="00F94A69" w:rsidRDefault="00CE1CFD" w:rsidP="002828C8">
            <w:pPr>
              <w:spacing w:line="240" w:lineRule="auto"/>
              <w:jc w:val="left"/>
              <w:rPr>
                <w:rFonts w:eastAsia="Times New Roman" w:cs="Arial"/>
                <w:b/>
                <w:bCs/>
                <w:sz w:val="20"/>
                <w:szCs w:val="20"/>
              </w:rPr>
            </w:pPr>
          </w:p>
          <w:p w:rsidR="00CE1CFD" w:rsidRPr="00F94A69" w:rsidRDefault="00CE1CFD" w:rsidP="002828C8">
            <w:pPr>
              <w:spacing w:line="240" w:lineRule="auto"/>
              <w:jc w:val="left"/>
              <w:rPr>
                <w:rFonts w:eastAsia="Times New Roman" w:cs="Arial"/>
                <w:b/>
                <w:bCs/>
                <w:sz w:val="20"/>
                <w:szCs w:val="20"/>
              </w:rPr>
            </w:pPr>
          </w:p>
        </w:tc>
        <w:tc>
          <w:tcPr>
            <w:tcW w:w="2693" w:type="dxa"/>
            <w:tcBorders>
              <w:top w:val="single" w:sz="8" w:space="0" w:color="4F81BD"/>
              <w:left w:val="single" w:sz="8" w:space="0" w:color="4F81BD"/>
              <w:bottom w:val="single" w:sz="8" w:space="0" w:color="4F81BD"/>
              <w:right w:val="single" w:sz="8" w:space="0" w:color="4F81BD"/>
            </w:tcBorders>
            <w:shd w:val="clear" w:color="auto" w:fill="auto"/>
            <w:vAlign w:val="center"/>
          </w:tcPr>
          <w:p w:rsidR="00CE1CFD" w:rsidRPr="00F94A69" w:rsidRDefault="00CE1CFD" w:rsidP="002828C8">
            <w:pPr>
              <w:spacing w:line="240" w:lineRule="auto"/>
              <w:jc w:val="left"/>
              <w:rPr>
                <w:rFonts w:eastAsia="Times New Roman" w:cs="Arial"/>
                <w:sz w:val="20"/>
                <w:szCs w:val="20"/>
              </w:rPr>
            </w:pPr>
            <w:r w:rsidRPr="00F94A69">
              <w:rPr>
                <w:rFonts w:eastAsia="Times New Roman" w:cs="Arial"/>
                <w:sz w:val="20"/>
                <w:szCs w:val="20"/>
              </w:rPr>
              <w:t xml:space="preserve">Engenheira Ambiental </w:t>
            </w:r>
          </w:p>
        </w:tc>
        <w:tc>
          <w:tcPr>
            <w:tcW w:w="4159" w:type="dxa"/>
            <w:tcBorders>
              <w:top w:val="single" w:sz="8" w:space="0" w:color="4F81BD"/>
              <w:left w:val="single" w:sz="8" w:space="0" w:color="4F81BD"/>
              <w:bottom w:val="single" w:sz="8" w:space="0" w:color="4F81BD"/>
              <w:right w:val="single" w:sz="8" w:space="0" w:color="4F81BD"/>
            </w:tcBorders>
            <w:shd w:val="clear" w:color="auto" w:fill="auto"/>
            <w:vAlign w:val="center"/>
          </w:tcPr>
          <w:p w:rsidR="00CE1CFD" w:rsidRPr="00F94A69" w:rsidRDefault="00CE1CFD" w:rsidP="002828C8">
            <w:pPr>
              <w:spacing w:line="240" w:lineRule="auto"/>
              <w:jc w:val="left"/>
              <w:rPr>
                <w:rFonts w:eastAsia="Times New Roman" w:cs="Arial"/>
                <w:sz w:val="20"/>
                <w:szCs w:val="20"/>
              </w:rPr>
            </w:pPr>
            <w:r w:rsidRPr="00F94A69">
              <w:rPr>
                <w:rFonts w:eastAsia="Times New Roman" w:cs="Arial"/>
                <w:sz w:val="20"/>
                <w:szCs w:val="20"/>
              </w:rPr>
              <w:t>Colaboradora técnica no setor de Esgotamento Sanitário.</w:t>
            </w:r>
          </w:p>
        </w:tc>
      </w:tr>
      <w:tr w:rsidR="002E3422" w:rsidRPr="00F94A69" w:rsidTr="002828C8">
        <w:trPr>
          <w:trHeight w:val="20"/>
          <w:jc w:val="center"/>
        </w:trPr>
        <w:tc>
          <w:tcPr>
            <w:tcW w:w="3452" w:type="dxa"/>
            <w:tcBorders>
              <w:top w:val="single" w:sz="8" w:space="0" w:color="4F81BD"/>
              <w:left w:val="single" w:sz="8" w:space="0" w:color="4F81BD"/>
              <w:bottom w:val="single" w:sz="8" w:space="0" w:color="4F81BD"/>
              <w:right w:val="single" w:sz="8" w:space="0" w:color="4F81BD"/>
            </w:tcBorders>
            <w:shd w:val="clear" w:color="auto" w:fill="auto"/>
            <w:vAlign w:val="center"/>
          </w:tcPr>
          <w:p w:rsidR="002E3422" w:rsidRPr="00F94A69" w:rsidRDefault="002E3422" w:rsidP="002828C8">
            <w:pPr>
              <w:spacing w:line="240" w:lineRule="auto"/>
              <w:jc w:val="left"/>
              <w:rPr>
                <w:rFonts w:eastAsia="Times New Roman" w:cs="Arial"/>
                <w:b/>
                <w:bCs/>
                <w:sz w:val="20"/>
                <w:szCs w:val="20"/>
              </w:rPr>
            </w:pPr>
            <w:r w:rsidRPr="00F94A69">
              <w:rPr>
                <w:rFonts w:eastAsia="Times New Roman" w:cs="Arial"/>
                <w:b/>
                <w:bCs/>
                <w:sz w:val="20"/>
                <w:szCs w:val="20"/>
              </w:rPr>
              <w:t>Junio da Silva Luiz</w:t>
            </w:r>
          </w:p>
        </w:tc>
        <w:tc>
          <w:tcPr>
            <w:tcW w:w="2693" w:type="dxa"/>
            <w:tcBorders>
              <w:top w:val="single" w:sz="8" w:space="0" w:color="4F81BD"/>
              <w:left w:val="single" w:sz="8" w:space="0" w:color="4F81BD"/>
              <w:bottom w:val="single" w:sz="8" w:space="0" w:color="4F81BD"/>
              <w:right w:val="single" w:sz="8" w:space="0" w:color="4F81BD"/>
            </w:tcBorders>
            <w:shd w:val="clear" w:color="auto" w:fill="auto"/>
            <w:vAlign w:val="center"/>
          </w:tcPr>
          <w:p w:rsidR="002E3422" w:rsidRPr="00F94A69" w:rsidRDefault="002E3422" w:rsidP="002828C8">
            <w:pPr>
              <w:spacing w:line="240" w:lineRule="auto"/>
              <w:jc w:val="left"/>
              <w:rPr>
                <w:rFonts w:eastAsia="Times New Roman" w:cs="Arial"/>
                <w:sz w:val="20"/>
                <w:szCs w:val="20"/>
              </w:rPr>
            </w:pPr>
            <w:r w:rsidRPr="00F94A69">
              <w:rPr>
                <w:rFonts w:eastAsia="Times New Roman" w:cs="Arial"/>
                <w:sz w:val="20"/>
                <w:szCs w:val="20"/>
              </w:rPr>
              <w:t>Engenheiro Ambiental</w:t>
            </w:r>
          </w:p>
        </w:tc>
        <w:tc>
          <w:tcPr>
            <w:tcW w:w="4159" w:type="dxa"/>
            <w:tcBorders>
              <w:top w:val="single" w:sz="8" w:space="0" w:color="4F81BD"/>
              <w:left w:val="single" w:sz="8" w:space="0" w:color="4F81BD"/>
              <w:bottom w:val="single" w:sz="8" w:space="0" w:color="4F81BD"/>
              <w:right w:val="single" w:sz="8" w:space="0" w:color="4F81BD"/>
            </w:tcBorders>
            <w:shd w:val="clear" w:color="auto" w:fill="auto"/>
            <w:vAlign w:val="center"/>
          </w:tcPr>
          <w:p w:rsidR="002E3422" w:rsidRPr="00F94A69" w:rsidRDefault="002E3422" w:rsidP="002828C8">
            <w:pPr>
              <w:spacing w:line="240" w:lineRule="auto"/>
              <w:jc w:val="left"/>
              <w:rPr>
                <w:rFonts w:eastAsia="Times New Roman" w:cs="Arial"/>
                <w:sz w:val="20"/>
                <w:szCs w:val="20"/>
              </w:rPr>
            </w:pPr>
            <w:r w:rsidRPr="00F94A69">
              <w:rPr>
                <w:rFonts w:eastAsia="Times New Roman" w:cs="Arial"/>
                <w:sz w:val="20"/>
                <w:szCs w:val="20"/>
              </w:rPr>
              <w:t>Corresponsável pelo setor de drenagem urbana e manejo de águas pluviais.</w:t>
            </w:r>
          </w:p>
        </w:tc>
      </w:tr>
      <w:tr w:rsidR="00CE1CFD" w:rsidRPr="00F94A69" w:rsidTr="002828C8">
        <w:trPr>
          <w:trHeight w:val="20"/>
          <w:jc w:val="center"/>
        </w:trPr>
        <w:tc>
          <w:tcPr>
            <w:tcW w:w="3452" w:type="dxa"/>
            <w:tcBorders>
              <w:top w:val="single" w:sz="8" w:space="0" w:color="4F81BD"/>
              <w:left w:val="single" w:sz="8" w:space="0" w:color="4F81BD"/>
              <w:bottom w:val="single" w:sz="8" w:space="0" w:color="4F81BD"/>
              <w:right w:val="single" w:sz="8" w:space="0" w:color="4F81BD"/>
            </w:tcBorders>
            <w:shd w:val="clear" w:color="auto" w:fill="auto"/>
            <w:vAlign w:val="center"/>
          </w:tcPr>
          <w:p w:rsidR="00CE1CFD" w:rsidRPr="00F94A69" w:rsidRDefault="00CE1CFD" w:rsidP="002828C8">
            <w:pPr>
              <w:spacing w:line="240" w:lineRule="auto"/>
              <w:jc w:val="left"/>
              <w:rPr>
                <w:rFonts w:eastAsia="Times New Roman" w:cs="Arial"/>
                <w:b/>
                <w:bCs/>
                <w:sz w:val="20"/>
                <w:szCs w:val="20"/>
              </w:rPr>
            </w:pPr>
            <w:r w:rsidRPr="00F94A69">
              <w:rPr>
                <w:rFonts w:eastAsia="Times New Roman" w:cs="Arial"/>
                <w:b/>
                <w:bCs/>
                <w:sz w:val="20"/>
                <w:szCs w:val="20"/>
              </w:rPr>
              <w:t>Marina da Costa R. de Almeida</w:t>
            </w:r>
          </w:p>
          <w:p w:rsidR="00CE1CFD" w:rsidRPr="00F94A69" w:rsidRDefault="00CE1CFD" w:rsidP="002828C8">
            <w:pPr>
              <w:spacing w:line="240" w:lineRule="auto"/>
              <w:jc w:val="left"/>
              <w:rPr>
                <w:rFonts w:eastAsia="Times New Roman" w:cs="Arial"/>
                <w:b/>
                <w:bCs/>
                <w:sz w:val="20"/>
                <w:szCs w:val="20"/>
              </w:rPr>
            </w:pPr>
          </w:p>
          <w:p w:rsidR="00CE1CFD" w:rsidRPr="00F94A69" w:rsidRDefault="00CE1CFD" w:rsidP="002828C8">
            <w:pPr>
              <w:spacing w:line="240" w:lineRule="auto"/>
              <w:jc w:val="left"/>
              <w:rPr>
                <w:rFonts w:eastAsia="Times New Roman" w:cs="Arial"/>
                <w:b/>
                <w:bCs/>
                <w:sz w:val="20"/>
                <w:szCs w:val="20"/>
              </w:rPr>
            </w:pPr>
          </w:p>
        </w:tc>
        <w:tc>
          <w:tcPr>
            <w:tcW w:w="2693" w:type="dxa"/>
            <w:tcBorders>
              <w:top w:val="single" w:sz="8" w:space="0" w:color="4F81BD"/>
              <w:left w:val="single" w:sz="8" w:space="0" w:color="4F81BD"/>
              <w:bottom w:val="single" w:sz="8" w:space="0" w:color="4F81BD"/>
              <w:right w:val="single" w:sz="8" w:space="0" w:color="4F81BD"/>
            </w:tcBorders>
            <w:shd w:val="clear" w:color="auto" w:fill="auto"/>
            <w:vAlign w:val="center"/>
          </w:tcPr>
          <w:p w:rsidR="00CE1CFD" w:rsidRPr="00F94A69" w:rsidRDefault="00CE1CFD" w:rsidP="002828C8">
            <w:pPr>
              <w:spacing w:line="240" w:lineRule="auto"/>
              <w:jc w:val="left"/>
              <w:rPr>
                <w:rFonts w:eastAsia="Times New Roman" w:cs="Arial"/>
                <w:sz w:val="20"/>
                <w:szCs w:val="20"/>
              </w:rPr>
            </w:pPr>
            <w:r w:rsidRPr="00F94A69">
              <w:rPr>
                <w:rFonts w:eastAsia="Times New Roman" w:cs="Arial"/>
                <w:sz w:val="20"/>
                <w:szCs w:val="20"/>
              </w:rPr>
              <w:t>Aluna de Engenharia Ambiental - USP</w:t>
            </w:r>
          </w:p>
        </w:tc>
        <w:tc>
          <w:tcPr>
            <w:tcW w:w="4159" w:type="dxa"/>
            <w:tcBorders>
              <w:top w:val="single" w:sz="8" w:space="0" w:color="4F81BD"/>
              <w:left w:val="single" w:sz="8" w:space="0" w:color="4F81BD"/>
              <w:bottom w:val="single" w:sz="8" w:space="0" w:color="4F81BD"/>
              <w:right w:val="single" w:sz="8" w:space="0" w:color="4F81BD"/>
            </w:tcBorders>
            <w:shd w:val="clear" w:color="auto" w:fill="auto"/>
            <w:vAlign w:val="center"/>
          </w:tcPr>
          <w:p w:rsidR="00CE1CFD" w:rsidRPr="00F94A69" w:rsidRDefault="00CE1CFD" w:rsidP="002828C8">
            <w:pPr>
              <w:spacing w:line="240" w:lineRule="auto"/>
              <w:jc w:val="left"/>
              <w:rPr>
                <w:rFonts w:eastAsia="Times New Roman" w:cs="Arial"/>
                <w:sz w:val="20"/>
                <w:szCs w:val="20"/>
              </w:rPr>
            </w:pPr>
            <w:r w:rsidRPr="00F94A69">
              <w:rPr>
                <w:rFonts w:eastAsia="Times New Roman" w:cs="Arial"/>
                <w:sz w:val="20"/>
                <w:szCs w:val="20"/>
              </w:rPr>
              <w:t>Estagiária - Colaboradora técnica no setor de Drenagem.</w:t>
            </w:r>
          </w:p>
        </w:tc>
      </w:tr>
      <w:tr w:rsidR="00CE1CFD" w:rsidRPr="00F94A69" w:rsidTr="002828C8">
        <w:trPr>
          <w:trHeight w:val="20"/>
          <w:jc w:val="center"/>
        </w:trPr>
        <w:tc>
          <w:tcPr>
            <w:tcW w:w="3452" w:type="dxa"/>
            <w:tcBorders>
              <w:top w:val="single" w:sz="8" w:space="0" w:color="4F81BD"/>
              <w:left w:val="single" w:sz="8" w:space="0" w:color="4F81BD"/>
              <w:bottom w:val="single" w:sz="8" w:space="0" w:color="4F81BD"/>
              <w:right w:val="single" w:sz="8" w:space="0" w:color="4F81BD"/>
            </w:tcBorders>
            <w:shd w:val="clear" w:color="auto" w:fill="auto"/>
            <w:vAlign w:val="center"/>
          </w:tcPr>
          <w:p w:rsidR="00CE1CFD" w:rsidRPr="00F94A69" w:rsidRDefault="00CE1CFD" w:rsidP="002828C8">
            <w:pPr>
              <w:spacing w:line="240" w:lineRule="auto"/>
              <w:jc w:val="left"/>
              <w:rPr>
                <w:rFonts w:eastAsia="Times New Roman" w:cs="Arial"/>
                <w:b/>
                <w:bCs/>
                <w:sz w:val="20"/>
                <w:szCs w:val="20"/>
              </w:rPr>
            </w:pPr>
            <w:r w:rsidRPr="00F94A69">
              <w:rPr>
                <w:rFonts w:eastAsia="Times New Roman" w:cs="Arial"/>
                <w:b/>
                <w:bCs/>
                <w:sz w:val="20"/>
                <w:szCs w:val="20"/>
              </w:rPr>
              <w:t>Erik Vieira de Melo</w:t>
            </w:r>
          </w:p>
          <w:p w:rsidR="00CE1CFD" w:rsidRPr="00F94A69" w:rsidRDefault="00CE1CFD" w:rsidP="002828C8">
            <w:pPr>
              <w:spacing w:line="240" w:lineRule="auto"/>
              <w:jc w:val="left"/>
              <w:rPr>
                <w:rFonts w:eastAsia="Times New Roman" w:cs="Arial"/>
                <w:b/>
                <w:bCs/>
                <w:sz w:val="20"/>
                <w:szCs w:val="20"/>
              </w:rPr>
            </w:pPr>
          </w:p>
          <w:p w:rsidR="00CE1CFD" w:rsidRPr="00F94A69" w:rsidRDefault="00CE1CFD" w:rsidP="002828C8">
            <w:pPr>
              <w:spacing w:line="240" w:lineRule="auto"/>
              <w:jc w:val="left"/>
              <w:rPr>
                <w:rFonts w:eastAsia="Times New Roman" w:cs="Arial"/>
                <w:b/>
                <w:bCs/>
                <w:sz w:val="20"/>
                <w:szCs w:val="20"/>
              </w:rPr>
            </w:pPr>
          </w:p>
        </w:tc>
        <w:tc>
          <w:tcPr>
            <w:tcW w:w="2693" w:type="dxa"/>
            <w:tcBorders>
              <w:top w:val="single" w:sz="8" w:space="0" w:color="4F81BD"/>
              <w:left w:val="single" w:sz="8" w:space="0" w:color="4F81BD"/>
              <w:bottom w:val="single" w:sz="8" w:space="0" w:color="4F81BD"/>
              <w:right w:val="single" w:sz="8" w:space="0" w:color="4F81BD"/>
            </w:tcBorders>
            <w:shd w:val="clear" w:color="auto" w:fill="auto"/>
            <w:vAlign w:val="center"/>
          </w:tcPr>
          <w:p w:rsidR="00CE1CFD" w:rsidRPr="00F94A69" w:rsidRDefault="00CE1CFD" w:rsidP="002828C8">
            <w:pPr>
              <w:spacing w:line="240" w:lineRule="auto"/>
              <w:jc w:val="left"/>
              <w:rPr>
                <w:rFonts w:eastAsia="Times New Roman" w:cs="Arial"/>
                <w:sz w:val="20"/>
                <w:szCs w:val="20"/>
              </w:rPr>
            </w:pPr>
            <w:r w:rsidRPr="00F94A69">
              <w:rPr>
                <w:rFonts w:eastAsia="Times New Roman" w:cs="Arial"/>
                <w:sz w:val="20"/>
                <w:szCs w:val="20"/>
              </w:rPr>
              <w:t>Aluno de Engenharia Ambiental - USP</w:t>
            </w:r>
          </w:p>
        </w:tc>
        <w:tc>
          <w:tcPr>
            <w:tcW w:w="4159" w:type="dxa"/>
            <w:tcBorders>
              <w:top w:val="single" w:sz="8" w:space="0" w:color="4F81BD"/>
              <w:left w:val="single" w:sz="8" w:space="0" w:color="4F81BD"/>
              <w:bottom w:val="single" w:sz="8" w:space="0" w:color="4F81BD"/>
              <w:right w:val="single" w:sz="8" w:space="0" w:color="4F81BD"/>
            </w:tcBorders>
            <w:shd w:val="clear" w:color="auto" w:fill="auto"/>
            <w:vAlign w:val="center"/>
          </w:tcPr>
          <w:p w:rsidR="00CE1CFD" w:rsidRPr="00F94A69" w:rsidRDefault="00CE1CFD" w:rsidP="002828C8">
            <w:pPr>
              <w:spacing w:line="240" w:lineRule="auto"/>
              <w:jc w:val="left"/>
              <w:rPr>
                <w:rFonts w:eastAsia="Times New Roman" w:cs="Arial"/>
                <w:sz w:val="20"/>
                <w:szCs w:val="20"/>
              </w:rPr>
            </w:pPr>
            <w:r w:rsidRPr="00F94A69">
              <w:rPr>
                <w:rFonts w:eastAsia="Times New Roman" w:cs="Arial"/>
                <w:sz w:val="20"/>
                <w:szCs w:val="20"/>
              </w:rPr>
              <w:t>Estagiário - Colaborador técnico na caracterização geral dos municípios e no setor de Drenagem.</w:t>
            </w:r>
          </w:p>
        </w:tc>
      </w:tr>
      <w:tr w:rsidR="00CE1CFD" w:rsidRPr="00F94A69" w:rsidTr="002828C8">
        <w:trPr>
          <w:trHeight w:val="20"/>
          <w:jc w:val="center"/>
        </w:trPr>
        <w:tc>
          <w:tcPr>
            <w:tcW w:w="3452" w:type="dxa"/>
            <w:tcBorders>
              <w:top w:val="single" w:sz="8" w:space="0" w:color="4F81BD"/>
              <w:left w:val="single" w:sz="8" w:space="0" w:color="4F81BD"/>
              <w:bottom w:val="single" w:sz="8" w:space="0" w:color="4F81BD"/>
              <w:right w:val="single" w:sz="8" w:space="0" w:color="4F81BD"/>
            </w:tcBorders>
            <w:shd w:val="clear" w:color="auto" w:fill="auto"/>
            <w:vAlign w:val="center"/>
          </w:tcPr>
          <w:p w:rsidR="00CE1CFD" w:rsidRPr="00F94A69" w:rsidRDefault="00CE1CFD" w:rsidP="002828C8">
            <w:pPr>
              <w:spacing w:line="240" w:lineRule="auto"/>
              <w:jc w:val="left"/>
              <w:rPr>
                <w:rFonts w:eastAsia="Times New Roman" w:cs="Arial"/>
                <w:b/>
                <w:bCs/>
                <w:sz w:val="20"/>
                <w:szCs w:val="20"/>
              </w:rPr>
            </w:pPr>
            <w:r w:rsidRPr="00F94A69">
              <w:rPr>
                <w:rFonts w:eastAsia="Times New Roman" w:cs="Arial"/>
                <w:b/>
                <w:bCs/>
                <w:sz w:val="20"/>
                <w:szCs w:val="20"/>
              </w:rPr>
              <w:t>Julia Villela Berlingeri</w:t>
            </w:r>
          </w:p>
          <w:p w:rsidR="00CE1CFD" w:rsidRPr="00F94A69" w:rsidRDefault="00CE1CFD" w:rsidP="002828C8">
            <w:pPr>
              <w:spacing w:line="240" w:lineRule="auto"/>
              <w:jc w:val="left"/>
              <w:rPr>
                <w:rFonts w:eastAsia="Times New Roman" w:cs="Arial"/>
                <w:b/>
                <w:bCs/>
                <w:sz w:val="20"/>
                <w:szCs w:val="20"/>
              </w:rPr>
            </w:pPr>
          </w:p>
          <w:p w:rsidR="00CE1CFD" w:rsidRPr="00F94A69" w:rsidRDefault="00CE1CFD" w:rsidP="002828C8">
            <w:pPr>
              <w:spacing w:line="240" w:lineRule="auto"/>
              <w:jc w:val="left"/>
              <w:rPr>
                <w:rFonts w:eastAsia="Times New Roman" w:cs="Arial"/>
                <w:b/>
                <w:bCs/>
                <w:sz w:val="20"/>
                <w:szCs w:val="20"/>
              </w:rPr>
            </w:pPr>
          </w:p>
        </w:tc>
        <w:tc>
          <w:tcPr>
            <w:tcW w:w="2693" w:type="dxa"/>
            <w:tcBorders>
              <w:top w:val="single" w:sz="8" w:space="0" w:color="4F81BD"/>
              <w:left w:val="single" w:sz="8" w:space="0" w:color="4F81BD"/>
              <w:bottom w:val="single" w:sz="8" w:space="0" w:color="4F81BD"/>
              <w:right w:val="single" w:sz="8" w:space="0" w:color="4F81BD"/>
            </w:tcBorders>
            <w:shd w:val="clear" w:color="auto" w:fill="auto"/>
            <w:vAlign w:val="center"/>
          </w:tcPr>
          <w:p w:rsidR="00CE1CFD" w:rsidRPr="00F94A69" w:rsidRDefault="00CE1CFD" w:rsidP="002828C8">
            <w:pPr>
              <w:spacing w:line="240" w:lineRule="auto"/>
              <w:jc w:val="left"/>
              <w:rPr>
                <w:rFonts w:eastAsia="Times New Roman" w:cs="Arial"/>
                <w:sz w:val="20"/>
                <w:szCs w:val="20"/>
              </w:rPr>
            </w:pPr>
            <w:r w:rsidRPr="00F94A69">
              <w:rPr>
                <w:rFonts w:eastAsia="Times New Roman" w:cs="Arial"/>
                <w:sz w:val="20"/>
                <w:szCs w:val="20"/>
              </w:rPr>
              <w:t>Aluna de Engenharia de Produção - UFSCar</w:t>
            </w:r>
          </w:p>
        </w:tc>
        <w:tc>
          <w:tcPr>
            <w:tcW w:w="4159" w:type="dxa"/>
            <w:tcBorders>
              <w:top w:val="single" w:sz="8" w:space="0" w:color="4F81BD"/>
              <w:left w:val="single" w:sz="8" w:space="0" w:color="4F81BD"/>
              <w:bottom w:val="single" w:sz="8" w:space="0" w:color="4F81BD"/>
              <w:right w:val="single" w:sz="8" w:space="0" w:color="4F81BD"/>
            </w:tcBorders>
            <w:shd w:val="clear" w:color="auto" w:fill="auto"/>
            <w:vAlign w:val="center"/>
          </w:tcPr>
          <w:p w:rsidR="00CE1CFD" w:rsidRPr="00F94A69" w:rsidRDefault="00CE1CFD" w:rsidP="002828C8">
            <w:pPr>
              <w:spacing w:line="240" w:lineRule="auto"/>
              <w:jc w:val="left"/>
              <w:rPr>
                <w:rFonts w:eastAsia="Times New Roman" w:cs="Arial"/>
                <w:sz w:val="20"/>
                <w:szCs w:val="20"/>
              </w:rPr>
            </w:pPr>
            <w:r w:rsidRPr="00F94A69">
              <w:rPr>
                <w:rFonts w:eastAsia="Times New Roman" w:cs="Arial"/>
                <w:sz w:val="20"/>
                <w:szCs w:val="20"/>
              </w:rPr>
              <w:t>Estagiária - Colaboradora técnica no setor de caracterização institucional dos municípios.</w:t>
            </w:r>
          </w:p>
        </w:tc>
      </w:tr>
      <w:tr w:rsidR="00CE1CFD" w:rsidRPr="009053B4" w:rsidTr="002828C8">
        <w:trPr>
          <w:trHeight w:val="20"/>
          <w:jc w:val="center"/>
        </w:trPr>
        <w:tc>
          <w:tcPr>
            <w:tcW w:w="3452" w:type="dxa"/>
            <w:tcBorders>
              <w:top w:val="single" w:sz="8" w:space="0" w:color="4F81BD"/>
              <w:left w:val="single" w:sz="8" w:space="0" w:color="4F81BD"/>
              <w:bottom w:val="single" w:sz="8" w:space="0" w:color="4F81BD"/>
              <w:right w:val="single" w:sz="8" w:space="0" w:color="4F81BD"/>
            </w:tcBorders>
            <w:shd w:val="clear" w:color="auto" w:fill="auto"/>
            <w:vAlign w:val="center"/>
          </w:tcPr>
          <w:p w:rsidR="00CE1CFD" w:rsidRPr="00F94A69" w:rsidRDefault="00CE1CFD" w:rsidP="002828C8">
            <w:pPr>
              <w:spacing w:line="240" w:lineRule="auto"/>
              <w:jc w:val="left"/>
              <w:rPr>
                <w:rFonts w:eastAsia="Times New Roman" w:cs="Arial"/>
                <w:b/>
                <w:bCs/>
                <w:sz w:val="20"/>
                <w:szCs w:val="20"/>
              </w:rPr>
            </w:pPr>
            <w:r w:rsidRPr="00F94A69">
              <w:rPr>
                <w:rFonts w:eastAsia="Times New Roman" w:cs="Arial"/>
                <w:b/>
                <w:bCs/>
                <w:sz w:val="20"/>
                <w:szCs w:val="20"/>
              </w:rPr>
              <w:t>Flávia Arlette Oliveira</w:t>
            </w:r>
          </w:p>
        </w:tc>
        <w:tc>
          <w:tcPr>
            <w:tcW w:w="2693" w:type="dxa"/>
            <w:tcBorders>
              <w:top w:val="single" w:sz="8" w:space="0" w:color="4F81BD"/>
              <w:left w:val="single" w:sz="8" w:space="0" w:color="4F81BD"/>
              <w:bottom w:val="single" w:sz="8" w:space="0" w:color="4F81BD"/>
              <w:right w:val="single" w:sz="8" w:space="0" w:color="4F81BD"/>
            </w:tcBorders>
            <w:shd w:val="clear" w:color="auto" w:fill="auto"/>
            <w:vAlign w:val="center"/>
          </w:tcPr>
          <w:p w:rsidR="00CE1CFD" w:rsidRPr="00F94A69" w:rsidRDefault="00CE1CFD" w:rsidP="002828C8">
            <w:pPr>
              <w:spacing w:line="240" w:lineRule="auto"/>
              <w:jc w:val="left"/>
              <w:rPr>
                <w:rFonts w:eastAsia="Times New Roman" w:cs="Arial"/>
                <w:sz w:val="20"/>
                <w:szCs w:val="20"/>
              </w:rPr>
            </w:pPr>
            <w:r w:rsidRPr="00F94A69">
              <w:rPr>
                <w:rFonts w:eastAsia="Times New Roman" w:cs="Arial"/>
                <w:sz w:val="20"/>
                <w:szCs w:val="20"/>
              </w:rPr>
              <w:t>Aluna do Curso de Gestão e Análise Ambiental - UFSCar</w:t>
            </w:r>
          </w:p>
        </w:tc>
        <w:tc>
          <w:tcPr>
            <w:tcW w:w="4159" w:type="dxa"/>
            <w:tcBorders>
              <w:top w:val="single" w:sz="8" w:space="0" w:color="4F81BD"/>
              <w:left w:val="single" w:sz="8" w:space="0" w:color="4F81BD"/>
              <w:bottom w:val="single" w:sz="8" w:space="0" w:color="4F81BD"/>
              <w:right w:val="single" w:sz="8" w:space="0" w:color="4F81BD"/>
            </w:tcBorders>
            <w:shd w:val="clear" w:color="auto" w:fill="auto"/>
            <w:vAlign w:val="center"/>
          </w:tcPr>
          <w:p w:rsidR="00CE1CFD" w:rsidRPr="00F94A69" w:rsidRDefault="00CE1CFD" w:rsidP="002828C8">
            <w:pPr>
              <w:spacing w:line="240" w:lineRule="auto"/>
              <w:jc w:val="left"/>
              <w:rPr>
                <w:rFonts w:eastAsia="Times New Roman" w:cs="Arial"/>
                <w:sz w:val="20"/>
                <w:szCs w:val="20"/>
              </w:rPr>
            </w:pPr>
            <w:r w:rsidRPr="00F94A69">
              <w:rPr>
                <w:rFonts w:eastAsia="Times New Roman" w:cs="Arial"/>
                <w:sz w:val="20"/>
                <w:szCs w:val="20"/>
              </w:rPr>
              <w:t xml:space="preserve">Estagiária - Colaboradora técnica no setor de Esgotamento Sanitário. </w:t>
            </w:r>
          </w:p>
        </w:tc>
      </w:tr>
    </w:tbl>
    <w:p w:rsidR="00CE1CFD" w:rsidRPr="009053B4" w:rsidRDefault="00CE1CFD" w:rsidP="00CE1CFD">
      <w:pPr>
        <w:rPr>
          <w:highlight w:val="yellow"/>
          <w:lang w:eastAsia="pt-BR"/>
        </w:rPr>
      </w:pPr>
    </w:p>
    <w:p w:rsidR="00CE1CFD" w:rsidRPr="009053B4" w:rsidRDefault="00CE1CFD" w:rsidP="00CE1CFD">
      <w:pPr>
        <w:rPr>
          <w:highlight w:val="yellow"/>
          <w:lang w:eastAsia="pt-BR"/>
        </w:rPr>
        <w:sectPr w:rsidR="00CE1CFD" w:rsidRPr="009053B4" w:rsidSect="00CE1CFD">
          <w:headerReference w:type="default" r:id="rId12"/>
          <w:footerReference w:type="default" r:id="rId13"/>
          <w:headerReference w:type="first" r:id="rId14"/>
          <w:footerReference w:type="first" r:id="rId15"/>
          <w:type w:val="continuous"/>
          <w:pgSz w:w="11907" w:h="16840" w:code="9"/>
          <w:pgMar w:top="1134" w:right="1134" w:bottom="1134" w:left="1418" w:header="709" w:footer="709" w:gutter="0"/>
          <w:pgNumType w:fmt="lowerRoman"/>
          <w:cols w:space="720"/>
          <w:titlePg/>
          <w:docGrid w:linePitch="326"/>
        </w:sectPr>
      </w:pPr>
    </w:p>
    <w:p w:rsidR="00C57ADC" w:rsidRPr="000232EC" w:rsidRDefault="00D3693E" w:rsidP="00C57ADC">
      <w:pPr>
        <w:pStyle w:val="SHS-Ttulo01"/>
      </w:pPr>
      <w:bookmarkStart w:id="18" w:name="_Toc497468984"/>
      <w:r w:rsidRPr="000232EC">
        <w:lastRenderedPageBreak/>
        <w:t>CONSIDERAÇÕES PRELIMINARES</w:t>
      </w:r>
      <w:bookmarkEnd w:id="18"/>
    </w:p>
    <w:p w:rsidR="00415C17" w:rsidRPr="000232EC" w:rsidRDefault="00415C17" w:rsidP="00415C17">
      <w:pPr>
        <w:autoSpaceDE w:val="0"/>
        <w:autoSpaceDN w:val="0"/>
        <w:adjustRightInd w:val="0"/>
        <w:ind w:firstLine="709"/>
        <w:rPr>
          <w:rFonts w:cs="Arial"/>
          <w:szCs w:val="24"/>
          <w:lang w:eastAsia="pt-BR"/>
        </w:rPr>
      </w:pPr>
      <w:r w:rsidRPr="000232EC">
        <w:rPr>
          <w:rFonts w:cs="Arial"/>
          <w:szCs w:val="24"/>
          <w:lang w:eastAsia="pt-BR"/>
        </w:rPr>
        <w:t>As Reuniões de Partida realizadas com a participação de representantes do IBIO-AGB-Doce, dos CBHs envolvidos, dos municípios contemplados e da empresa consultora (SHS), foram realizadas em 12/12/2016 em Itabira - MG e 13/12/2016 em Caratinga – MG. Nesses dois eventos foram estabelecidos os primeiros contatos entre os envolvidos com a elaboração dos Planos Municipais de Saneamento Básico e foi traçado um primeiro perfil das etapas que iriam configurar os trabalhos. Segundo o Termo de Referência do contrato</w:t>
      </w:r>
      <w:r w:rsidR="00DD332D" w:rsidRPr="000232EC">
        <w:rPr>
          <w:rFonts w:cs="Arial"/>
          <w:szCs w:val="24"/>
          <w:lang w:eastAsia="pt-BR"/>
        </w:rPr>
        <w:t>,</w:t>
      </w:r>
      <w:r w:rsidRPr="000232EC">
        <w:rPr>
          <w:rFonts w:cs="Arial"/>
          <w:szCs w:val="24"/>
          <w:lang w:eastAsia="pt-BR"/>
        </w:rPr>
        <w:t xml:space="preserve"> os </w:t>
      </w:r>
      <w:r w:rsidR="00DD332D" w:rsidRPr="000232EC">
        <w:rPr>
          <w:rFonts w:cs="Arial"/>
          <w:szCs w:val="24"/>
          <w:lang w:eastAsia="pt-BR"/>
        </w:rPr>
        <w:t>p</w:t>
      </w:r>
      <w:r w:rsidRPr="000232EC">
        <w:rPr>
          <w:rFonts w:cs="Arial"/>
          <w:szCs w:val="24"/>
          <w:lang w:eastAsia="pt-BR"/>
        </w:rPr>
        <w:t>lanos seria</w:t>
      </w:r>
      <w:r w:rsidR="00B1191D" w:rsidRPr="000232EC">
        <w:rPr>
          <w:rFonts w:cs="Arial"/>
          <w:szCs w:val="24"/>
          <w:lang w:eastAsia="pt-BR"/>
        </w:rPr>
        <w:t>m</w:t>
      </w:r>
      <w:r w:rsidRPr="000232EC">
        <w:rPr>
          <w:rFonts w:cs="Arial"/>
          <w:szCs w:val="24"/>
          <w:lang w:eastAsia="pt-BR"/>
        </w:rPr>
        <w:t xml:space="preserve"> construído</w:t>
      </w:r>
      <w:r w:rsidR="00B1191D" w:rsidRPr="000232EC">
        <w:rPr>
          <w:rFonts w:cs="Arial"/>
          <w:szCs w:val="24"/>
          <w:lang w:eastAsia="pt-BR"/>
        </w:rPr>
        <w:t>s</w:t>
      </w:r>
      <w:r w:rsidRPr="000232EC">
        <w:rPr>
          <w:rFonts w:cs="Arial"/>
          <w:szCs w:val="24"/>
          <w:lang w:eastAsia="pt-BR"/>
        </w:rPr>
        <w:t xml:space="preserve"> </w:t>
      </w:r>
      <w:r w:rsidR="00B1191D" w:rsidRPr="000232EC">
        <w:rPr>
          <w:rFonts w:cs="Arial"/>
          <w:szCs w:val="24"/>
          <w:lang w:eastAsia="pt-BR"/>
        </w:rPr>
        <w:t>a partir de diversas etapas</w:t>
      </w:r>
      <w:r w:rsidR="00DD332D" w:rsidRPr="000232EC">
        <w:rPr>
          <w:rFonts w:cs="Arial"/>
          <w:szCs w:val="24"/>
          <w:lang w:eastAsia="pt-BR"/>
        </w:rPr>
        <w:t>,</w:t>
      </w:r>
      <w:r w:rsidR="00B1191D" w:rsidRPr="000232EC">
        <w:rPr>
          <w:rFonts w:cs="Arial"/>
          <w:szCs w:val="24"/>
          <w:lang w:eastAsia="pt-BR"/>
        </w:rPr>
        <w:t xml:space="preserve"> </w:t>
      </w:r>
      <w:r w:rsidR="00DD332D" w:rsidRPr="000232EC">
        <w:rPr>
          <w:rFonts w:cs="Arial"/>
          <w:szCs w:val="24"/>
          <w:lang w:eastAsia="pt-BR"/>
        </w:rPr>
        <w:t>que</w:t>
      </w:r>
      <w:r w:rsidR="00B1191D" w:rsidRPr="000232EC">
        <w:rPr>
          <w:rFonts w:cs="Arial"/>
          <w:szCs w:val="24"/>
          <w:lang w:eastAsia="pt-BR"/>
        </w:rPr>
        <w:t xml:space="preserve"> seriam registradas em relatórios parciais denominados “</w:t>
      </w:r>
      <w:r w:rsidR="00DD332D" w:rsidRPr="000232EC">
        <w:rPr>
          <w:rFonts w:cs="Arial"/>
          <w:szCs w:val="24"/>
          <w:lang w:eastAsia="pt-BR"/>
        </w:rPr>
        <w:t>P</w:t>
      </w:r>
      <w:r w:rsidR="00B1191D" w:rsidRPr="000232EC">
        <w:rPr>
          <w:rFonts w:cs="Arial"/>
          <w:szCs w:val="24"/>
          <w:lang w:eastAsia="pt-BR"/>
        </w:rPr>
        <w:t>rodutos”, conforme especificados a seguir:</w:t>
      </w:r>
    </w:p>
    <w:p w:rsidR="00B1191D" w:rsidRPr="000232EC" w:rsidRDefault="00B1191D" w:rsidP="00A87269">
      <w:pPr>
        <w:pStyle w:val="PargrafodaLista"/>
        <w:numPr>
          <w:ilvl w:val="0"/>
          <w:numId w:val="42"/>
        </w:numPr>
        <w:autoSpaceDE w:val="0"/>
        <w:autoSpaceDN w:val="0"/>
        <w:adjustRightInd w:val="0"/>
        <w:rPr>
          <w:shd w:val="clear" w:color="auto" w:fill="FFFFFF"/>
        </w:rPr>
      </w:pPr>
      <w:r w:rsidRPr="000232EC">
        <w:rPr>
          <w:shd w:val="clear" w:color="auto" w:fill="FFFFFF"/>
        </w:rPr>
        <w:t>Produto 1: Plano de Trabalho</w:t>
      </w:r>
    </w:p>
    <w:p w:rsidR="00B1191D" w:rsidRPr="000232EC" w:rsidRDefault="00B1191D" w:rsidP="00A87269">
      <w:pPr>
        <w:pStyle w:val="PargrafodaLista"/>
        <w:numPr>
          <w:ilvl w:val="0"/>
          <w:numId w:val="42"/>
        </w:numPr>
        <w:autoSpaceDE w:val="0"/>
        <w:autoSpaceDN w:val="0"/>
        <w:adjustRightInd w:val="0"/>
        <w:rPr>
          <w:shd w:val="clear" w:color="auto" w:fill="FFFFFF"/>
        </w:rPr>
      </w:pPr>
      <w:r w:rsidRPr="000232EC">
        <w:rPr>
          <w:shd w:val="clear" w:color="auto" w:fill="FFFFFF"/>
        </w:rPr>
        <w:t>Produto 2: Plano de Comunicação e Mobilização Social</w:t>
      </w:r>
    </w:p>
    <w:p w:rsidR="00B1191D" w:rsidRPr="000232EC" w:rsidRDefault="00B1191D" w:rsidP="00A87269">
      <w:pPr>
        <w:pStyle w:val="PargrafodaLista"/>
        <w:numPr>
          <w:ilvl w:val="0"/>
          <w:numId w:val="42"/>
        </w:numPr>
        <w:autoSpaceDE w:val="0"/>
        <w:autoSpaceDN w:val="0"/>
        <w:adjustRightInd w:val="0"/>
        <w:rPr>
          <w:shd w:val="clear" w:color="auto" w:fill="FFFFFF"/>
        </w:rPr>
      </w:pPr>
      <w:r w:rsidRPr="000232EC">
        <w:rPr>
          <w:shd w:val="clear" w:color="auto" w:fill="FFFFFF"/>
        </w:rPr>
        <w:t>Produto 3: Diagnóstico Técnico-Participativo dos Serviços de Saneamento Básico</w:t>
      </w:r>
    </w:p>
    <w:p w:rsidR="007B7163" w:rsidRPr="000232EC" w:rsidRDefault="00B1191D" w:rsidP="00A87269">
      <w:pPr>
        <w:pStyle w:val="PargrafodaLista"/>
        <w:numPr>
          <w:ilvl w:val="0"/>
          <w:numId w:val="42"/>
        </w:numPr>
        <w:autoSpaceDE w:val="0"/>
        <w:autoSpaceDN w:val="0"/>
        <w:adjustRightInd w:val="0"/>
        <w:rPr>
          <w:shd w:val="clear" w:color="auto" w:fill="FFFFFF"/>
        </w:rPr>
      </w:pPr>
      <w:r w:rsidRPr="000232EC">
        <w:rPr>
          <w:shd w:val="clear" w:color="auto" w:fill="FFFFFF"/>
        </w:rPr>
        <w:t>Produto 4: Prognóstico contemplando</w:t>
      </w:r>
      <w:r w:rsidR="00A044E2" w:rsidRPr="000232EC">
        <w:rPr>
          <w:shd w:val="clear" w:color="auto" w:fill="FFFFFF"/>
        </w:rPr>
        <w:t xml:space="preserve"> </w:t>
      </w:r>
      <w:r w:rsidRPr="000232EC">
        <w:rPr>
          <w:shd w:val="clear" w:color="auto" w:fill="FFFFFF"/>
        </w:rPr>
        <w:t xml:space="preserve">objetivos e metas por componente do saneamento </w:t>
      </w:r>
      <w:r w:rsidR="00A044E2" w:rsidRPr="000232EC">
        <w:rPr>
          <w:shd w:val="clear" w:color="auto" w:fill="FFFFFF"/>
        </w:rPr>
        <w:t xml:space="preserve">e alternativas institucionais para a gestão dos serviços de saneamento básico no município </w:t>
      </w:r>
    </w:p>
    <w:p w:rsidR="00B1191D" w:rsidRPr="000232EC" w:rsidRDefault="00B1191D" w:rsidP="00A87269">
      <w:pPr>
        <w:pStyle w:val="PargrafodaLista"/>
        <w:numPr>
          <w:ilvl w:val="0"/>
          <w:numId w:val="42"/>
        </w:numPr>
        <w:autoSpaceDE w:val="0"/>
        <w:autoSpaceDN w:val="0"/>
        <w:adjustRightInd w:val="0"/>
        <w:rPr>
          <w:shd w:val="clear" w:color="auto" w:fill="FFFFFF"/>
        </w:rPr>
      </w:pPr>
      <w:r w:rsidRPr="000232EC">
        <w:rPr>
          <w:shd w:val="clear" w:color="auto" w:fill="FFFFFF"/>
        </w:rPr>
        <w:t>Produto 5: Programas, projetos e ações por componente do saneamento, com ações emergenciais e contingenciais cabíveis e hierarquização das áreas e/ou programas de intervenção prioritários no município</w:t>
      </w:r>
    </w:p>
    <w:p w:rsidR="00B1191D" w:rsidRPr="000232EC" w:rsidRDefault="00B1191D" w:rsidP="00A87269">
      <w:pPr>
        <w:pStyle w:val="PargrafodaLista"/>
        <w:numPr>
          <w:ilvl w:val="0"/>
          <w:numId w:val="42"/>
        </w:numPr>
        <w:autoSpaceDE w:val="0"/>
        <w:autoSpaceDN w:val="0"/>
        <w:adjustRightInd w:val="0"/>
        <w:rPr>
          <w:shd w:val="clear" w:color="auto" w:fill="FFFFFF"/>
        </w:rPr>
      </w:pPr>
      <w:r w:rsidRPr="000232EC">
        <w:rPr>
          <w:shd w:val="clear" w:color="auto" w:fill="FFFFFF"/>
        </w:rPr>
        <w:t xml:space="preserve">Produto 6: Plano de investimentos dos programas, projetos e ações propostos </w:t>
      </w:r>
    </w:p>
    <w:p w:rsidR="00B1191D" w:rsidRPr="000232EC" w:rsidRDefault="00B1191D" w:rsidP="00A87269">
      <w:pPr>
        <w:pStyle w:val="PargrafodaLista"/>
        <w:numPr>
          <w:ilvl w:val="0"/>
          <w:numId w:val="42"/>
        </w:numPr>
        <w:autoSpaceDE w:val="0"/>
        <w:autoSpaceDN w:val="0"/>
        <w:adjustRightInd w:val="0"/>
        <w:rPr>
          <w:shd w:val="clear" w:color="auto" w:fill="FFFFFF"/>
        </w:rPr>
      </w:pPr>
      <w:r w:rsidRPr="000232EC">
        <w:rPr>
          <w:shd w:val="clear" w:color="auto" w:fill="FFFFFF"/>
        </w:rPr>
        <w:t>Produto 7: Sistema de informações de saneamento básico do município com seleção dos indicadores para monitoramento do PMSB</w:t>
      </w:r>
    </w:p>
    <w:p w:rsidR="003C7DC5" w:rsidRPr="000232EC" w:rsidRDefault="00B1191D" w:rsidP="00A87269">
      <w:pPr>
        <w:pStyle w:val="PargrafodaLista"/>
        <w:numPr>
          <w:ilvl w:val="0"/>
          <w:numId w:val="42"/>
        </w:numPr>
        <w:autoSpaceDE w:val="0"/>
        <w:autoSpaceDN w:val="0"/>
        <w:adjustRightInd w:val="0"/>
        <w:rPr>
          <w:shd w:val="clear" w:color="auto" w:fill="FFFFFF"/>
        </w:rPr>
      </w:pPr>
      <w:r w:rsidRPr="000232EC">
        <w:rPr>
          <w:shd w:val="clear" w:color="auto" w:fill="FFFFFF"/>
        </w:rPr>
        <w:t>Produto 8: Versão consolidada e final do PMSB com a Minuta de Projeto de Lei do PMSB.</w:t>
      </w:r>
    </w:p>
    <w:p w:rsidR="00B1191D" w:rsidRPr="000232EC" w:rsidRDefault="00B1191D" w:rsidP="00594157">
      <w:pPr>
        <w:autoSpaceDE w:val="0"/>
        <w:autoSpaceDN w:val="0"/>
        <w:adjustRightInd w:val="0"/>
        <w:ind w:firstLine="709"/>
        <w:rPr>
          <w:rFonts w:cs="Arial"/>
          <w:szCs w:val="24"/>
          <w:lang w:eastAsia="pt-BR"/>
        </w:rPr>
      </w:pPr>
      <w:r w:rsidRPr="000232EC">
        <w:rPr>
          <w:rFonts w:cs="Arial"/>
          <w:szCs w:val="24"/>
          <w:lang w:eastAsia="pt-BR"/>
        </w:rPr>
        <w:t xml:space="preserve">A seguir menciona-se o histórico de entrega dos produtos </w:t>
      </w:r>
      <w:r w:rsidR="00C02754" w:rsidRPr="000232EC">
        <w:rPr>
          <w:rFonts w:cs="Arial"/>
          <w:szCs w:val="24"/>
          <w:lang w:eastAsia="pt-BR"/>
        </w:rPr>
        <w:t xml:space="preserve">elaborados </w:t>
      </w:r>
      <w:r w:rsidRPr="000232EC">
        <w:rPr>
          <w:rFonts w:cs="Arial"/>
          <w:szCs w:val="24"/>
          <w:lang w:eastAsia="pt-BR"/>
        </w:rPr>
        <w:t>até o momento</w:t>
      </w:r>
      <w:r w:rsidR="00C02754" w:rsidRPr="000232EC">
        <w:rPr>
          <w:rFonts w:cs="Arial"/>
          <w:szCs w:val="24"/>
          <w:lang w:eastAsia="pt-BR"/>
        </w:rPr>
        <w:t>,</w:t>
      </w:r>
      <w:r w:rsidRPr="000232EC">
        <w:rPr>
          <w:rFonts w:cs="Arial"/>
          <w:szCs w:val="24"/>
          <w:lang w:eastAsia="pt-BR"/>
        </w:rPr>
        <w:t xml:space="preserve"> </w:t>
      </w:r>
      <w:r w:rsidR="00C02754" w:rsidRPr="000232EC">
        <w:rPr>
          <w:rFonts w:cs="Arial"/>
          <w:szCs w:val="24"/>
          <w:lang w:eastAsia="pt-BR"/>
        </w:rPr>
        <w:t xml:space="preserve">no processo </w:t>
      </w:r>
      <w:r w:rsidRPr="000232EC">
        <w:rPr>
          <w:rFonts w:cs="Arial"/>
          <w:szCs w:val="24"/>
          <w:lang w:eastAsia="pt-BR"/>
        </w:rPr>
        <w:t>de</w:t>
      </w:r>
      <w:r w:rsidR="00C02754" w:rsidRPr="000232EC">
        <w:rPr>
          <w:rFonts w:cs="Arial"/>
          <w:szCs w:val="24"/>
          <w:lang w:eastAsia="pt-BR"/>
        </w:rPr>
        <w:t xml:space="preserve"> elaboração do Plano Municipal de Saneamento Básico de</w:t>
      </w:r>
      <w:r w:rsidRPr="000232EC">
        <w:rPr>
          <w:rFonts w:cs="Arial"/>
          <w:szCs w:val="24"/>
          <w:lang w:eastAsia="pt-BR"/>
        </w:rPr>
        <w:t xml:space="preserve"> </w:t>
      </w:r>
      <w:r w:rsidR="007A2B6D" w:rsidRPr="000232EC">
        <w:rPr>
          <w:rFonts w:cs="Arial"/>
          <w:szCs w:val="24"/>
          <w:lang w:eastAsia="pt-BR"/>
        </w:rPr>
        <w:t>Córrego Novo</w:t>
      </w:r>
      <w:r w:rsidRPr="000232EC">
        <w:rPr>
          <w:rFonts w:cs="Arial"/>
          <w:szCs w:val="24"/>
          <w:lang w:eastAsia="pt-BR"/>
        </w:rPr>
        <w:t>.</w:t>
      </w:r>
    </w:p>
    <w:p w:rsidR="003C7DC5" w:rsidRPr="000232EC" w:rsidRDefault="003C7DC5" w:rsidP="003C7DC5">
      <w:pPr>
        <w:autoSpaceDE w:val="0"/>
        <w:autoSpaceDN w:val="0"/>
        <w:adjustRightInd w:val="0"/>
        <w:ind w:firstLine="709"/>
        <w:rPr>
          <w:rFonts w:cs="Arial"/>
          <w:szCs w:val="24"/>
          <w:lang w:eastAsia="pt-BR"/>
        </w:rPr>
      </w:pPr>
      <w:r w:rsidRPr="000232EC">
        <w:rPr>
          <w:rFonts w:cs="Arial"/>
          <w:szCs w:val="24"/>
          <w:lang w:eastAsia="pt-BR"/>
        </w:rPr>
        <w:lastRenderedPageBreak/>
        <w:t>O Produto 1 - Plano de Trabalho foi entregue em 10/01/2017 e possui orientações gerais para todo o processo de elaboração do PMSB, sendo um importante instrumento de apoio a todos os envolvidos.</w:t>
      </w:r>
    </w:p>
    <w:p w:rsidR="003C7DC5" w:rsidRPr="000232EC" w:rsidRDefault="003C7DC5" w:rsidP="003C7DC5">
      <w:pPr>
        <w:autoSpaceDE w:val="0"/>
        <w:autoSpaceDN w:val="0"/>
        <w:adjustRightInd w:val="0"/>
        <w:ind w:firstLine="709"/>
        <w:rPr>
          <w:rFonts w:cs="Arial"/>
          <w:szCs w:val="24"/>
          <w:lang w:eastAsia="pt-BR"/>
        </w:rPr>
      </w:pPr>
      <w:r w:rsidRPr="000232EC">
        <w:rPr>
          <w:rFonts w:cs="Arial"/>
          <w:szCs w:val="24"/>
          <w:lang w:eastAsia="pt-BR"/>
        </w:rPr>
        <w:t xml:space="preserve">O Produto 2 - Plano de Comunicação e Mobilização Social foi apresentado à população </w:t>
      </w:r>
      <w:r w:rsidR="00B1191D" w:rsidRPr="000232EC">
        <w:rPr>
          <w:rFonts w:cs="Arial"/>
          <w:szCs w:val="24"/>
          <w:lang w:eastAsia="pt-BR"/>
        </w:rPr>
        <w:t xml:space="preserve">em Seminário realizado em </w:t>
      </w:r>
      <w:r w:rsidR="000232EC" w:rsidRPr="000232EC">
        <w:rPr>
          <w:rFonts w:cs="Arial"/>
          <w:szCs w:val="24"/>
        </w:rPr>
        <w:t xml:space="preserve">07/03/2017, no Salão do Posto de Saúde. </w:t>
      </w:r>
      <w:r w:rsidRPr="000232EC">
        <w:rPr>
          <w:rFonts w:cs="Arial"/>
          <w:szCs w:val="24"/>
          <w:lang w:eastAsia="pt-BR"/>
        </w:rPr>
        <w:t>Esse documento também é de suma importância para o sucesso do Plano, uma vez que tem o objetivo de indicar diretrizes para que os gestores mobilizem a população com embasamento técnico.</w:t>
      </w:r>
    </w:p>
    <w:p w:rsidR="003C7DC5" w:rsidRPr="000232EC" w:rsidRDefault="00AB6706" w:rsidP="003C7DC5">
      <w:pPr>
        <w:ind w:firstLine="708"/>
        <w:rPr>
          <w:rFonts w:cs="Arial"/>
          <w:szCs w:val="24"/>
        </w:rPr>
      </w:pPr>
      <w:r w:rsidRPr="000232EC">
        <w:rPr>
          <w:rFonts w:cs="Arial"/>
          <w:szCs w:val="24"/>
          <w:lang w:eastAsia="pt-BR"/>
        </w:rPr>
        <w:t xml:space="preserve">Produto 3 - </w:t>
      </w:r>
      <w:r w:rsidRPr="000232EC">
        <w:rPr>
          <w:rFonts w:cs="Arial"/>
          <w:szCs w:val="24"/>
        </w:rPr>
        <w:t>Em seminário realizado no dia 1</w:t>
      </w:r>
      <w:r w:rsidR="000232EC" w:rsidRPr="000232EC">
        <w:rPr>
          <w:rFonts w:cs="Arial"/>
          <w:szCs w:val="24"/>
        </w:rPr>
        <w:t>6</w:t>
      </w:r>
      <w:r w:rsidRPr="000232EC">
        <w:rPr>
          <w:rFonts w:cs="Arial"/>
          <w:szCs w:val="24"/>
        </w:rPr>
        <w:t>/05/2017</w:t>
      </w:r>
      <w:r w:rsidR="008F056A" w:rsidRPr="000232EC">
        <w:rPr>
          <w:rFonts w:cs="Arial"/>
          <w:szCs w:val="24"/>
        </w:rPr>
        <w:t xml:space="preserve"> </w:t>
      </w:r>
      <w:r w:rsidRPr="000232EC">
        <w:rPr>
          <w:rFonts w:cs="Arial"/>
          <w:szCs w:val="24"/>
          <w:lang w:eastAsia="pt-BR"/>
        </w:rPr>
        <w:t xml:space="preserve">foi apresentado à </w:t>
      </w:r>
      <w:r w:rsidR="003C7DC5" w:rsidRPr="000232EC">
        <w:rPr>
          <w:rFonts w:cs="Arial"/>
          <w:szCs w:val="24"/>
          <w:lang w:eastAsia="pt-BR"/>
        </w:rPr>
        <w:t xml:space="preserve">população </w:t>
      </w:r>
      <w:r w:rsidRPr="000232EC">
        <w:rPr>
          <w:rFonts w:cs="Arial"/>
          <w:szCs w:val="24"/>
        </w:rPr>
        <w:t>um</w:t>
      </w:r>
      <w:r w:rsidR="003C7DC5" w:rsidRPr="000232EC">
        <w:rPr>
          <w:rFonts w:cs="Arial"/>
          <w:szCs w:val="24"/>
        </w:rPr>
        <w:t xml:space="preserve"> diagnóstico técnico-participativo dos</w:t>
      </w:r>
      <w:r w:rsidRPr="000232EC">
        <w:rPr>
          <w:rFonts w:cs="Arial"/>
          <w:szCs w:val="24"/>
        </w:rPr>
        <w:t xml:space="preserve"> serviços de saneamento básico descrevendo a infraestrutura existente e a</w:t>
      </w:r>
      <w:r w:rsidR="003C7DC5" w:rsidRPr="000232EC">
        <w:rPr>
          <w:rFonts w:cs="Arial"/>
          <w:szCs w:val="24"/>
        </w:rPr>
        <w:t xml:space="preserve"> situação institucional,</w:t>
      </w:r>
      <w:r w:rsidRPr="000232EC">
        <w:rPr>
          <w:rFonts w:cs="Arial"/>
          <w:szCs w:val="24"/>
        </w:rPr>
        <w:t xml:space="preserve"> operacional e gerencial de cada setor ou eixo do saneamento básico municipal. Participaram</w:t>
      </w:r>
      <w:r w:rsidR="003C7DC5" w:rsidRPr="000232EC">
        <w:rPr>
          <w:rFonts w:cs="Arial"/>
          <w:szCs w:val="24"/>
        </w:rPr>
        <w:t xml:space="preserve"> </w:t>
      </w:r>
      <w:r w:rsidRPr="000232EC">
        <w:rPr>
          <w:rFonts w:cs="Arial"/>
          <w:szCs w:val="24"/>
        </w:rPr>
        <w:t xml:space="preserve">cidadãos representando </w:t>
      </w:r>
      <w:r w:rsidR="003C7DC5" w:rsidRPr="000232EC">
        <w:rPr>
          <w:rFonts w:cs="Arial"/>
          <w:szCs w:val="24"/>
        </w:rPr>
        <w:t>diversos segmentos da sociedade, os</w:t>
      </w:r>
      <w:r w:rsidRPr="000232EC">
        <w:rPr>
          <w:rFonts w:cs="Arial"/>
          <w:szCs w:val="24"/>
        </w:rPr>
        <w:t xml:space="preserve"> membros dos</w:t>
      </w:r>
      <w:r w:rsidR="003C7DC5" w:rsidRPr="000232EC">
        <w:rPr>
          <w:rFonts w:cs="Arial"/>
          <w:szCs w:val="24"/>
        </w:rPr>
        <w:t xml:space="preserve"> Comitês do PMSB</w:t>
      </w:r>
      <w:r w:rsidRPr="000232EC">
        <w:rPr>
          <w:rFonts w:cs="Arial"/>
          <w:szCs w:val="24"/>
        </w:rPr>
        <w:t xml:space="preserve"> - Comitê de Coordenação e Comitê Executivo</w:t>
      </w:r>
      <w:r w:rsidR="003C7DC5" w:rsidRPr="000232EC">
        <w:rPr>
          <w:rFonts w:cs="Arial"/>
          <w:szCs w:val="24"/>
        </w:rPr>
        <w:t xml:space="preserve"> e a SHS Consultoria</w:t>
      </w:r>
      <w:r w:rsidRPr="000232EC">
        <w:rPr>
          <w:rFonts w:cs="Arial"/>
          <w:szCs w:val="24"/>
        </w:rPr>
        <w:t xml:space="preserve">. </w:t>
      </w:r>
      <w:r w:rsidR="003C7DC5" w:rsidRPr="000232EC">
        <w:rPr>
          <w:rFonts w:cs="Arial"/>
          <w:szCs w:val="24"/>
        </w:rPr>
        <w:t xml:space="preserve">Esse diagnóstico </w:t>
      </w:r>
      <w:r w:rsidRPr="000232EC">
        <w:rPr>
          <w:rFonts w:cs="Arial"/>
          <w:szCs w:val="24"/>
        </w:rPr>
        <w:t xml:space="preserve">deve </w:t>
      </w:r>
      <w:r w:rsidR="003C7DC5" w:rsidRPr="000232EC">
        <w:rPr>
          <w:rFonts w:cs="Arial"/>
          <w:szCs w:val="24"/>
        </w:rPr>
        <w:t>serv</w:t>
      </w:r>
      <w:r w:rsidRPr="000232EC">
        <w:rPr>
          <w:rFonts w:cs="Arial"/>
          <w:szCs w:val="24"/>
        </w:rPr>
        <w:t>ir</w:t>
      </w:r>
      <w:r w:rsidR="003C7DC5" w:rsidRPr="000232EC">
        <w:rPr>
          <w:rFonts w:cs="Arial"/>
          <w:szCs w:val="24"/>
        </w:rPr>
        <w:t xml:space="preserve"> de base para a elaboração de estratégias de atuação </w:t>
      </w:r>
      <w:r w:rsidRPr="000232EC">
        <w:rPr>
          <w:rFonts w:cs="Arial"/>
          <w:szCs w:val="24"/>
        </w:rPr>
        <w:t xml:space="preserve">visando </w:t>
      </w:r>
      <w:r w:rsidR="002256EA" w:rsidRPr="000232EC">
        <w:rPr>
          <w:rFonts w:cs="Arial"/>
          <w:szCs w:val="24"/>
        </w:rPr>
        <w:t>à</w:t>
      </w:r>
      <w:r w:rsidR="003C7DC5" w:rsidRPr="000232EC">
        <w:rPr>
          <w:rFonts w:cs="Arial"/>
          <w:szCs w:val="24"/>
        </w:rPr>
        <w:t>s melhorias pretendidas</w:t>
      </w:r>
      <w:r w:rsidRPr="000232EC">
        <w:rPr>
          <w:rFonts w:cs="Arial"/>
          <w:szCs w:val="24"/>
        </w:rPr>
        <w:t xml:space="preserve"> pela Lei de Saneamento</w:t>
      </w:r>
      <w:r w:rsidR="003C7DC5" w:rsidRPr="000232EC">
        <w:rPr>
          <w:rFonts w:cs="Arial"/>
          <w:szCs w:val="24"/>
        </w:rPr>
        <w:t>.</w:t>
      </w:r>
    </w:p>
    <w:p w:rsidR="00C02754" w:rsidRPr="000232EC" w:rsidRDefault="003C7DC5" w:rsidP="0033603A">
      <w:pPr>
        <w:autoSpaceDE w:val="0"/>
        <w:autoSpaceDN w:val="0"/>
        <w:adjustRightInd w:val="0"/>
        <w:ind w:firstLine="709"/>
        <w:rPr>
          <w:rFonts w:cs="Arial"/>
          <w:b/>
          <w:szCs w:val="24"/>
          <w:lang w:eastAsia="pt-BR"/>
        </w:rPr>
      </w:pPr>
      <w:r w:rsidRPr="000232EC">
        <w:rPr>
          <w:rFonts w:cs="Arial"/>
          <w:b/>
          <w:szCs w:val="24"/>
          <w:lang w:eastAsia="pt-BR"/>
        </w:rPr>
        <w:t xml:space="preserve">Produto 4 – </w:t>
      </w:r>
      <w:r w:rsidR="00037781" w:rsidRPr="000232EC">
        <w:rPr>
          <w:rFonts w:cs="Arial"/>
          <w:b/>
          <w:szCs w:val="24"/>
          <w:lang w:eastAsia="pt-BR"/>
        </w:rPr>
        <w:t xml:space="preserve">Foi apresentada à população de </w:t>
      </w:r>
      <w:r w:rsidR="007A2B6D" w:rsidRPr="000232EC">
        <w:rPr>
          <w:rFonts w:cs="Arial"/>
          <w:b/>
          <w:szCs w:val="24"/>
          <w:lang w:eastAsia="pt-BR"/>
        </w:rPr>
        <w:t>Córrego Novo</w:t>
      </w:r>
      <w:r w:rsidR="00037781" w:rsidRPr="000232EC">
        <w:rPr>
          <w:rFonts w:cs="Arial"/>
          <w:b/>
          <w:szCs w:val="24"/>
          <w:lang w:eastAsia="pt-BR"/>
        </w:rPr>
        <w:t xml:space="preserve">, em </w:t>
      </w:r>
      <w:r w:rsidR="008F056A" w:rsidRPr="000232EC">
        <w:rPr>
          <w:rFonts w:cs="Arial"/>
          <w:b/>
          <w:szCs w:val="24"/>
          <w:lang w:eastAsia="pt-BR"/>
        </w:rPr>
        <w:t>20</w:t>
      </w:r>
      <w:r w:rsidR="00037781" w:rsidRPr="000232EC">
        <w:rPr>
          <w:rFonts w:cs="Arial"/>
          <w:b/>
          <w:szCs w:val="24"/>
          <w:lang w:eastAsia="pt-BR"/>
        </w:rPr>
        <w:t>/06/2017, a versão preliminar deste produto (P4),</w:t>
      </w:r>
      <w:r w:rsidR="00AB6706" w:rsidRPr="000232EC">
        <w:rPr>
          <w:rFonts w:cs="Arial"/>
          <w:b/>
          <w:szCs w:val="24"/>
          <w:lang w:eastAsia="pt-BR"/>
        </w:rPr>
        <w:t xml:space="preserve"> contemplando </w:t>
      </w:r>
      <w:r w:rsidR="00A400B6" w:rsidRPr="000232EC">
        <w:rPr>
          <w:rFonts w:cs="Arial"/>
          <w:b/>
          <w:szCs w:val="24"/>
          <w:lang w:eastAsia="pt-BR"/>
        </w:rPr>
        <w:t xml:space="preserve">os </w:t>
      </w:r>
      <w:r w:rsidR="00AB6706" w:rsidRPr="000232EC">
        <w:rPr>
          <w:rFonts w:cs="Arial"/>
          <w:b/>
          <w:szCs w:val="24"/>
          <w:lang w:eastAsia="pt-BR"/>
        </w:rPr>
        <w:t xml:space="preserve">objetivos e metas </w:t>
      </w:r>
      <w:r w:rsidR="00037781" w:rsidRPr="000232EC">
        <w:rPr>
          <w:rFonts w:cs="Arial"/>
          <w:b/>
          <w:szCs w:val="24"/>
          <w:lang w:eastAsia="pt-BR"/>
        </w:rPr>
        <w:t xml:space="preserve">necessários para a instauração de uma </w:t>
      </w:r>
      <w:r w:rsidR="00A400B6" w:rsidRPr="000232EC">
        <w:rPr>
          <w:rFonts w:cs="Arial"/>
          <w:b/>
          <w:szCs w:val="24"/>
          <w:lang w:eastAsia="pt-BR"/>
        </w:rPr>
        <w:t xml:space="preserve">gestão integrada dos setores do </w:t>
      </w:r>
      <w:r w:rsidR="00AB6706" w:rsidRPr="000232EC">
        <w:rPr>
          <w:rFonts w:cs="Arial"/>
          <w:b/>
          <w:szCs w:val="24"/>
          <w:lang w:eastAsia="pt-BR"/>
        </w:rPr>
        <w:t>saneamento</w:t>
      </w:r>
      <w:r w:rsidR="00037781" w:rsidRPr="000232EC">
        <w:rPr>
          <w:rFonts w:cs="Arial"/>
          <w:b/>
          <w:szCs w:val="24"/>
          <w:lang w:eastAsia="pt-BR"/>
        </w:rPr>
        <w:t xml:space="preserve">, considerando o horizonte de planejamento de </w:t>
      </w:r>
      <w:r w:rsidR="002256EA" w:rsidRPr="000232EC">
        <w:rPr>
          <w:rFonts w:cs="Arial"/>
          <w:b/>
          <w:szCs w:val="24"/>
          <w:lang w:eastAsia="pt-BR"/>
        </w:rPr>
        <w:t>vinte</w:t>
      </w:r>
      <w:r w:rsidR="00037781" w:rsidRPr="000232EC">
        <w:rPr>
          <w:rFonts w:cs="Arial"/>
          <w:b/>
          <w:szCs w:val="24"/>
          <w:lang w:eastAsia="pt-BR"/>
        </w:rPr>
        <w:t xml:space="preserve"> anos.</w:t>
      </w:r>
    </w:p>
    <w:p w:rsidR="00037781" w:rsidRPr="000232EC" w:rsidRDefault="00A400B6" w:rsidP="0033603A">
      <w:pPr>
        <w:autoSpaceDE w:val="0"/>
        <w:autoSpaceDN w:val="0"/>
        <w:adjustRightInd w:val="0"/>
        <w:ind w:firstLine="709"/>
        <w:rPr>
          <w:rFonts w:cs="Arial"/>
          <w:szCs w:val="24"/>
          <w:lang w:eastAsia="pt-BR"/>
        </w:rPr>
      </w:pPr>
      <w:r w:rsidRPr="000232EC">
        <w:rPr>
          <w:rFonts w:cs="Arial"/>
          <w:szCs w:val="24"/>
          <w:lang w:eastAsia="pt-BR"/>
        </w:rPr>
        <w:t>O presente relatório</w:t>
      </w:r>
      <w:r w:rsidR="00037781" w:rsidRPr="000232EC">
        <w:rPr>
          <w:rFonts w:cs="Arial"/>
          <w:szCs w:val="24"/>
          <w:lang w:eastAsia="pt-BR"/>
        </w:rPr>
        <w:t xml:space="preserve"> (P4R0)</w:t>
      </w:r>
      <w:r w:rsidRPr="000232EC">
        <w:rPr>
          <w:rFonts w:cs="Arial"/>
          <w:szCs w:val="24"/>
          <w:lang w:eastAsia="pt-BR"/>
        </w:rPr>
        <w:t xml:space="preserve"> traz </w:t>
      </w:r>
      <w:r w:rsidR="00C02754" w:rsidRPr="000232EC">
        <w:rPr>
          <w:rFonts w:cs="Arial"/>
          <w:szCs w:val="24"/>
          <w:lang w:eastAsia="pt-BR"/>
        </w:rPr>
        <w:t>os objetivos e metas</w:t>
      </w:r>
      <w:r w:rsidR="007B7163" w:rsidRPr="000232EC">
        <w:rPr>
          <w:rFonts w:cs="Arial"/>
          <w:szCs w:val="24"/>
          <w:lang w:eastAsia="pt-BR"/>
        </w:rPr>
        <w:t>,</w:t>
      </w:r>
      <w:r w:rsidR="00C02754" w:rsidRPr="000232EC">
        <w:rPr>
          <w:rFonts w:cs="Arial"/>
          <w:szCs w:val="24"/>
          <w:lang w:eastAsia="pt-BR"/>
        </w:rPr>
        <w:t xml:space="preserve"> já avaliados pelos participantes da reunião pública</w:t>
      </w:r>
      <w:r w:rsidR="007B7163" w:rsidRPr="000232EC">
        <w:rPr>
          <w:rFonts w:cs="Arial"/>
          <w:szCs w:val="24"/>
          <w:lang w:eastAsia="pt-BR"/>
        </w:rPr>
        <w:t>,</w:t>
      </w:r>
      <w:r w:rsidR="00037781" w:rsidRPr="000232EC">
        <w:rPr>
          <w:rFonts w:cs="Arial"/>
          <w:szCs w:val="24"/>
          <w:lang w:eastAsia="pt-BR"/>
        </w:rPr>
        <w:t xml:space="preserve"> </w:t>
      </w:r>
      <w:r w:rsidR="007B7163" w:rsidRPr="000232EC">
        <w:rPr>
          <w:rFonts w:cs="Arial"/>
          <w:szCs w:val="24"/>
          <w:lang w:eastAsia="pt-BR"/>
        </w:rPr>
        <w:t xml:space="preserve">e </w:t>
      </w:r>
      <w:r w:rsidR="00C02754" w:rsidRPr="000232EC">
        <w:rPr>
          <w:rFonts w:cs="Arial"/>
          <w:szCs w:val="24"/>
          <w:lang w:eastAsia="pt-BR"/>
        </w:rPr>
        <w:t xml:space="preserve">os estudos de demandas futuras relacionadas aos quatro eixos do saneamento, </w:t>
      </w:r>
      <w:r w:rsidR="007B7163" w:rsidRPr="000232EC">
        <w:rPr>
          <w:rFonts w:cs="Arial"/>
          <w:szCs w:val="24"/>
          <w:lang w:eastAsia="pt-BR"/>
        </w:rPr>
        <w:t>as quais</w:t>
      </w:r>
      <w:r w:rsidR="00C02754" w:rsidRPr="000232EC">
        <w:rPr>
          <w:rFonts w:cs="Arial"/>
          <w:szCs w:val="24"/>
          <w:lang w:eastAsia="pt-BR"/>
        </w:rPr>
        <w:t xml:space="preserve"> também subsidiaram a definição de metas específicas. Visando orientar o gestor público no encaminhamento de suas funções no âmbito da prestação de serviços </w:t>
      </w:r>
      <w:r w:rsidR="00037781" w:rsidRPr="000232EC">
        <w:rPr>
          <w:rFonts w:cs="Arial"/>
          <w:szCs w:val="24"/>
          <w:lang w:eastAsia="pt-BR"/>
        </w:rPr>
        <w:t>em saneamento, e</w:t>
      </w:r>
      <w:r w:rsidR="00C02754" w:rsidRPr="000232EC">
        <w:rPr>
          <w:rFonts w:cs="Arial"/>
          <w:szCs w:val="24"/>
          <w:lang w:eastAsia="pt-BR"/>
        </w:rPr>
        <w:t xml:space="preserve">ste produto apresenta também uma série de </w:t>
      </w:r>
      <w:r w:rsidRPr="000232EC">
        <w:rPr>
          <w:rFonts w:cs="Arial"/>
          <w:szCs w:val="24"/>
          <w:lang w:eastAsia="pt-BR"/>
        </w:rPr>
        <w:t>normas e procedimentos a serem atendidos quando da implementaç</w:t>
      </w:r>
      <w:r w:rsidR="00037781" w:rsidRPr="000232EC">
        <w:rPr>
          <w:rFonts w:cs="Arial"/>
          <w:szCs w:val="24"/>
          <w:lang w:eastAsia="pt-BR"/>
        </w:rPr>
        <w:t xml:space="preserve">ão do </w:t>
      </w:r>
      <w:r w:rsidRPr="000232EC">
        <w:rPr>
          <w:rFonts w:cs="Arial"/>
          <w:szCs w:val="24"/>
          <w:lang w:eastAsia="pt-BR"/>
        </w:rPr>
        <w:t>PMSB</w:t>
      </w:r>
      <w:r w:rsidR="00037781" w:rsidRPr="000232EC">
        <w:rPr>
          <w:rFonts w:cs="Arial"/>
          <w:szCs w:val="24"/>
          <w:lang w:eastAsia="pt-BR"/>
        </w:rPr>
        <w:t>, além de descrever alguns modelos de gestão de prestação dos serviços, de forma que o município, no momento oportuno, possa escolher o que melhor lhe convier.</w:t>
      </w:r>
    </w:p>
    <w:p w:rsidR="00037781" w:rsidRPr="007A2B6D" w:rsidRDefault="00037781" w:rsidP="0033603A">
      <w:pPr>
        <w:autoSpaceDE w:val="0"/>
        <w:autoSpaceDN w:val="0"/>
        <w:adjustRightInd w:val="0"/>
        <w:ind w:firstLine="709"/>
        <w:rPr>
          <w:rFonts w:cs="Arial"/>
          <w:b/>
          <w:szCs w:val="24"/>
          <w:highlight w:val="yellow"/>
          <w:lang w:eastAsia="pt-BR"/>
        </w:rPr>
      </w:pPr>
    </w:p>
    <w:p w:rsidR="00C57ADC" w:rsidRPr="007A2B6D" w:rsidRDefault="00C57ADC" w:rsidP="00C57ADC">
      <w:pPr>
        <w:spacing w:after="200" w:line="276" w:lineRule="auto"/>
        <w:jc w:val="left"/>
        <w:rPr>
          <w:rFonts w:cs="Arial"/>
          <w:szCs w:val="24"/>
          <w:highlight w:val="yellow"/>
          <w:lang w:eastAsia="pt-BR"/>
        </w:rPr>
      </w:pPr>
      <w:r w:rsidRPr="007A2B6D">
        <w:rPr>
          <w:rFonts w:cs="Arial"/>
          <w:szCs w:val="24"/>
          <w:highlight w:val="yellow"/>
          <w:lang w:eastAsia="pt-BR"/>
        </w:rPr>
        <w:br w:type="page"/>
      </w:r>
    </w:p>
    <w:p w:rsidR="00C57ADC" w:rsidRPr="00F94A69" w:rsidRDefault="00C57ADC" w:rsidP="00C57ADC">
      <w:pPr>
        <w:pStyle w:val="SHS-Ttulo01"/>
      </w:pPr>
      <w:bookmarkStart w:id="19" w:name="_Toc497468985"/>
      <w:r w:rsidRPr="00F94A69">
        <w:lastRenderedPageBreak/>
        <w:t>PROJEÇÕES E ESTIMATIVAS DE DEMANDA DOS SERVIÇOS PÚBLICOS DE SANEAMENTO BÁSICO</w:t>
      </w:r>
      <w:bookmarkEnd w:id="19"/>
    </w:p>
    <w:p w:rsidR="00C57ADC" w:rsidRPr="002828C8" w:rsidRDefault="00C57ADC" w:rsidP="002828C8">
      <w:pPr>
        <w:pStyle w:val="SHS-Ttulo02"/>
      </w:pPr>
      <w:bookmarkStart w:id="20" w:name="_Toc497468986"/>
      <w:r w:rsidRPr="002828C8">
        <w:t>Sistema de Abastecimento de Água</w:t>
      </w:r>
      <w:bookmarkEnd w:id="20"/>
    </w:p>
    <w:p w:rsidR="00C57ADC" w:rsidRPr="00363C60" w:rsidRDefault="00C57ADC" w:rsidP="002828C8">
      <w:pPr>
        <w:pStyle w:val="Ttulo3"/>
      </w:pPr>
      <w:bookmarkStart w:id="21" w:name="_Toc497468987"/>
      <w:r w:rsidRPr="00363C60">
        <w:t>Projeção das demandas do Sistema de Abastecimento de Água</w:t>
      </w:r>
      <w:bookmarkEnd w:id="21"/>
    </w:p>
    <w:p w:rsidR="00193B74" w:rsidRPr="00363C60" w:rsidRDefault="00193B74" w:rsidP="00193B74">
      <w:pPr>
        <w:ind w:firstLine="709"/>
        <w:contextualSpacing/>
        <w:rPr>
          <w:rFonts w:cs="Arial"/>
        </w:rPr>
      </w:pPr>
      <w:bookmarkStart w:id="22" w:name="_Toc404325634"/>
      <w:r w:rsidRPr="00363C60">
        <w:rPr>
          <w:rFonts w:cs="Arial"/>
        </w:rPr>
        <w:t xml:space="preserve">A fim de se estimar a demanda de água no município em um horizonte de 20 anos – de 2018 a 2038 – foram consideradas as projeções populacionais para este período, bem como os dados mais recentes para o índice de perdas, o consumo </w:t>
      </w:r>
      <w:r w:rsidRPr="00363C60">
        <w:rPr>
          <w:rFonts w:cs="Arial"/>
          <w:i/>
        </w:rPr>
        <w:t>per capita</w:t>
      </w:r>
      <w:r w:rsidRPr="00363C60">
        <w:rPr>
          <w:rFonts w:cs="Arial"/>
        </w:rPr>
        <w:t xml:space="preserve"> e o índice de atendimento.</w:t>
      </w:r>
    </w:p>
    <w:p w:rsidR="00193B74" w:rsidRPr="00363C60" w:rsidRDefault="00193B74" w:rsidP="00193B74">
      <w:pPr>
        <w:ind w:firstLine="709"/>
        <w:contextualSpacing/>
        <w:rPr>
          <w:rFonts w:cs="Arial"/>
        </w:rPr>
      </w:pPr>
      <w:r w:rsidRPr="00363C60">
        <w:rPr>
          <w:rFonts w:cs="Arial"/>
        </w:rPr>
        <w:t xml:space="preserve">Inicialmente, foi calculada a demanda </w:t>
      </w:r>
      <w:r w:rsidRPr="00363C60">
        <w:rPr>
          <w:rFonts w:cs="Arial"/>
          <w:i/>
        </w:rPr>
        <w:t>per capita</w:t>
      </w:r>
      <w:r w:rsidRPr="00363C60">
        <w:rPr>
          <w:rFonts w:cs="Arial"/>
        </w:rPr>
        <w:t xml:space="preserve"> com as perdas, através da </w:t>
      </w:r>
      <w:r w:rsidRPr="00363C60">
        <w:fldChar w:fldCharType="begin"/>
      </w:r>
      <w:r w:rsidRPr="00363C60">
        <w:instrText xml:space="preserve"> REF _Ref430955339 \h  \* MERGEFORMAT </w:instrText>
      </w:r>
      <w:r w:rsidRPr="00363C60">
        <w:fldChar w:fldCharType="separate"/>
      </w:r>
      <w:r w:rsidR="004D1D76" w:rsidRPr="004D1D76">
        <w:rPr>
          <w:rFonts w:cs="Arial"/>
          <w:szCs w:val="24"/>
        </w:rPr>
        <w:t>Equação 1</w:t>
      </w:r>
      <w:r w:rsidRPr="00363C60">
        <w:fldChar w:fldCharType="end"/>
      </w:r>
      <w:r w:rsidRPr="00363C60">
        <w:rPr>
          <w:rFonts w:cs="Arial"/>
          <w:szCs w:val="24"/>
        </w:rPr>
        <w:t>, considerando-se que não haja redução de perdas de água ou aumento</w:t>
      </w:r>
      <w:r w:rsidRPr="00363C60">
        <w:rPr>
          <w:rFonts w:cs="Arial"/>
        </w:rPr>
        <w:t xml:space="preserve"> do consumo </w:t>
      </w:r>
      <w:r w:rsidRPr="00363C60">
        <w:rPr>
          <w:rFonts w:cs="Arial"/>
          <w:i/>
        </w:rPr>
        <w:t>per capita</w:t>
      </w:r>
      <w:r w:rsidRPr="00363C60">
        <w:rPr>
          <w:rFonts w:cs="Arial"/>
        </w:rPr>
        <w:t>.</w:t>
      </w:r>
    </w:p>
    <w:bookmarkEnd w:id="22"/>
    <w:p w:rsidR="00193B74" w:rsidRPr="00363C60" w:rsidRDefault="00193B74" w:rsidP="00193B74">
      <w:pPr>
        <w:pStyle w:val="Legenda"/>
        <w:rPr>
          <w:b w:val="0"/>
        </w:rPr>
      </w:pPr>
      <m:oMathPara>
        <m:oMath>
          <m:r>
            <m:rPr>
              <m:sty m:val="bi"/>
            </m:rPr>
            <w:rPr>
              <w:rFonts w:ascii="Cambria Math" w:hAnsi="Cambria Math"/>
            </w:rPr>
            <m:t>d=</m:t>
          </m:r>
          <m:f>
            <m:fPr>
              <m:ctrlPr>
                <w:rPr>
                  <w:rFonts w:ascii="Cambria Math" w:hAnsi="Cambria Math"/>
                  <w:i/>
                </w:rPr>
              </m:ctrlPr>
            </m:fPr>
            <m:num>
              <m:r>
                <m:rPr>
                  <m:sty m:val="bi"/>
                </m:rPr>
                <w:rPr>
                  <w:rFonts w:ascii="Cambria Math" w:hAnsi="Cambria Math"/>
                </w:rPr>
                <m:t>q×100</m:t>
              </m:r>
            </m:num>
            <m:den>
              <m:r>
                <m:rPr>
                  <m:sty m:val="bi"/>
                </m:rPr>
                <w:rPr>
                  <w:rFonts w:ascii="Cambria Math" w:hAnsi="Cambria Math"/>
                </w:rPr>
                <m:t>100-IP</m:t>
              </m:r>
            </m:den>
          </m:f>
        </m:oMath>
      </m:oMathPara>
    </w:p>
    <w:p w:rsidR="00193B74" w:rsidRPr="00363C60" w:rsidRDefault="00193B74" w:rsidP="00193B74">
      <w:pPr>
        <w:pStyle w:val="Legenda"/>
      </w:pPr>
      <w:bookmarkStart w:id="23" w:name="_Ref430955339"/>
      <w:r w:rsidRPr="00363C60">
        <w:t xml:space="preserve">Equação </w:t>
      </w:r>
      <w:r w:rsidR="00D71C43">
        <w:fldChar w:fldCharType="begin"/>
      </w:r>
      <w:r w:rsidR="00D71C43">
        <w:instrText xml:space="preserve"> SEQ Equação \* ARABIC </w:instrText>
      </w:r>
      <w:r w:rsidR="00D71C43">
        <w:fldChar w:fldCharType="separate"/>
      </w:r>
      <w:r w:rsidR="004D1D76">
        <w:rPr>
          <w:noProof/>
        </w:rPr>
        <w:t>1</w:t>
      </w:r>
      <w:r w:rsidR="00D71C43">
        <w:rPr>
          <w:noProof/>
        </w:rPr>
        <w:fldChar w:fldCharType="end"/>
      </w:r>
      <w:bookmarkEnd w:id="23"/>
    </w:p>
    <w:p w:rsidR="00193B74" w:rsidRPr="00363C60" w:rsidRDefault="00193B74" w:rsidP="00193B74">
      <w:pPr>
        <w:contextualSpacing/>
        <w:rPr>
          <w:rFonts w:cs="Arial"/>
        </w:rPr>
      </w:pPr>
      <w:r w:rsidRPr="00363C60">
        <w:rPr>
          <w:rFonts w:cs="Arial"/>
        </w:rPr>
        <w:t xml:space="preserve">Em que: </w:t>
      </w:r>
      <w:r w:rsidRPr="00363C60">
        <w:rPr>
          <w:rFonts w:cs="Arial"/>
        </w:rPr>
        <w:tab/>
        <w:t xml:space="preserve">d = demanda </w:t>
      </w:r>
      <w:r w:rsidRPr="00363C60">
        <w:rPr>
          <w:rFonts w:cs="Arial"/>
          <w:i/>
        </w:rPr>
        <w:t>per capita</w:t>
      </w:r>
      <w:r w:rsidRPr="00363C60">
        <w:rPr>
          <w:rFonts w:cs="Arial"/>
        </w:rPr>
        <w:t xml:space="preserve"> de água com as perdas (L/hab.dia);</w:t>
      </w:r>
    </w:p>
    <w:p w:rsidR="00193B74" w:rsidRPr="00363C60" w:rsidRDefault="00193B74" w:rsidP="00193B74">
      <w:pPr>
        <w:contextualSpacing/>
        <w:rPr>
          <w:rFonts w:cs="Arial"/>
        </w:rPr>
      </w:pPr>
      <w:r w:rsidRPr="00363C60">
        <w:rPr>
          <w:rFonts w:cs="Arial"/>
        </w:rPr>
        <w:tab/>
      </w:r>
      <w:r w:rsidRPr="00363C60">
        <w:rPr>
          <w:rFonts w:cs="Arial"/>
        </w:rPr>
        <w:tab/>
        <w:t xml:space="preserve">q = consumo </w:t>
      </w:r>
      <w:r w:rsidRPr="00363C60">
        <w:rPr>
          <w:rFonts w:cs="Arial"/>
          <w:i/>
        </w:rPr>
        <w:t>per capita</w:t>
      </w:r>
      <w:r w:rsidRPr="00363C60">
        <w:rPr>
          <w:rFonts w:cs="Arial"/>
        </w:rPr>
        <w:t xml:space="preserve"> de água (L/hab.dia);</w:t>
      </w:r>
    </w:p>
    <w:p w:rsidR="00193B74" w:rsidRPr="00363C60" w:rsidRDefault="00193B74" w:rsidP="00193B74">
      <w:pPr>
        <w:contextualSpacing/>
        <w:rPr>
          <w:rFonts w:cs="Arial"/>
        </w:rPr>
      </w:pPr>
      <w:r w:rsidRPr="00363C60">
        <w:rPr>
          <w:rFonts w:cs="Arial"/>
        </w:rPr>
        <w:tab/>
      </w:r>
      <w:r w:rsidRPr="00363C60">
        <w:rPr>
          <w:rFonts w:cs="Arial"/>
        </w:rPr>
        <w:tab/>
        <w:t>IP = índice de perdas (%).</w:t>
      </w:r>
    </w:p>
    <w:p w:rsidR="00193B74" w:rsidRPr="00363C60" w:rsidRDefault="00193B74" w:rsidP="00193B74">
      <w:pPr>
        <w:contextualSpacing/>
        <w:rPr>
          <w:rFonts w:cs="Arial"/>
        </w:rPr>
      </w:pPr>
      <w:r w:rsidRPr="00363C60">
        <w:rPr>
          <w:rFonts w:cs="Arial"/>
        </w:rPr>
        <w:tab/>
        <w:t xml:space="preserve">Em seguida, foi calculada a evolução da demanda, </w:t>
      </w:r>
      <w:r w:rsidRPr="00363C60">
        <w:rPr>
          <w:rFonts w:cs="Arial"/>
          <w:szCs w:val="24"/>
        </w:rPr>
        <w:t xml:space="preserve">através da </w:t>
      </w:r>
      <w:r w:rsidRPr="00363C60">
        <w:fldChar w:fldCharType="begin"/>
      </w:r>
      <w:r w:rsidRPr="00363C60">
        <w:instrText xml:space="preserve"> REF _Ref430955358 \h  \* MERGEFORMAT </w:instrText>
      </w:r>
      <w:r w:rsidRPr="00363C60">
        <w:fldChar w:fldCharType="separate"/>
      </w:r>
      <w:r w:rsidR="004D1D76" w:rsidRPr="004D1D76">
        <w:rPr>
          <w:rFonts w:cs="Arial"/>
          <w:szCs w:val="24"/>
        </w:rPr>
        <w:t>Equação 2</w:t>
      </w:r>
      <w:r w:rsidRPr="00363C60">
        <w:fldChar w:fldCharType="end"/>
      </w:r>
      <w:r w:rsidRPr="00363C60">
        <w:rPr>
          <w:rFonts w:cs="Arial"/>
          <w:szCs w:val="24"/>
        </w:rPr>
        <w:t>,</w:t>
      </w:r>
      <w:r w:rsidRPr="00363C60">
        <w:rPr>
          <w:rFonts w:cs="Arial"/>
        </w:rPr>
        <w:t xml:space="preserve"> considerando-se as projeções populacionais e o incremento gradual do índice de atendimento até chegar a 100% em 2038.</w:t>
      </w:r>
    </w:p>
    <w:p w:rsidR="00193B74" w:rsidRPr="00363C60" w:rsidRDefault="00193B74" w:rsidP="00193B74">
      <w:pPr>
        <w:keepNext/>
        <w:contextualSpacing/>
      </w:pPr>
      <m:oMathPara>
        <m:oMath>
          <m:r>
            <w:rPr>
              <w:rFonts w:ascii="Cambria Math" w:hAnsi="Cambria Math" w:cs="Arial"/>
            </w:rPr>
            <m:t>D=</m:t>
          </m:r>
          <m:f>
            <m:fPr>
              <m:ctrlPr>
                <w:rPr>
                  <w:rFonts w:ascii="Cambria Math" w:hAnsi="Cambria Math" w:cs="Arial"/>
                  <w:i/>
                </w:rPr>
              </m:ctrlPr>
            </m:fPr>
            <m:num>
              <m:r>
                <w:rPr>
                  <w:rFonts w:ascii="Cambria Math" w:hAnsi="Cambria Math" w:cs="Arial"/>
                </w:rPr>
                <m:t>d×P×IA</m:t>
              </m:r>
            </m:num>
            <m:den>
              <m:sSup>
                <m:sSupPr>
                  <m:ctrlPr>
                    <w:rPr>
                      <w:rFonts w:ascii="Cambria Math" w:hAnsi="Cambria Math" w:cs="Arial"/>
                      <w:i/>
                    </w:rPr>
                  </m:ctrlPr>
                </m:sSupPr>
                <m:e>
                  <m:r>
                    <w:rPr>
                      <w:rFonts w:ascii="Cambria Math" w:hAnsi="Cambria Math" w:cs="Arial"/>
                    </w:rPr>
                    <m:t>10</m:t>
                  </m:r>
                </m:e>
                <m:sup>
                  <m:r>
                    <w:rPr>
                      <w:rFonts w:ascii="Cambria Math" w:hAnsi="Cambria Math" w:cs="Arial"/>
                    </w:rPr>
                    <m:t>5</m:t>
                  </m:r>
                </m:sup>
              </m:sSup>
            </m:den>
          </m:f>
        </m:oMath>
      </m:oMathPara>
    </w:p>
    <w:p w:rsidR="00193B74" w:rsidRPr="00363C60" w:rsidRDefault="00193B74" w:rsidP="00193B74">
      <w:pPr>
        <w:pStyle w:val="Legenda"/>
        <w:rPr>
          <w:sz w:val="24"/>
        </w:rPr>
      </w:pPr>
      <w:bookmarkStart w:id="24" w:name="_Ref430955358"/>
      <w:r w:rsidRPr="00363C60">
        <w:t xml:space="preserve">Equação </w:t>
      </w:r>
      <w:r w:rsidR="00D71C43">
        <w:fldChar w:fldCharType="begin"/>
      </w:r>
      <w:r w:rsidR="00D71C43">
        <w:instrText xml:space="preserve"> SEQ Equação \* ARABIC </w:instrText>
      </w:r>
      <w:r w:rsidR="00D71C43">
        <w:fldChar w:fldCharType="separate"/>
      </w:r>
      <w:r w:rsidR="004D1D76">
        <w:rPr>
          <w:noProof/>
        </w:rPr>
        <w:t>2</w:t>
      </w:r>
      <w:r w:rsidR="00D71C43">
        <w:rPr>
          <w:noProof/>
        </w:rPr>
        <w:fldChar w:fldCharType="end"/>
      </w:r>
      <w:bookmarkEnd w:id="24"/>
    </w:p>
    <w:p w:rsidR="00193B74" w:rsidRPr="00363C60" w:rsidRDefault="00193B74" w:rsidP="00193B74">
      <w:pPr>
        <w:rPr>
          <w:b/>
          <w:bCs/>
        </w:rPr>
      </w:pPr>
      <w:r w:rsidRPr="00363C60">
        <w:rPr>
          <w:rFonts w:cs="Arial"/>
        </w:rPr>
        <w:t>Em que:</w:t>
      </w:r>
      <w:r w:rsidRPr="00363C60">
        <w:t xml:space="preserve"> </w:t>
      </w:r>
      <w:r w:rsidRPr="00363C60">
        <w:tab/>
        <w:t>D = demanda de água (m³/dia);</w:t>
      </w:r>
    </w:p>
    <w:p w:rsidR="00193B74" w:rsidRPr="00363C60" w:rsidRDefault="00193B74" w:rsidP="00193B74">
      <w:pPr>
        <w:rPr>
          <w:rFonts w:cs="Arial"/>
        </w:rPr>
      </w:pPr>
      <w:r w:rsidRPr="00363C60">
        <w:rPr>
          <w:rFonts w:cs="Arial"/>
        </w:rPr>
        <w:tab/>
      </w:r>
      <w:r w:rsidRPr="00363C60">
        <w:rPr>
          <w:rFonts w:cs="Arial"/>
        </w:rPr>
        <w:tab/>
        <w:t xml:space="preserve">d = demanda </w:t>
      </w:r>
      <w:r w:rsidRPr="00363C60">
        <w:rPr>
          <w:rFonts w:cs="Arial"/>
          <w:i/>
        </w:rPr>
        <w:t>per capita</w:t>
      </w:r>
      <w:r w:rsidRPr="00363C60">
        <w:rPr>
          <w:rFonts w:cs="Arial"/>
        </w:rPr>
        <w:t xml:space="preserve"> de água com as perdas (L/hab.dia);</w:t>
      </w:r>
    </w:p>
    <w:p w:rsidR="00193B74" w:rsidRPr="00363C60" w:rsidRDefault="00193B74" w:rsidP="00193B74">
      <w:pPr>
        <w:ind w:left="708" w:firstLine="708"/>
        <w:rPr>
          <w:rFonts w:cs="Arial"/>
        </w:rPr>
      </w:pPr>
      <w:r w:rsidRPr="00363C60">
        <w:rPr>
          <w:rFonts w:cs="Arial"/>
        </w:rPr>
        <w:t>P = população projetada (hab.);</w:t>
      </w:r>
    </w:p>
    <w:p w:rsidR="00193B74" w:rsidRPr="00FE1A54" w:rsidRDefault="00193B74" w:rsidP="00193B74">
      <w:pPr>
        <w:rPr>
          <w:rFonts w:cs="Arial"/>
        </w:rPr>
      </w:pPr>
      <w:r w:rsidRPr="00363C60">
        <w:rPr>
          <w:rFonts w:cs="Arial"/>
        </w:rPr>
        <w:tab/>
      </w:r>
      <w:r w:rsidRPr="00363C60">
        <w:rPr>
          <w:rFonts w:cs="Arial"/>
        </w:rPr>
        <w:tab/>
        <w:t xml:space="preserve">IA = </w:t>
      </w:r>
      <w:r w:rsidRPr="00FE1A54">
        <w:rPr>
          <w:rFonts w:cs="Arial"/>
        </w:rPr>
        <w:t>índice de atendimento (%).</w:t>
      </w:r>
    </w:p>
    <w:p w:rsidR="003C4F7A" w:rsidRPr="00FE1A54" w:rsidRDefault="003C4F7A" w:rsidP="003C4F7A">
      <w:pPr>
        <w:ind w:firstLine="709"/>
        <w:rPr>
          <w:rFonts w:cs="Arial"/>
        </w:rPr>
      </w:pPr>
      <w:r w:rsidRPr="00FE1A54">
        <w:rPr>
          <w:rFonts w:cs="Arial"/>
        </w:rPr>
        <w:t xml:space="preserve">A demanda máxima de água é calculada multiplicando-se a demanda de água pelo coeficiente </w:t>
      </w:r>
      <w:r w:rsidRPr="00FE1A54">
        <w:rPr>
          <w:szCs w:val="24"/>
        </w:rPr>
        <w:t xml:space="preserve">de máxima vazão diária (k1 = 1,2) e a </w:t>
      </w:r>
      <w:r w:rsidRPr="00FE1A54">
        <w:rPr>
          <w:rFonts w:cs="Arial"/>
        </w:rPr>
        <w:t>demanda de reservação corresponde a 1/3 dessa demanda.</w:t>
      </w:r>
    </w:p>
    <w:p w:rsidR="003C4F7A" w:rsidRDefault="003C4F7A" w:rsidP="00193B74">
      <w:pPr>
        <w:ind w:firstLine="709"/>
        <w:rPr>
          <w:rFonts w:cs="Arial"/>
        </w:rPr>
      </w:pPr>
    </w:p>
    <w:p w:rsidR="00193B74" w:rsidRPr="00363C60" w:rsidRDefault="00193B74" w:rsidP="00193B74">
      <w:pPr>
        <w:ind w:firstLine="709"/>
        <w:rPr>
          <w:rFonts w:cs="Arial"/>
        </w:rPr>
      </w:pPr>
      <w:r w:rsidRPr="00363C60">
        <w:rPr>
          <w:rFonts w:cs="Arial"/>
        </w:rPr>
        <w:lastRenderedPageBreak/>
        <w:t>Posteriormente, foi realizado o balanço entre oferta e demanda, subtraindo-se da oferta de água atual, as demandas calculadas.</w:t>
      </w:r>
    </w:p>
    <w:p w:rsidR="00193B74" w:rsidRPr="007A2B6D" w:rsidRDefault="00363C60" w:rsidP="00193B74">
      <w:pPr>
        <w:widowControl w:val="0"/>
        <w:autoSpaceDE w:val="0"/>
        <w:autoSpaceDN w:val="0"/>
        <w:adjustRightInd w:val="0"/>
        <w:spacing w:before="120" w:after="120"/>
        <w:ind w:firstLine="709"/>
        <w:contextualSpacing/>
        <w:rPr>
          <w:rFonts w:cs="Arial"/>
          <w:szCs w:val="24"/>
          <w:highlight w:val="yellow"/>
        </w:rPr>
      </w:pPr>
      <w:bookmarkStart w:id="25" w:name="_Ref432684800"/>
      <w:r w:rsidRPr="00F37F28">
        <w:rPr>
          <w:rFonts w:cs="Arial"/>
          <w:szCs w:val="24"/>
        </w:rPr>
        <w:t xml:space="preserve">Segundo as informações do SNIS para </w:t>
      </w:r>
      <w:r w:rsidR="00E37245">
        <w:rPr>
          <w:rFonts w:cs="Arial"/>
          <w:szCs w:val="24"/>
        </w:rPr>
        <w:t xml:space="preserve">o </w:t>
      </w:r>
      <w:r w:rsidRPr="00F37F28">
        <w:rPr>
          <w:rFonts w:cs="Arial"/>
          <w:szCs w:val="24"/>
        </w:rPr>
        <w:t xml:space="preserve">ano de 2015, o consumo </w:t>
      </w:r>
      <w:r w:rsidRPr="00F37F28">
        <w:rPr>
          <w:rFonts w:cs="Arial"/>
          <w:i/>
          <w:szCs w:val="24"/>
        </w:rPr>
        <w:t>per capita</w:t>
      </w:r>
      <w:r w:rsidRPr="00F37F28">
        <w:rPr>
          <w:rFonts w:cs="Arial"/>
          <w:szCs w:val="24"/>
        </w:rPr>
        <w:t xml:space="preserve"> de água na sede é 137 L/hab.dia, o índice de perdas é de 22% e o atendimento é de 100%.</w:t>
      </w:r>
      <w:r w:rsidR="00193B74" w:rsidRPr="007A2B6D">
        <w:rPr>
          <w:rFonts w:cs="Arial"/>
          <w:szCs w:val="24"/>
          <w:highlight w:val="yellow"/>
        </w:rPr>
        <w:t xml:space="preserve"> </w:t>
      </w:r>
    </w:p>
    <w:p w:rsidR="00193B74" w:rsidRPr="00363C60" w:rsidRDefault="00193B74" w:rsidP="00193B74">
      <w:pPr>
        <w:widowControl w:val="0"/>
        <w:autoSpaceDE w:val="0"/>
        <w:autoSpaceDN w:val="0"/>
        <w:adjustRightInd w:val="0"/>
        <w:spacing w:before="120" w:after="120"/>
        <w:ind w:firstLine="709"/>
        <w:contextualSpacing/>
        <w:rPr>
          <w:rFonts w:cs="Arial"/>
          <w:szCs w:val="24"/>
        </w:rPr>
      </w:pPr>
      <w:r w:rsidRPr="00363C60">
        <w:rPr>
          <w:rFonts w:cs="Arial"/>
          <w:szCs w:val="24"/>
        </w:rPr>
        <w:t xml:space="preserve">A fim de se estudar o sistema de abastecimento de água ao longo do horizonte do </w:t>
      </w:r>
      <w:r w:rsidR="00E37245">
        <w:rPr>
          <w:rFonts w:cs="Arial"/>
          <w:szCs w:val="24"/>
        </w:rPr>
        <w:t>P</w:t>
      </w:r>
      <w:r w:rsidRPr="00363C60">
        <w:rPr>
          <w:rFonts w:cs="Arial"/>
          <w:szCs w:val="24"/>
        </w:rPr>
        <w:t>lano, realizou-se uma projeção da demanda considerando o crescimento populacional e mantendo-se constantes os indicadores citados acima. Com base nos valores apresentados, foi calculada a evolução da demanda de água para o sistema que atende à sede (</w:t>
      </w:r>
      <w:r w:rsidRPr="00363C60">
        <w:rPr>
          <w:rFonts w:cs="Arial"/>
          <w:szCs w:val="24"/>
        </w:rPr>
        <w:fldChar w:fldCharType="begin"/>
      </w:r>
      <w:r w:rsidRPr="00363C60">
        <w:rPr>
          <w:rFonts w:cs="Arial"/>
          <w:szCs w:val="24"/>
        </w:rPr>
        <w:instrText xml:space="preserve"> REF _Ref430938506 \h  \* MERGEFORMAT </w:instrText>
      </w:r>
      <w:r w:rsidRPr="00363C60">
        <w:rPr>
          <w:rFonts w:cs="Arial"/>
          <w:szCs w:val="24"/>
        </w:rPr>
      </w:r>
      <w:r w:rsidRPr="00363C60">
        <w:rPr>
          <w:rFonts w:cs="Arial"/>
          <w:szCs w:val="24"/>
        </w:rPr>
        <w:fldChar w:fldCharType="separate"/>
      </w:r>
      <w:r w:rsidR="004D1D76" w:rsidRPr="00363C60">
        <w:t xml:space="preserve">Quadro </w:t>
      </w:r>
      <w:r w:rsidR="004D1D76">
        <w:rPr>
          <w:noProof/>
        </w:rPr>
        <w:t>1</w:t>
      </w:r>
      <w:r w:rsidRPr="00363C60">
        <w:rPr>
          <w:rFonts w:cs="Arial"/>
          <w:szCs w:val="24"/>
        </w:rPr>
        <w:fldChar w:fldCharType="end"/>
      </w:r>
      <w:r w:rsidRPr="00363C60">
        <w:rPr>
          <w:rFonts w:cs="Arial"/>
          <w:szCs w:val="24"/>
        </w:rPr>
        <w:t xml:space="preserve">). </w:t>
      </w:r>
    </w:p>
    <w:p w:rsidR="00193B74" w:rsidRPr="00363C60" w:rsidRDefault="00193B74" w:rsidP="00193B74">
      <w:pPr>
        <w:widowControl w:val="0"/>
        <w:autoSpaceDE w:val="0"/>
        <w:autoSpaceDN w:val="0"/>
        <w:adjustRightInd w:val="0"/>
        <w:spacing w:before="120" w:after="120"/>
        <w:ind w:firstLine="709"/>
        <w:contextualSpacing/>
        <w:rPr>
          <w:rFonts w:cs="Arial"/>
          <w:szCs w:val="24"/>
        </w:rPr>
        <w:sectPr w:rsidR="00193B74" w:rsidRPr="00363C60" w:rsidSect="00710E60">
          <w:headerReference w:type="first" r:id="rId16"/>
          <w:footerReference w:type="first" r:id="rId17"/>
          <w:pgSz w:w="11906" w:h="16838"/>
          <w:pgMar w:top="1134" w:right="1134" w:bottom="1134" w:left="1418" w:header="708" w:footer="708" w:gutter="0"/>
          <w:cols w:space="708"/>
          <w:docGrid w:linePitch="360"/>
        </w:sectPr>
      </w:pPr>
    </w:p>
    <w:p w:rsidR="00193B74" w:rsidRPr="00363C60" w:rsidRDefault="00193B74" w:rsidP="00193B74">
      <w:pPr>
        <w:pStyle w:val="Legenda"/>
        <w:spacing w:before="0" w:after="0"/>
      </w:pPr>
      <w:bookmarkStart w:id="26" w:name="_Ref430938506"/>
      <w:bookmarkStart w:id="27" w:name="_Ref433796035"/>
      <w:bookmarkStart w:id="28" w:name="_Toc441657074"/>
      <w:bookmarkStart w:id="29" w:name="_Toc497469122"/>
      <w:r w:rsidRPr="00363C60">
        <w:lastRenderedPageBreak/>
        <w:t xml:space="preserve">Quadro </w:t>
      </w:r>
      <w:r w:rsidR="00D71C43">
        <w:fldChar w:fldCharType="begin"/>
      </w:r>
      <w:r w:rsidR="00D71C43">
        <w:instrText xml:space="preserve"> SEQ Quadro \* ARABIC </w:instrText>
      </w:r>
      <w:r w:rsidR="00D71C43">
        <w:fldChar w:fldCharType="separate"/>
      </w:r>
      <w:r w:rsidR="004D1D76">
        <w:rPr>
          <w:noProof/>
        </w:rPr>
        <w:t>1</w:t>
      </w:r>
      <w:r w:rsidR="00D71C43">
        <w:rPr>
          <w:noProof/>
        </w:rPr>
        <w:fldChar w:fldCharType="end"/>
      </w:r>
      <w:bookmarkEnd w:id="26"/>
      <w:bookmarkEnd w:id="27"/>
      <w:r w:rsidRPr="00363C60">
        <w:t xml:space="preserve"> - Projeção da demanda futura para </w:t>
      </w:r>
      <w:r w:rsidRPr="00363C60">
        <w:rPr>
          <w:lang w:val="pt-BR"/>
        </w:rPr>
        <w:t xml:space="preserve">a </w:t>
      </w:r>
      <w:r w:rsidRPr="00363C60">
        <w:t>sede no cenário previsível</w:t>
      </w:r>
      <w:bookmarkEnd w:id="28"/>
      <w:bookmarkEnd w:id="29"/>
    </w:p>
    <w:tbl>
      <w:tblPr>
        <w:tblW w:w="0" w:type="auto"/>
        <w:tblInd w:w="60" w:type="dxa"/>
        <w:tblCellMar>
          <w:left w:w="70" w:type="dxa"/>
          <w:right w:w="70" w:type="dxa"/>
        </w:tblCellMar>
        <w:tblLook w:val="04A0" w:firstRow="1" w:lastRow="0" w:firstColumn="1" w:lastColumn="0" w:noHBand="0" w:noVBand="1"/>
      </w:tblPr>
      <w:tblGrid>
        <w:gridCol w:w="631"/>
        <w:gridCol w:w="1587"/>
        <w:gridCol w:w="1742"/>
        <w:gridCol w:w="1594"/>
        <w:gridCol w:w="1559"/>
        <w:gridCol w:w="1148"/>
        <w:gridCol w:w="1556"/>
        <w:gridCol w:w="1566"/>
        <w:gridCol w:w="1592"/>
        <w:gridCol w:w="1703"/>
      </w:tblGrid>
      <w:tr w:rsidR="00AD2E69" w:rsidRPr="00363C60" w:rsidTr="00363C60">
        <w:trPr>
          <w:trHeight w:val="283"/>
        </w:trPr>
        <w:tc>
          <w:tcPr>
            <w:tcW w:w="0" w:type="auto"/>
            <w:tcBorders>
              <w:top w:val="single" w:sz="8" w:space="0" w:color="auto"/>
              <w:left w:val="single" w:sz="8" w:space="0" w:color="auto"/>
              <w:bottom w:val="nil"/>
              <w:right w:val="single" w:sz="4" w:space="0" w:color="auto"/>
            </w:tcBorders>
            <w:shd w:val="clear" w:color="auto" w:fill="auto"/>
            <w:vAlign w:val="center"/>
            <w:hideMark/>
          </w:tcPr>
          <w:p w:rsidR="00363C60" w:rsidRPr="00363C60" w:rsidRDefault="00363C60" w:rsidP="00363C60">
            <w:pPr>
              <w:spacing w:line="240" w:lineRule="auto"/>
              <w:jc w:val="center"/>
              <w:rPr>
                <w:rFonts w:eastAsia="Times New Roman" w:cs="Arial"/>
                <w:b/>
                <w:bCs/>
                <w:sz w:val="22"/>
                <w:lang w:eastAsia="pt-BR"/>
              </w:rPr>
            </w:pPr>
            <w:r w:rsidRPr="00363C60">
              <w:rPr>
                <w:rFonts w:eastAsia="Times New Roman" w:cs="Arial"/>
                <w:b/>
                <w:bCs/>
                <w:sz w:val="22"/>
                <w:lang w:eastAsia="pt-BR"/>
              </w:rPr>
              <w:t>Ano</w:t>
            </w:r>
          </w:p>
        </w:tc>
        <w:tc>
          <w:tcPr>
            <w:tcW w:w="0" w:type="auto"/>
            <w:tcBorders>
              <w:top w:val="single" w:sz="8" w:space="0" w:color="auto"/>
              <w:left w:val="nil"/>
              <w:bottom w:val="nil"/>
              <w:right w:val="single" w:sz="4" w:space="0" w:color="auto"/>
            </w:tcBorders>
            <w:shd w:val="clear" w:color="auto" w:fill="auto"/>
            <w:vAlign w:val="center"/>
            <w:hideMark/>
          </w:tcPr>
          <w:p w:rsidR="00363C60" w:rsidRPr="00363C60" w:rsidRDefault="00363C60" w:rsidP="00363C60">
            <w:pPr>
              <w:spacing w:line="240" w:lineRule="auto"/>
              <w:jc w:val="center"/>
              <w:rPr>
                <w:rFonts w:eastAsia="Times New Roman" w:cs="Arial"/>
                <w:b/>
                <w:bCs/>
                <w:sz w:val="22"/>
                <w:lang w:eastAsia="pt-BR"/>
              </w:rPr>
            </w:pPr>
            <w:r w:rsidRPr="00363C60">
              <w:rPr>
                <w:rFonts w:eastAsia="Times New Roman" w:cs="Arial"/>
                <w:b/>
                <w:bCs/>
                <w:sz w:val="22"/>
                <w:lang w:eastAsia="pt-BR"/>
              </w:rPr>
              <w:t>População urbana                (hab.)</w:t>
            </w:r>
          </w:p>
        </w:tc>
        <w:tc>
          <w:tcPr>
            <w:tcW w:w="0" w:type="auto"/>
            <w:tcBorders>
              <w:top w:val="single" w:sz="8" w:space="0" w:color="auto"/>
              <w:left w:val="nil"/>
              <w:bottom w:val="nil"/>
              <w:right w:val="single" w:sz="4" w:space="0" w:color="auto"/>
            </w:tcBorders>
            <w:shd w:val="clear" w:color="auto" w:fill="auto"/>
            <w:vAlign w:val="center"/>
            <w:hideMark/>
          </w:tcPr>
          <w:p w:rsidR="00363C60" w:rsidRPr="00363C60" w:rsidRDefault="00363C60" w:rsidP="00363C60">
            <w:pPr>
              <w:spacing w:line="240" w:lineRule="auto"/>
              <w:jc w:val="center"/>
              <w:rPr>
                <w:rFonts w:eastAsia="Times New Roman" w:cs="Arial"/>
                <w:b/>
                <w:bCs/>
                <w:sz w:val="22"/>
                <w:lang w:eastAsia="pt-BR"/>
              </w:rPr>
            </w:pPr>
            <w:r w:rsidRPr="00363C60">
              <w:rPr>
                <w:rFonts w:eastAsia="Times New Roman" w:cs="Arial"/>
                <w:b/>
                <w:bCs/>
                <w:sz w:val="22"/>
                <w:lang w:eastAsia="pt-BR"/>
              </w:rPr>
              <w:t>Índice de atendimento            (%)</w:t>
            </w:r>
          </w:p>
        </w:tc>
        <w:tc>
          <w:tcPr>
            <w:tcW w:w="0" w:type="auto"/>
            <w:tcBorders>
              <w:top w:val="single" w:sz="8" w:space="0" w:color="auto"/>
              <w:left w:val="nil"/>
              <w:bottom w:val="nil"/>
              <w:right w:val="single" w:sz="4" w:space="0" w:color="auto"/>
            </w:tcBorders>
            <w:shd w:val="clear" w:color="auto" w:fill="auto"/>
            <w:vAlign w:val="center"/>
            <w:hideMark/>
          </w:tcPr>
          <w:p w:rsidR="00363C60" w:rsidRPr="00363C60" w:rsidRDefault="00363C60" w:rsidP="00E37245">
            <w:pPr>
              <w:spacing w:line="240" w:lineRule="auto"/>
              <w:jc w:val="center"/>
              <w:rPr>
                <w:rFonts w:eastAsia="Times New Roman" w:cs="Arial"/>
                <w:b/>
                <w:bCs/>
                <w:sz w:val="22"/>
                <w:lang w:eastAsia="pt-BR"/>
              </w:rPr>
            </w:pPr>
            <w:r w:rsidRPr="00363C60">
              <w:rPr>
                <w:rFonts w:eastAsia="Times New Roman" w:cs="Arial"/>
                <w:b/>
                <w:bCs/>
                <w:sz w:val="22"/>
                <w:lang w:eastAsia="pt-BR"/>
              </w:rPr>
              <w:t>População urbana atendida (hab.)</w:t>
            </w:r>
          </w:p>
        </w:tc>
        <w:tc>
          <w:tcPr>
            <w:tcW w:w="0" w:type="auto"/>
            <w:tcBorders>
              <w:top w:val="single" w:sz="8" w:space="0" w:color="auto"/>
              <w:left w:val="nil"/>
              <w:bottom w:val="single" w:sz="8" w:space="0" w:color="auto"/>
              <w:right w:val="single" w:sz="4" w:space="0" w:color="auto"/>
            </w:tcBorders>
            <w:shd w:val="clear" w:color="auto" w:fill="auto"/>
            <w:vAlign w:val="center"/>
            <w:hideMark/>
          </w:tcPr>
          <w:p w:rsidR="00363C60" w:rsidRPr="00363C60" w:rsidRDefault="00363C60" w:rsidP="00363C60">
            <w:pPr>
              <w:spacing w:line="240" w:lineRule="auto"/>
              <w:jc w:val="center"/>
              <w:rPr>
                <w:rFonts w:eastAsia="Times New Roman" w:cs="Arial"/>
                <w:b/>
                <w:bCs/>
                <w:sz w:val="22"/>
                <w:lang w:eastAsia="pt-BR"/>
              </w:rPr>
            </w:pPr>
            <w:r w:rsidRPr="00363C60">
              <w:rPr>
                <w:rFonts w:eastAsia="Times New Roman" w:cs="Arial"/>
                <w:b/>
                <w:bCs/>
                <w:sz w:val="22"/>
                <w:lang w:eastAsia="pt-BR"/>
              </w:rPr>
              <w:t xml:space="preserve">Consumo </w:t>
            </w:r>
            <w:r w:rsidRPr="00E37245">
              <w:rPr>
                <w:rFonts w:eastAsia="Times New Roman" w:cs="Arial"/>
                <w:b/>
                <w:bCs/>
                <w:i/>
                <w:sz w:val="22"/>
                <w:lang w:eastAsia="pt-BR"/>
              </w:rPr>
              <w:t>per capita</w:t>
            </w:r>
            <w:r w:rsidRPr="00363C60">
              <w:rPr>
                <w:rFonts w:eastAsia="Times New Roman" w:cs="Arial"/>
                <w:b/>
                <w:bCs/>
                <w:sz w:val="22"/>
                <w:lang w:eastAsia="pt-BR"/>
              </w:rPr>
              <w:t xml:space="preserve"> (L/hab.dia)</w:t>
            </w:r>
          </w:p>
        </w:tc>
        <w:tc>
          <w:tcPr>
            <w:tcW w:w="0" w:type="auto"/>
            <w:tcBorders>
              <w:top w:val="single" w:sz="8" w:space="0" w:color="auto"/>
              <w:left w:val="nil"/>
              <w:bottom w:val="nil"/>
              <w:right w:val="single" w:sz="4" w:space="0" w:color="auto"/>
            </w:tcBorders>
            <w:shd w:val="clear" w:color="auto" w:fill="auto"/>
            <w:vAlign w:val="center"/>
            <w:hideMark/>
          </w:tcPr>
          <w:p w:rsidR="00363C60" w:rsidRPr="00363C60" w:rsidRDefault="00363C60" w:rsidP="00363C60">
            <w:pPr>
              <w:spacing w:line="240" w:lineRule="auto"/>
              <w:jc w:val="center"/>
              <w:rPr>
                <w:rFonts w:eastAsia="Times New Roman" w:cs="Arial"/>
                <w:b/>
                <w:bCs/>
                <w:sz w:val="22"/>
                <w:lang w:eastAsia="pt-BR"/>
              </w:rPr>
            </w:pPr>
            <w:r w:rsidRPr="00363C60">
              <w:rPr>
                <w:rFonts w:eastAsia="Times New Roman" w:cs="Arial"/>
                <w:b/>
                <w:bCs/>
                <w:sz w:val="22"/>
                <w:lang w:eastAsia="pt-BR"/>
              </w:rPr>
              <w:t>Índice de perdas           (%)</w:t>
            </w:r>
          </w:p>
        </w:tc>
        <w:tc>
          <w:tcPr>
            <w:tcW w:w="0" w:type="auto"/>
            <w:tcBorders>
              <w:top w:val="single" w:sz="8" w:space="0" w:color="auto"/>
              <w:left w:val="nil"/>
              <w:bottom w:val="nil"/>
              <w:right w:val="single" w:sz="4" w:space="0" w:color="auto"/>
            </w:tcBorders>
            <w:shd w:val="clear" w:color="auto" w:fill="auto"/>
            <w:vAlign w:val="center"/>
            <w:hideMark/>
          </w:tcPr>
          <w:p w:rsidR="00363C60" w:rsidRPr="00363C60" w:rsidRDefault="00363C60" w:rsidP="00363C60">
            <w:pPr>
              <w:spacing w:line="240" w:lineRule="auto"/>
              <w:jc w:val="center"/>
              <w:rPr>
                <w:rFonts w:eastAsia="Times New Roman" w:cs="Arial"/>
                <w:b/>
                <w:bCs/>
                <w:sz w:val="22"/>
                <w:lang w:eastAsia="pt-BR"/>
              </w:rPr>
            </w:pPr>
            <w:r w:rsidRPr="00363C60">
              <w:rPr>
                <w:rFonts w:eastAsia="Times New Roman" w:cs="Arial"/>
                <w:b/>
                <w:bCs/>
                <w:sz w:val="22"/>
                <w:lang w:eastAsia="pt-BR"/>
              </w:rPr>
              <w:t xml:space="preserve">Demanda </w:t>
            </w:r>
            <w:r w:rsidRPr="00E37245">
              <w:rPr>
                <w:rFonts w:eastAsia="Times New Roman" w:cs="Arial"/>
                <w:b/>
                <w:bCs/>
                <w:i/>
                <w:sz w:val="22"/>
                <w:lang w:eastAsia="pt-BR"/>
              </w:rPr>
              <w:t>per capita</w:t>
            </w:r>
            <w:r w:rsidRPr="00363C60">
              <w:rPr>
                <w:rFonts w:eastAsia="Times New Roman" w:cs="Arial"/>
                <w:b/>
                <w:bCs/>
                <w:sz w:val="22"/>
                <w:lang w:eastAsia="pt-BR"/>
              </w:rPr>
              <w:t xml:space="preserve"> (L/hab.dia)</w:t>
            </w:r>
          </w:p>
        </w:tc>
        <w:tc>
          <w:tcPr>
            <w:tcW w:w="0" w:type="auto"/>
            <w:tcBorders>
              <w:top w:val="single" w:sz="8" w:space="0" w:color="auto"/>
              <w:left w:val="nil"/>
              <w:bottom w:val="nil"/>
              <w:right w:val="single" w:sz="4" w:space="0" w:color="auto"/>
            </w:tcBorders>
            <w:shd w:val="clear" w:color="auto" w:fill="auto"/>
            <w:vAlign w:val="center"/>
            <w:hideMark/>
          </w:tcPr>
          <w:p w:rsidR="00363C60" w:rsidRPr="00363C60" w:rsidRDefault="00363C60" w:rsidP="00363C60">
            <w:pPr>
              <w:spacing w:line="240" w:lineRule="auto"/>
              <w:jc w:val="center"/>
              <w:rPr>
                <w:rFonts w:eastAsia="Times New Roman" w:cs="Arial"/>
                <w:b/>
                <w:bCs/>
                <w:sz w:val="22"/>
                <w:lang w:eastAsia="pt-BR"/>
              </w:rPr>
            </w:pPr>
            <w:r w:rsidRPr="00363C60">
              <w:rPr>
                <w:rFonts w:eastAsia="Times New Roman" w:cs="Arial"/>
                <w:b/>
                <w:bCs/>
                <w:sz w:val="22"/>
                <w:lang w:eastAsia="pt-BR"/>
              </w:rPr>
              <w:t>Demanda de água                          (m³/d)</w:t>
            </w:r>
          </w:p>
        </w:tc>
        <w:tc>
          <w:tcPr>
            <w:tcW w:w="0" w:type="auto"/>
            <w:tcBorders>
              <w:top w:val="single" w:sz="8" w:space="0" w:color="auto"/>
              <w:left w:val="nil"/>
              <w:bottom w:val="single" w:sz="8" w:space="0" w:color="auto"/>
              <w:right w:val="single" w:sz="4" w:space="0" w:color="auto"/>
            </w:tcBorders>
            <w:shd w:val="clear" w:color="auto" w:fill="auto"/>
            <w:vAlign w:val="center"/>
            <w:hideMark/>
          </w:tcPr>
          <w:p w:rsidR="00363C60" w:rsidRPr="00363C60" w:rsidRDefault="00363C60" w:rsidP="00363C60">
            <w:pPr>
              <w:spacing w:line="240" w:lineRule="auto"/>
              <w:jc w:val="center"/>
              <w:rPr>
                <w:rFonts w:eastAsia="Times New Roman" w:cs="Arial"/>
                <w:b/>
                <w:bCs/>
                <w:sz w:val="22"/>
                <w:lang w:eastAsia="pt-BR"/>
              </w:rPr>
            </w:pPr>
            <w:r w:rsidRPr="00363C60">
              <w:rPr>
                <w:rFonts w:eastAsia="Times New Roman" w:cs="Arial"/>
                <w:b/>
                <w:bCs/>
                <w:sz w:val="22"/>
                <w:lang w:eastAsia="pt-BR"/>
              </w:rPr>
              <w:t>Demanda de água máxima diária (m³/dia)</w:t>
            </w:r>
          </w:p>
        </w:tc>
        <w:tc>
          <w:tcPr>
            <w:tcW w:w="0" w:type="auto"/>
            <w:tcBorders>
              <w:top w:val="single" w:sz="8" w:space="0" w:color="auto"/>
              <w:left w:val="nil"/>
              <w:bottom w:val="single" w:sz="8" w:space="0" w:color="auto"/>
              <w:right w:val="single" w:sz="8" w:space="0" w:color="auto"/>
            </w:tcBorders>
            <w:shd w:val="clear" w:color="000000" w:fill="FFFFFF"/>
            <w:vAlign w:val="center"/>
            <w:hideMark/>
          </w:tcPr>
          <w:p w:rsidR="00363C60" w:rsidRPr="00363C60" w:rsidRDefault="00AD2E69" w:rsidP="00AD2E69">
            <w:pPr>
              <w:spacing w:line="240" w:lineRule="auto"/>
              <w:jc w:val="center"/>
              <w:rPr>
                <w:rFonts w:eastAsia="Times New Roman" w:cs="Arial"/>
                <w:b/>
                <w:bCs/>
                <w:sz w:val="22"/>
                <w:lang w:eastAsia="pt-BR"/>
              </w:rPr>
            </w:pPr>
            <w:r>
              <w:rPr>
                <w:rFonts w:eastAsia="Times New Roman" w:cs="Arial"/>
                <w:b/>
                <w:bCs/>
                <w:sz w:val="22"/>
                <w:lang w:eastAsia="pt-BR"/>
              </w:rPr>
              <w:t xml:space="preserve">Demanda por </w:t>
            </w:r>
            <w:r w:rsidR="00363C60" w:rsidRPr="00363C60">
              <w:rPr>
                <w:rFonts w:eastAsia="Times New Roman" w:cs="Arial"/>
                <w:b/>
                <w:bCs/>
                <w:sz w:val="22"/>
                <w:lang w:eastAsia="pt-BR"/>
              </w:rPr>
              <w:t>Reservação (m³/dia)</w:t>
            </w:r>
          </w:p>
        </w:tc>
      </w:tr>
      <w:tr w:rsidR="00AD2E69" w:rsidRPr="00363C60" w:rsidTr="00363C60">
        <w:trPr>
          <w:trHeight w:val="283"/>
        </w:trPr>
        <w:tc>
          <w:tcPr>
            <w:tcW w:w="0" w:type="auto"/>
            <w:tcBorders>
              <w:top w:val="single" w:sz="8" w:space="0" w:color="auto"/>
              <w:left w:val="single" w:sz="8" w:space="0" w:color="auto"/>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2017</w:t>
            </w:r>
          </w:p>
        </w:tc>
        <w:tc>
          <w:tcPr>
            <w:tcW w:w="0" w:type="auto"/>
            <w:tcBorders>
              <w:top w:val="single" w:sz="8" w:space="0" w:color="auto"/>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1.983</w:t>
            </w:r>
          </w:p>
        </w:tc>
        <w:tc>
          <w:tcPr>
            <w:tcW w:w="0" w:type="auto"/>
            <w:tcBorders>
              <w:top w:val="single" w:sz="8" w:space="0" w:color="auto"/>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100</w:t>
            </w:r>
          </w:p>
        </w:tc>
        <w:tc>
          <w:tcPr>
            <w:tcW w:w="0" w:type="auto"/>
            <w:tcBorders>
              <w:top w:val="single" w:sz="8" w:space="0" w:color="auto"/>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1.983</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137,00</w:t>
            </w:r>
          </w:p>
        </w:tc>
        <w:tc>
          <w:tcPr>
            <w:tcW w:w="0" w:type="auto"/>
            <w:tcBorders>
              <w:top w:val="single" w:sz="8" w:space="0" w:color="auto"/>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22,00</w:t>
            </w:r>
          </w:p>
        </w:tc>
        <w:tc>
          <w:tcPr>
            <w:tcW w:w="0" w:type="auto"/>
            <w:tcBorders>
              <w:top w:val="single" w:sz="8" w:space="0" w:color="auto"/>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176</w:t>
            </w:r>
          </w:p>
        </w:tc>
        <w:tc>
          <w:tcPr>
            <w:tcW w:w="0" w:type="auto"/>
            <w:tcBorders>
              <w:top w:val="single" w:sz="8" w:space="0" w:color="auto"/>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348,30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417,96</w:t>
            </w:r>
          </w:p>
        </w:tc>
        <w:tc>
          <w:tcPr>
            <w:tcW w:w="0" w:type="auto"/>
            <w:tcBorders>
              <w:top w:val="nil"/>
              <w:left w:val="nil"/>
              <w:bottom w:val="single" w:sz="4" w:space="0" w:color="auto"/>
              <w:right w:val="single" w:sz="8" w:space="0" w:color="auto"/>
            </w:tcBorders>
            <w:shd w:val="clear" w:color="000000" w:fill="FFFFFF"/>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139,32</w:t>
            </w:r>
          </w:p>
        </w:tc>
      </w:tr>
      <w:tr w:rsidR="00AD2E69" w:rsidRPr="00363C60" w:rsidTr="00363C60">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2018</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1.969</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1.969</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137,00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22,00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176</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345,84</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415,00</w:t>
            </w:r>
          </w:p>
        </w:tc>
        <w:tc>
          <w:tcPr>
            <w:tcW w:w="0" w:type="auto"/>
            <w:tcBorders>
              <w:top w:val="nil"/>
              <w:left w:val="nil"/>
              <w:bottom w:val="single" w:sz="4" w:space="0" w:color="auto"/>
              <w:right w:val="single" w:sz="8" w:space="0" w:color="auto"/>
            </w:tcBorders>
            <w:shd w:val="clear" w:color="000000" w:fill="FFFFFF"/>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138,33</w:t>
            </w:r>
          </w:p>
        </w:tc>
      </w:tr>
      <w:tr w:rsidR="00AD2E69" w:rsidRPr="00363C60" w:rsidTr="00363C60">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2019</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1.959</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1.959</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137,00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22,00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176</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344,08</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412,90</w:t>
            </w:r>
          </w:p>
        </w:tc>
        <w:tc>
          <w:tcPr>
            <w:tcW w:w="0" w:type="auto"/>
            <w:tcBorders>
              <w:top w:val="nil"/>
              <w:left w:val="nil"/>
              <w:bottom w:val="single" w:sz="4" w:space="0" w:color="auto"/>
              <w:right w:val="single" w:sz="8" w:space="0" w:color="auto"/>
            </w:tcBorders>
            <w:shd w:val="clear" w:color="000000" w:fill="FFFFFF"/>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137,63</w:t>
            </w:r>
          </w:p>
        </w:tc>
      </w:tr>
      <w:tr w:rsidR="00AD2E69" w:rsidRPr="00363C60" w:rsidTr="00363C60">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2020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1.956</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1.956</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137,00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22,00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176</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343,55</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412,26</w:t>
            </w:r>
          </w:p>
        </w:tc>
        <w:tc>
          <w:tcPr>
            <w:tcW w:w="0" w:type="auto"/>
            <w:tcBorders>
              <w:top w:val="nil"/>
              <w:left w:val="nil"/>
              <w:bottom w:val="single" w:sz="4" w:space="0" w:color="auto"/>
              <w:right w:val="single" w:sz="8" w:space="0" w:color="auto"/>
            </w:tcBorders>
            <w:shd w:val="clear" w:color="000000" w:fill="FFFFFF"/>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137,42</w:t>
            </w:r>
          </w:p>
        </w:tc>
      </w:tr>
      <w:tr w:rsidR="00AD2E69" w:rsidRPr="00363C60" w:rsidTr="00363C60">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2021</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1.942</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1.942</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137,00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22,00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176</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341,09</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409,31</w:t>
            </w:r>
          </w:p>
        </w:tc>
        <w:tc>
          <w:tcPr>
            <w:tcW w:w="0" w:type="auto"/>
            <w:tcBorders>
              <w:top w:val="nil"/>
              <w:left w:val="nil"/>
              <w:bottom w:val="single" w:sz="4" w:space="0" w:color="auto"/>
              <w:right w:val="single" w:sz="8" w:space="0" w:color="auto"/>
            </w:tcBorders>
            <w:shd w:val="clear" w:color="000000" w:fill="FFFFFF"/>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136,44</w:t>
            </w:r>
          </w:p>
        </w:tc>
      </w:tr>
      <w:tr w:rsidR="00AD2E69" w:rsidRPr="00363C60" w:rsidTr="00363C60">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2022</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1.925</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1.925</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137,00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22,00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176</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338,11</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405,73</w:t>
            </w:r>
          </w:p>
        </w:tc>
        <w:tc>
          <w:tcPr>
            <w:tcW w:w="0" w:type="auto"/>
            <w:tcBorders>
              <w:top w:val="nil"/>
              <w:left w:val="nil"/>
              <w:bottom w:val="single" w:sz="4" w:space="0" w:color="auto"/>
              <w:right w:val="single" w:sz="8" w:space="0" w:color="auto"/>
            </w:tcBorders>
            <w:shd w:val="clear" w:color="000000" w:fill="FFFFFF"/>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135,24</w:t>
            </w:r>
          </w:p>
        </w:tc>
      </w:tr>
      <w:tr w:rsidR="00AD2E69" w:rsidRPr="00363C60" w:rsidTr="00363C60">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2023</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1.910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1.910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137,00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22,00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176</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335,47</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402,57</w:t>
            </w:r>
          </w:p>
        </w:tc>
        <w:tc>
          <w:tcPr>
            <w:tcW w:w="0" w:type="auto"/>
            <w:tcBorders>
              <w:top w:val="nil"/>
              <w:left w:val="nil"/>
              <w:bottom w:val="single" w:sz="4" w:space="0" w:color="auto"/>
              <w:right w:val="single" w:sz="8" w:space="0" w:color="auto"/>
            </w:tcBorders>
            <w:shd w:val="clear" w:color="000000" w:fill="FFFFFF"/>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134,19</w:t>
            </w:r>
          </w:p>
        </w:tc>
      </w:tr>
      <w:tr w:rsidR="00AD2E69" w:rsidRPr="00363C60" w:rsidTr="00363C60">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2024</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1.906</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1.906</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137,00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22,00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176</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334,77</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401,73</w:t>
            </w:r>
          </w:p>
        </w:tc>
        <w:tc>
          <w:tcPr>
            <w:tcW w:w="0" w:type="auto"/>
            <w:tcBorders>
              <w:top w:val="nil"/>
              <w:left w:val="nil"/>
              <w:bottom w:val="single" w:sz="4" w:space="0" w:color="auto"/>
              <w:right w:val="single" w:sz="8" w:space="0" w:color="auto"/>
            </w:tcBorders>
            <w:shd w:val="clear" w:color="000000" w:fill="FFFFFF"/>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133,91</w:t>
            </w:r>
          </w:p>
        </w:tc>
      </w:tr>
      <w:tr w:rsidR="00AD2E69" w:rsidRPr="00363C60" w:rsidTr="00363C60">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2025</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1.891</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1.891</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137,00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22,00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176</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332,14</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398,56</w:t>
            </w:r>
          </w:p>
        </w:tc>
        <w:tc>
          <w:tcPr>
            <w:tcW w:w="0" w:type="auto"/>
            <w:tcBorders>
              <w:top w:val="nil"/>
              <w:left w:val="nil"/>
              <w:bottom w:val="single" w:sz="4" w:space="0" w:color="auto"/>
              <w:right w:val="single" w:sz="8" w:space="0" w:color="auto"/>
            </w:tcBorders>
            <w:shd w:val="clear" w:color="000000" w:fill="FFFFFF"/>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132,85</w:t>
            </w:r>
          </w:p>
        </w:tc>
      </w:tr>
      <w:tr w:rsidR="00AD2E69" w:rsidRPr="00363C60" w:rsidTr="00363C60">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2026</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1.881</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1.881</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137,00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22,00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176</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330,38</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396,46</w:t>
            </w:r>
          </w:p>
        </w:tc>
        <w:tc>
          <w:tcPr>
            <w:tcW w:w="0" w:type="auto"/>
            <w:tcBorders>
              <w:top w:val="nil"/>
              <w:left w:val="nil"/>
              <w:bottom w:val="single" w:sz="4" w:space="0" w:color="auto"/>
              <w:right w:val="single" w:sz="8" w:space="0" w:color="auto"/>
            </w:tcBorders>
            <w:shd w:val="clear" w:color="000000" w:fill="FFFFFF"/>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132,15</w:t>
            </w:r>
          </w:p>
        </w:tc>
      </w:tr>
      <w:tr w:rsidR="00AD2E69" w:rsidRPr="00363C60" w:rsidTr="00363C60">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2027</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1.862</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1.862</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137,00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22,00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176</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327,04</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392,45</w:t>
            </w:r>
          </w:p>
        </w:tc>
        <w:tc>
          <w:tcPr>
            <w:tcW w:w="0" w:type="auto"/>
            <w:tcBorders>
              <w:top w:val="nil"/>
              <w:left w:val="nil"/>
              <w:bottom w:val="single" w:sz="4" w:space="0" w:color="auto"/>
              <w:right w:val="single" w:sz="8" w:space="0" w:color="auto"/>
            </w:tcBorders>
            <w:shd w:val="clear" w:color="000000" w:fill="FFFFFF"/>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130,82</w:t>
            </w:r>
          </w:p>
        </w:tc>
      </w:tr>
      <w:tr w:rsidR="00AD2E69" w:rsidRPr="00363C60" w:rsidTr="00363C60">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2028</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1.851</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1.851</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137,00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22,00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176</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325,11</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390,13</w:t>
            </w:r>
          </w:p>
        </w:tc>
        <w:tc>
          <w:tcPr>
            <w:tcW w:w="0" w:type="auto"/>
            <w:tcBorders>
              <w:top w:val="nil"/>
              <w:left w:val="nil"/>
              <w:bottom w:val="single" w:sz="4" w:space="0" w:color="auto"/>
              <w:right w:val="single" w:sz="8" w:space="0" w:color="auto"/>
            </w:tcBorders>
            <w:shd w:val="clear" w:color="000000" w:fill="FFFFFF"/>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130,04</w:t>
            </w:r>
          </w:p>
        </w:tc>
      </w:tr>
      <w:tr w:rsidR="00AD2E69" w:rsidRPr="00363C60" w:rsidTr="00363C60">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2029</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1.836</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1.836</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137,00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22,00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176</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322,48</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386,97</w:t>
            </w:r>
          </w:p>
        </w:tc>
        <w:tc>
          <w:tcPr>
            <w:tcW w:w="0" w:type="auto"/>
            <w:tcBorders>
              <w:top w:val="nil"/>
              <w:left w:val="nil"/>
              <w:bottom w:val="single" w:sz="4" w:space="0" w:color="auto"/>
              <w:right w:val="single" w:sz="8" w:space="0" w:color="auto"/>
            </w:tcBorders>
            <w:shd w:val="clear" w:color="000000" w:fill="FFFFFF"/>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128,99</w:t>
            </w:r>
          </w:p>
        </w:tc>
      </w:tr>
      <w:tr w:rsidR="00AD2E69" w:rsidRPr="00363C60" w:rsidTr="00363C60">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2030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1.813</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1.813</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137,00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22,00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176</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318,44</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382,12</w:t>
            </w:r>
          </w:p>
        </w:tc>
        <w:tc>
          <w:tcPr>
            <w:tcW w:w="0" w:type="auto"/>
            <w:tcBorders>
              <w:top w:val="nil"/>
              <w:left w:val="nil"/>
              <w:bottom w:val="single" w:sz="4" w:space="0" w:color="auto"/>
              <w:right w:val="single" w:sz="8" w:space="0" w:color="auto"/>
            </w:tcBorders>
            <w:shd w:val="clear" w:color="000000" w:fill="FFFFFF"/>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127,37</w:t>
            </w:r>
          </w:p>
        </w:tc>
      </w:tr>
      <w:tr w:rsidR="00AD2E69" w:rsidRPr="00363C60" w:rsidTr="00363C60">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2031</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1.795</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1.795</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137,00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22,00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176</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315,28</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378,33</w:t>
            </w:r>
          </w:p>
        </w:tc>
        <w:tc>
          <w:tcPr>
            <w:tcW w:w="0" w:type="auto"/>
            <w:tcBorders>
              <w:top w:val="nil"/>
              <w:left w:val="nil"/>
              <w:bottom w:val="single" w:sz="4" w:space="0" w:color="auto"/>
              <w:right w:val="single" w:sz="8" w:space="0" w:color="auto"/>
            </w:tcBorders>
            <w:shd w:val="clear" w:color="000000" w:fill="FFFFFF"/>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126,11</w:t>
            </w:r>
          </w:p>
        </w:tc>
      </w:tr>
      <w:tr w:rsidR="00AD2E69" w:rsidRPr="00363C60" w:rsidTr="00363C60">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2032</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1.779</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1.779</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137,00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22,00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176</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312,47</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374,96</w:t>
            </w:r>
          </w:p>
        </w:tc>
        <w:tc>
          <w:tcPr>
            <w:tcW w:w="0" w:type="auto"/>
            <w:tcBorders>
              <w:top w:val="nil"/>
              <w:left w:val="nil"/>
              <w:bottom w:val="single" w:sz="4" w:space="0" w:color="auto"/>
              <w:right w:val="single" w:sz="8" w:space="0" w:color="auto"/>
            </w:tcBorders>
            <w:shd w:val="clear" w:color="000000" w:fill="FFFFFF"/>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124,99</w:t>
            </w:r>
          </w:p>
        </w:tc>
      </w:tr>
      <w:tr w:rsidR="00AD2E69" w:rsidRPr="00363C60" w:rsidTr="00363C60">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2033</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1.770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1.770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137,00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22,00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176</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310,88</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373,06</w:t>
            </w:r>
          </w:p>
        </w:tc>
        <w:tc>
          <w:tcPr>
            <w:tcW w:w="0" w:type="auto"/>
            <w:tcBorders>
              <w:top w:val="nil"/>
              <w:left w:val="nil"/>
              <w:bottom w:val="single" w:sz="4" w:space="0" w:color="auto"/>
              <w:right w:val="single" w:sz="8" w:space="0" w:color="auto"/>
            </w:tcBorders>
            <w:shd w:val="clear" w:color="000000" w:fill="FFFFFF"/>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124,35</w:t>
            </w:r>
          </w:p>
        </w:tc>
      </w:tr>
      <w:tr w:rsidR="00AD2E69" w:rsidRPr="00363C60" w:rsidTr="00363C60">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2034</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1.751</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1.751</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137,00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22,00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176</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307,55</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369,06</w:t>
            </w:r>
          </w:p>
        </w:tc>
        <w:tc>
          <w:tcPr>
            <w:tcW w:w="0" w:type="auto"/>
            <w:tcBorders>
              <w:top w:val="nil"/>
              <w:left w:val="nil"/>
              <w:bottom w:val="single" w:sz="4" w:space="0" w:color="auto"/>
              <w:right w:val="single" w:sz="8" w:space="0" w:color="auto"/>
            </w:tcBorders>
            <w:shd w:val="clear" w:color="000000" w:fill="FFFFFF"/>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123,02</w:t>
            </w:r>
          </w:p>
        </w:tc>
      </w:tr>
      <w:tr w:rsidR="00AD2E69" w:rsidRPr="00363C60" w:rsidTr="00363C60">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2035</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1.730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1.730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137,00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22,00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176</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303,86</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364,63</w:t>
            </w:r>
          </w:p>
        </w:tc>
        <w:tc>
          <w:tcPr>
            <w:tcW w:w="0" w:type="auto"/>
            <w:tcBorders>
              <w:top w:val="nil"/>
              <w:left w:val="nil"/>
              <w:bottom w:val="single" w:sz="4" w:space="0" w:color="auto"/>
              <w:right w:val="single" w:sz="8" w:space="0" w:color="auto"/>
            </w:tcBorders>
            <w:shd w:val="clear" w:color="000000" w:fill="FFFFFF"/>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121,54</w:t>
            </w:r>
          </w:p>
        </w:tc>
      </w:tr>
      <w:tr w:rsidR="00AD2E69" w:rsidRPr="00363C60" w:rsidTr="00363C60">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2036</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1.711</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1.711</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137,00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22,00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176</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300,52</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360,63</w:t>
            </w:r>
          </w:p>
        </w:tc>
        <w:tc>
          <w:tcPr>
            <w:tcW w:w="0" w:type="auto"/>
            <w:tcBorders>
              <w:top w:val="nil"/>
              <w:left w:val="nil"/>
              <w:bottom w:val="single" w:sz="4" w:space="0" w:color="auto"/>
              <w:right w:val="single" w:sz="8" w:space="0" w:color="auto"/>
            </w:tcBorders>
            <w:shd w:val="clear" w:color="000000" w:fill="FFFFFF"/>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120,21</w:t>
            </w:r>
          </w:p>
        </w:tc>
      </w:tr>
      <w:tr w:rsidR="00AD2E69" w:rsidRPr="00363C60" w:rsidTr="00363C60">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2037</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1.702</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1.702</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137,00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22,00</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176</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298,94</w:t>
            </w:r>
          </w:p>
        </w:tc>
        <w:tc>
          <w:tcPr>
            <w:tcW w:w="0" w:type="auto"/>
            <w:tcBorders>
              <w:top w:val="nil"/>
              <w:left w:val="nil"/>
              <w:bottom w:val="single" w:sz="4"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358,73</w:t>
            </w:r>
          </w:p>
        </w:tc>
        <w:tc>
          <w:tcPr>
            <w:tcW w:w="0" w:type="auto"/>
            <w:tcBorders>
              <w:top w:val="nil"/>
              <w:left w:val="nil"/>
              <w:bottom w:val="single" w:sz="4" w:space="0" w:color="auto"/>
              <w:right w:val="single" w:sz="8" w:space="0" w:color="auto"/>
            </w:tcBorders>
            <w:shd w:val="clear" w:color="000000" w:fill="FFFFFF"/>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119,58</w:t>
            </w:r>
          </w:p>
        </w:tc>
      </w:tr>
      <w:tr w:rsidR="00AD2E69" w:rsidRPr="00363C60" w:rsidTr="00363C60">
        <w:trPr>
          <w:trHeight w:val="283"/>
        </w:trPr>
        <w:tc>
          <w:tcPr>
            <w:tcW w:w="0" w:type="auto"/>
            <w:tcBorders>
              <w:top w:val="nil"/>
              <w:left w:val="single" w:sz="8" w:space="0" w:color="auto"/>
              <w:bottom w:val="single" w:sz="8"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2038</w:t>
            </w:r>
          </w:p>
        </w:tc>
        <w:tc>
          <w:tcPr>
            <w:tcW w:w="0" w:type="auto"/>
            <w:tcBorders>
              <w:top w:val="nil"/>
              <w:left w:val="nil"/>
              <w:bottom w:val="single" w:sz="8"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1.691</w:t>
            </w:r>
          </w:p>
        </w:tc>
        <w:tc>
          <w:tcPr>
            <w:tcW w:w="0" w:type="auto"/>
            <w:tcBorders>
              <w:top w:val="nil"/>
              <w:left w:val="nil"/>
              <w:bottom w:val="single" w:sz="8"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100</w:t>
            </w:r>
          </w:p>
        </w:tc>
        <w:tc>
          <w:tcPr>
            <w:tcW w:w="0" w:type="auto"/>
            <w:tcBorders>
              <w:top w:val="nil"/>
              <w:left w:val="nil"/>
              <w:bottom w:val="single" w:sz="8"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1.691</w:t>
            </w:r>
          </w:p>
        </w:tc>
        <w:tc>
          <w:tcPr>
            <w:tcW w:w="0" w:type="auto"/>
            <w:tcBorders>
              <w:top w:val="nil"/>
              <w:left w:val="nil"/>
              <w:bottom w:val="single" w:sz="8"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137,00</w:t>
            </w:r>
          </w:p>
        </w:tc>
        <w:tc>
          <w:tcPr>
            <w:tcW w:w="0" w:type="auto"/>
            <w:tcBorders>
              <w:top w:val="nil"/>
              <w:left w:val="nil"/>
              <w:bottom w:val="single" w:sz="8"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22,00</w:t>
            </w:r>
          </w:p>
        </w:tc>
        <w:tc>
          <w:tcPr>
            <w:tcW w:w="0" w:type="auto"/>
            <w:tcBorders>
              <w:top w:val="nil"/>
              <w:left w:val="nil"/>
              <w:bottom w:val="single" w:sz="8"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176</w:t>
            </w:r>
          </w:p>
        </w:tc>
        <w:tc>
          <w:tcPr>
            <w:tcW w:w="0" w:type="auto"/>
            <w:tcBorders>
              <w:top w:val="nil"/>
              <w:left w:val="nil"/>
              <w:bottom w:val="single" w:sz="8"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297,01</w:t>
            </w:r>
          </w:p>
        </w:tc>
        <w:tc>
          <w:tcPr>
            <w:tcW w:w="0" w:type="auto"/>
            <w:tcBorders>
              <w:top w:val="nil"/>
              <w:left w:val="nil"/>
              <w:bottom w:val="single" w:sz="8" w:space="0" w:color="auto"/>
              <w:right w:val="single" w:sz="4" w:space="0" w:color="auto"/>
            </w:tcBorders>
            <w:shd w:val="clear" w:color="auto" w:fill="auto"/>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356,41</w:t>
            </w:r>
          </w:p>
        </w:tc>
        <w:tc>
          <w:tcPr>
            <w:tcW w:w="0" w:type="auto"/>
            <w:tcBorders>
              <w:top w:val="nil"/>
              <w:left w:val="nil"/>
              <w:bottom w:val="single" w:sz="8" w:space="0" w:color="auto"/>
              <w:right w:val="single" w:sz="8" w:space="0" w:color="auto"/>
            </w:tcBorders>
            <w:shd w:val="clear" w:color="000000" w:fill="FFFFFF"/>
            <w:noWrap/>
            <w:vAlign w:val="bottom"/>
            <w:hideMark/>
          </w:tcPr>
          <w:p w:rsidR="00363C60" w:rsidRPr="00363C60" w:rsidRDefault="00363C60" w:rsidP="00363C60">
            <w:pPr>
              <w:spacing w:line="240" w:lineRule="auto"/>
              <w:jc w:val="center"/>
              <w:rPr>
                <w:rFonts w:eastAsia="Times New Roman" w:cs="Arial"/>
                <w:sz w:val="22"/>
                <w:lang w:eastAsia="pt-BR"/>
              </w:rPr>
            </w:pPr>
            <w:r w:rsidRPr="00363C60">
              <w:rPr>
                <w:rFonts w:eastAsia="Times New Roman" w:cs="Arial"/>
                <w:sz w:val="22"/>
                <w:lang w:eastAsia="pt-BR"/>
              </w:rPr>
              <w:t>118,80</w:t>
            </w:r>
          </w:p>
        </w:tc>
      </w:tr>
    </w:tbl>
    <w:p w:rsidR="00193B74" w:rsidRPr="00363C60" w:rsidRDefault="00193B74" w:rsidP="00193B74">
      <w:pPr>
        <w:pStyle w:val="Fonte"/>
        <w:spacing w:before="0" w:after="0"/>
      </w:pPr>
      <w:r w:rsidRPr="00363C60">
        <w:t>Fonte: SHS, 2017.</w:t>
      </w:r>
    </w:p>
    <w:p w:rsidR="00193B74" w:rsidRPr="00363C60" w:rsidRDefault="00193B74" w:rsidP="00193B74">
      <w:pPr>
        <w:pStyle w:val="Fonte"/>
        <w:sectPr w:rsidR="00193B74" w:rsidRPr="00363C60" w:rsidSect="00CE1CFD">
          <w:footerReference w:type="default" r:id="rId18"/>
          <w:pgSz w:w="16838" w:h="11906" w:orient="landscape"/>
          <w:pgMar w:top="1418" w:right="1106" w:bottom="1134" w:left="1134" w:header="709" w:footer="709" w:gutter="0"/>
          <w:cols w:space="708"/>
          <w:docGrid w:linePitch="360"/>
        </w:sectPr>
      </w:pPr>
    </w:p>
    <w:bookmarkEnd w:id="25"/>
    <w:p w:rsidR="00193B74" w:rsidRPr="00D050BE" w:rsidRDefault="00193B74" w:rsidP="00193B74">
      <w:pPr>
        <w:ind w:firstLine="709"/>
        <w:rPr>
          <w:rFonts w:cs="Arial"/>
          <w:szCs w:val="24"/>
        </w:rPr>
      </w:pPr>
      <w:r w:rsidRPr="00363C60">
        <w:rPr>
          <w:rFonts w:cs="Arial"/>
          <w:szCs w:val="24"/>
        </w:rPr>
        <w:lastRenderedPageBreak/>
        <w:t xml:space="preserve">Determinada a demanda </w:t>
      </w:r>
      <w:r w:rsidRPr="00D050BE">
        <w:rPr>
          <w:rFonts w:cs="Arial"/>
          <w:szCs w:val="24"/>
        </w:rPr>
        <w:t>de água na área urbana ao longo do Plano, foi feito o balanço entre esse dado e a oferta de água no local para cada ano, até o fim do Plano.</w:t>
      </w:r>
    </w:p>
    <w:p w:rsidR="00193B74" w:rsidRPr="00D050BE" w:rsidRDefault="003C4F7A" w:rsidP="00193B74">
      <w:pPr>
        <w:ind w:firstLine="709"/>
        <w:rPr>
          <w:rFonts w:cs="Arial"/>
          <w:szCs w:val="24"/>
        </w:rPr>
      </w:pPr>
      <w:r w:rsidRPr="00D050BE">
        <w:rPr>
          <w:rFonts w:cs="Arial"/>
          <w:szCs w:val="24"/>
        </w:rPr>
        <w:t>Sendo assim, para a sede, foram considerados: o valor da vazão captada total (9L/s) e 14h/d de funcionamento dos poços</w:t>
      </w:r>
      <w:r w:rsidR="00193B74" w:rsidRPr="00D050BE">
        <w:rPr>
          <w:rFonts w:cs="Arial"/>
          <w:szCs w:val="24"/>
        </w:rPr>
        <w:t>. A partir des</w:t>
      </w:r>
      <w:r w:rsidR="008F056A" w:rsidRPr="00D050BE">
        <w:rPr>
          <w:rFonts w:cs="Arial"/>
          <w:szCs w:val="24"/>
        </w:rPr>
        <w:t>s</w:t>
      </w:r>
      <w:r w:rsidR="00193B74" w:rsidRPr="00D050BE">
        <w:rPr>
          <w:rFonts w:cs="Arial"/>
          <w:szCs w:val="24"/>
        </w:rPr>
        <w:t xml:space="preserve">e valor, realizou-se o balanço da oferta e demanda do sistema de abastecimento de água, de acordo com as projeções populacionais analisadas. No </w:t>
      </w:r>
      <w:r w:rsidR="00193B74" w:rsidRPr="00D050BE">
        <w:fldChar w:fldCharType="begin"/>
      </w:r>
      <w:r w:rsidR="00193B74" w:rsidRPr="00D050BE">
        <w:instrText xml:space="preserve"> REF _Ref436725878 \h  \* MERGEFORMAT </w:instrText>
      </w:r>
      <w:r w:rsidR="00193B74" w:rsidRPr="00D050BE">
        <w:fldChar w:fldCharType="separate"/>
      </w:r>
      <w:r w:rsidR="004D1D76" w:rsidRPr="00D050BE">
        <w:t xml:space="preserve">Quadro </w:t>
      </w:r>
      <w:r w:rsidR="004D1D76">
        <w:t>2</w:t>
      </w:r>
      <w:r w:rsidR="00193B74" w:rsidRPr="00D050BE">
        <w:fldChar w:fldCharType="end"/>
      </w:r>
      <w:r w:rsidR="00193B74" w:rsidRPr="00D050BE">
        <w:rPr>
          <w:rFonts w:cs="Arial"/>
          <w:szCs w:val="24"/>
        </w:rPr>
        <w:t xml:space="preserve"> são apresentados os resultados do balanço da sede. </w:t>
      </w:r>
    </w:p>
    <w:p w:rsidR="00193B74" w:rsidRPr="00D050BE" w:rsidRDefault="00193B74" w:rsidP="00193B74">
      <w:pPr>
        <w:pStyle w:val="Legenda"/>
      </w:pPr>
      <w:bookmarkStart w:id="30" w:name="_Ref436725878"/>
      <w:bookmarkStart w:id="31" w:name="_Toc441657078"/>
      <w:bookmarkStart w:id="32" w:name="_Toc497469123"/>
      <w:r w:rsidRPr="00D050BE">
        <w:t xml:space="preserve">Quadro </w:t>
      </w:r>
      <w:r w:rsidR="00D71C43">
        <w:fldChar w:fldCharType="begin"/>
      </w:r>
      <w:r w:rsidR="00D71C43">
        <w:instrText xml:space="preserve"> SEQ Quadro \* ARABIC </w:instrText>
      </w:r>
      <w:r w:rsidR="00D71C43">
        <w:fldChar w:fldCharType="separate"/>
      </w:r>
      <w:r w:rsidR="004D1D76">
        <w:rPr>
          <w:noProof/>
        </w:rPr>
        <w:t>2</w:t>
      </w:r>
      <w:r w:rsidR="00D71C43">
        <w:rPr>
          <w:noProof/>
        </w:rPr>
        <w:fldChar w:fldCharType="end"/>
      </w:r>
      <w:bookmarkEnd w:id="30"/>
      <w:r w:rsidRPr="00D050BE">
        <w:t xml:space="preserve"> - </w:t>
      </w:r>
      <w:r w:rsidRPr="00D050BE">
        <w:rPr>
          <w:noProof/>
        </w:rPr>
        <w:t xml:space="preserve">Balanço da oferta e demanda do SAA para </w:t>
      </w:r>
      <w:r w:rsidRPr="00D050BE">
        <w:rPr>
          <w:noProof/>
          <w:lang w:val="pt-BR"/>
        </w:rPr>
        <w:t xml:space="preserve">a </w:t>
      </w:r>
      <w:r w:rsidRPr="00D050BE">
        <w:rPr>
          <w:noProof/>
        </w:rPr>
        <w:t>sede no cenário previsível</w:t>
      </w:r>
      <w:bookmarkEnd w:id="31"/>
      <w:bookmarkEnd w:id="32"/>
    </w:p>
    <w:tbl>
      <w:tblPr>
        <w:tblW w:w="0" w:type="auto"/>
        <w:tblInd w:w="60" w:type="dxa"/>
        <w:tblCellMar>
          <w:left w:w="70" w:type="dxa"/>
          <w:right w:w="70" w:type="dxa"/>
        </w:tblCellMar>
        <w:tblLook w:val="04A0" w:firstRow="1" w:lastRow="0" w:firstColumn="1" w:lastColumn="0" w:noHBand="0" w:noVBand="1"/>
      </w:tblPr>
      <w:tblGrid>
        <w:gridCol w:w="630"/>
        <w:gridCol w:w="1668"/>
        <w:gridCol w:w="1078"/>
        <w:gridCol w:w="1558"/>
        <w:gridCol w:w="1282"/>
        <w:gridCol w:w="1686"/>
        <w:gridCol w:w="1532"/>
      </w:tblGrid>
      <w:tr w:rsidR="00D050BE" w:rsidRPr="00D050BE" w:rsidTr="00D050BE">
        <w:trPr>
          <w:trHeight w:val="283"/>
        </w:trPr>
        <w:tc>
          <w:tcPr>
            <w:tcW w:w="0" w:type="auto"/>
            <w:tcBorders>
              <w:top w:val="single" w:sz="8" w:space="0" w:color="auto"/>
              <w:left w:val="single" w:sz="8" w:space="0" w:color="auto"/>
              <w:bottom w:val="nil"/>
              <w:right w:val="single" w:sz="4" w:space="0" w:color="auto"/>
            </w:tcBorders>
            <w:shd w:val="clear" w:color="auto" w:fill="auto"/>
            <w:vAlign w:val="center"/>
            <w:hideMark/>
          </w:tcPr>
          <w:p w:rsidR="00AD2E69" w:rsidRPr="00D050BE" w:rsidRDefault="00AD2E69" w:rsidP="00363C60">
            <w:pPr>
              <w:spacing w:line="240" w:lineRule="auto"/>
              <w:jc w:val="center"/>
              <w:rPr>
                <w:rFonts w:eastAsia="Times New Roman" w:cs="Arial"/>
                <w:b/>
                <w:bCs/>
                <w:sz w:val="22"/>
                <w:lang w:eastAsia="pt-BR"/>
              </w:rPr>
            </w:pPr>
            <w:r w:rsidRPr="00D050BE">
              <w:rPr>
                <w:rFonts w:eastAsia="Times New Roman" w:cs="Arial"/>
                <w:b/>
                <w:bCs/>
                <w:sz w:val="22"/>
                <w:lang w:eastAsia="pt-BR"/>
              </w:rPr>
              <w:t>Ano</w:t>
            </w:r>
          </w:p>
        </w:tc>
        <w:tc>
          <w:tcPr>
            <w:tcW w:w="0" w:type="auto"/>
            <w:tcBorders>
              <w:top w:val="single" w:sz="8" w:space="0" w:color="auto"/>
              <w:left w:val="nil"/>
              <w:bottom w:val="nil"/>
              <w:right w:val="single" w:sz="4" w:space="0" w:color="auto"/>
            </w:tcBorders>
            <w:shd w:val="clear" w:color="auto" w:fill="auto"/>
            <w:vAlign w:val="center"/>
            <w:hideMark/>
          </w:tcPr>
          <w:p w:rsidR="00AD2E69" w:rsidRPr="00D050BE" w:rsidRDefault="00AD2E69" w:rsidP="00363C60">
            <w:pPr>
              <w:spacing w:line="240" w:lineRule="auto"/>
              <w:jc w:val="center"/>
              <w:rPr>
                <w:rFonts w:eastAsia="Times New Roman" w:cs="Arial"/>
                <w:b/>
                <w:bCs/>
                <w:sz w:val="22"/>
                <w:lang w:eastAsia="pt-BR"/>
              </w:rPr>
            </w:pPr>
            <w:r w:rsidRPr="00D050BE">
              <w:rPr>
                <w:rFonts w:eastAsia="Times New Roman" w:cs="Arial"/>
                <w:b/>
                <w:bCs/>
                <w:sz w:val="22"/>
                <w:lang w:eastAsia="pt-BR"/>
              </w:rPr>
              <w:t>População urbana atendida (hab.)</w:t>
            </w:r>
          </w:p>
        </w:tc>
        <w:tc>
          <w:tcPr>
            <w:tcW w:w="0" w:type="auto"/>
            <w:tcBorders>
              <w:top w:val="single" w:sz="8" w:space="0" w:color="auto"/>
              <w:left w:val="nil"/>
              <w:bottom w:val="nil"/>
              <w:right w:val="single" w:sz="4" w:space="0" w:color="auto"/>
            </w:tcBorders>
            <w:shd w:val="clear" w:color="000000" w:fill="FFFFFF"/>
            <w:vAlign w:val="center"/>
            <w:hideMark/>
          </w:tcPr>
          <w:p w:rsidR="00AD2E69" w:rsidRPr="00D050BE" w:rsidRDefault="00AD2E69" w:rsidP="00363C60">
            <w:pPr>
              <w:spacing w:line="240" w:lineRule="auto"/>
              <w:jc w:val="center"/>
              <w:rPr>
                <w:rFonts w:eastAsia="Times New Roman" w:cs="Arial"/>
                <w:b/>
                <w:bCs/>
                <w:sz w:val="22"/>
                <w:lang w:eastAsia="pt-BR"/>
              </w:rPr>
            </w:pPr>
            <w:r w:rsidRPr="00D050BE">
              <w:rPr>
                <w:rFonts w:eastAsia="Times New Roman" w:cs="Arial"/>
                <w:b/>
                <w:bCs/>
                <w:sz w:val="22"/>
                <w:lang w:eastAsia="pt-BR"/>
              </w:rPr>
              <w:t>Oferta de água (m³/d)</w:t>
            </w:r>
          </w:p>
        </w:tc>
        <w:tc>
          <w:tcPr>
            <w:tcW w:w="0" w:type="auto"/>
            <w:tcBorders>
              <w:top w:val="single" w:sz="8" w:space="0" w:color="auto"/>
              <w:left w:val="nil"/>
              <w:bottom w:val="nil"/>
              <w:right w:val="single" w:sz="4" w:space="0" w:color="auto"/>
            </w:tcBorders>
            <w:shd w:val="clear" w:color="000000" w:fill="FFFFFF"/>
            <w:vAlign w:val="center"/>
            <w:hideMark/>
          </w:tcPr>
          <w:p w:rsidR="00AD2E69" w:rsidRPr="00D050BE" w:rsidRDefault="00AD2E69" w:rsidP="00363C60">
            <w:pPr>
              <w:spacing w:line="240" w:lineRule="auto"/>
              <w:jc w:val="center"/>
              <w:rPr>
                <w:rFonts w:eastAsia="Times New Roman" w:cs="Arial"/>
                <w:b/>
                <w:bCs/>
                <w:sz w:val="22"/>
                <w:lang w:eastAsia="pt-BR"/>
              </w:rPr>
            </w:pPr>
            <w:r w:rsidRPr="00D050BE">
              <w:rPr>
                <w:rFonts w:eastAsia="Times New Roman" w:cs="Arial"/>
                <w:b/>
                <w:bCs/>
                <w:sz w:val="22"/>
                <w:lang w:eastAsia="pt-BR"/>
              </w:rPr>
              <w:t>Demanda de água                (m³/d)</w:t>
            </w:r>
          </w:p>
        </w:tc>
        <w:tc>
          <w:tcPr>
            <w:tcW w:w="0" w:type="auto"/>
            <w:tcBorders>
              <w:top w:val="single" w:sz="8" w:space="0" w:color="auto"/>
              <w:left w:val="nil"/>
              <w:bottom w:val="nil"/>
              <w:right w:val="single" w:sz="8" w:space="0" w:color="auto"/>
            </w:tcBorders>
            <w:shd w:val="clear" w:color="000000" w:fill="FFFFFF"/>
            <w:vAlign w:val="center"/>
            <w:hideMark/>
          </w:tcPr>
          <w:p w:rsidR="00AD2E69" w:rsidRPr="00D050BE" w:rsidRDefault="00AD2E69" w:rsidP="00D050BE">
            <w:pPr>
              <w:spacing w:line="240" w:lineRule="auto"/>
              <w:jc w:val="center"/>
              <w:rPr>
                <w:rFonts w:eastAsia="Times New Roman" w:cs="Arial"/>
                <w:b/>
                <w:bCs/>
                <w:sz w:val="22"/>
                <w:lang w:eastAsia="pt-BR"/>
              </w:rPr>
            </w:pPr>
            <w:r w:rsidRPr="00D050BE">
              <w:rPr>
                <w:rFonts w:eastAsia="Times New Roman" w:cs="Arial"/>
                <w:b/>
                <w:bCs/>
                <w:sz w:val="22"/>
                <w:lang w:eastAsia="pt-BR"/>
              </w:rPr>
              <w:t>Saldo do Balanço (m³/d)</w:t>
            </w:r>
          </w:p>
        </w:tc>
        <w:tc>
          <w:tcPr>
            <w:tcW w:w="0" w:type="auto"/>
            <w:tcBorders>
              <w:top w:val="single" w:sz="8" w:space="0" w:color="auto"/>
              <w:left w:val="nil"/>
              <w:bottom w:val="nil"/>
              <w:right w:val="single" w:sz="8" w:space="0" w:color="auto"/>
            </w:tcBorders>
            <w:shd w:val="clear" w:color="000000" w:fill="FFFFFF"/>
            <w:vAlign w:val="center"/>
          </w:tcPr>
          <w:p w:rsidR="00AD2E69" w:rsidRPr="00D050BE" w:rsidRDefault="00AD2E69" w:rsidP="00D050BE">
            <w:pPr>
              <w:spacing w:line="240" w:lineRule="auto"/>
              <w:jc w:val="center"/>
              <w:rPr>
                <w:rFonts w:eastAsia="Times New Roman" w:cs="Arial"/>
                <w:b/>
                <w:bCs/>
                <w:sz w:val="22"/>
                <w:lang w:eastAsia="pt-BR"/>
              </w:rPr>
            </w:pPr>
            <w:r w:rsidRPr="00D050BE">
              <w:rPr>
                <w:rFonts w:eastAsia="Times New Roman" w:cs="Arial"/>
                <w:b/>
                <w:bCs/>
                <w:sz w:val="22"/>
                <w:lang w:eastAsia="pt-BR"/>
              </w:rPr>
              <w:t xml:space="preserve">Demanda de </w:t>
            </w:r>
            <w:r w:rsidR="00D050BE" w:rsidRPr="00D050BE">
              <w:rPr>
                <w:rFonts w:eastAsia="Times New Roman" w:cs="Arial"/>
                <w:b/>
                <w:bCs/>
                <w:sz w:val="22"/>
                <w:lang w:eastAsia="pt-BR"/>
              </w:rPr>
              <w:t>r</w:t>
            </w:r>
            <w:r w:rsidRPr="00D050BE">
              <w:rPr>
                <w:rFonts w:eastAsia="Times New Roman" w:cs="Arial"/>
                <w:b/>
                <w:bCs/>
                <w:sz w:val="22"/>
                <w:lang w:eastAsia="pt-BR"/>
              </w:rPr>
              <w:t>eservação (m³/dia)</w:t>
            </w:r>
          </w:p>
        </w:tc>
        <w:tc>
          <w:tcPr>
            <w:tcW w:w="0" w:type="auto"/>
            <w:tcBorders>
              <w:top w:val="single" w:sz="8" w:space="0" w:color="auto"/>
              <w:left w:val="nil"/>
              <w:bottom w:val="nil"/>
              <w:right w:val="single" w:sz="8" w:space="0" w:color="auto"/>
            </w:tcBorders>
            <w:shd w:val="clear" w:color="000000" w:fill="FFFFFF"/>
            <w:vAlign w:val="center"/>
          </w:tcPr>
          <w:p w:rsidR="00AD2E69" w:rsidRPr="00D050BE" w:rsidRDefault="00AD2E69" w:rsidP="00D050BE">
            <w:pPr>
              <w:spacing w:line="240" w:lineRule="auto"/>
              <w:jc w:val="center"/>
              <w:rPr>
                <w:rFonts w:eastAsia="Times New Roman" w:cs="Arial"/>
                <w:b/>
                <w:bCs/>
                <w:sz w:val="22"/>
                <w:lang w:eastAsia="pt-BR"/>
              </w:rPr>
            </w:pPr>
            <w:r w:rsidRPr="00D050BE">
              <w:rPr>
                <w:rFonts w:eastAsia="Times New Roman" w:cs="Arial"/>
                <w:b/>
                <w:bCs/>
                <w:sz w:val="22"/>
                <w:lang w:eastAsia="pt-BR"/>
              </w:rPr>
              <w:t>Reservação atual m³</w:t>
            </w:r>
          </w:p>
        </w:tc>
      </w:tr>
      <w:tr w:rsidR="00D050BE" w:rsidRPr="00D050BE" w:rsidTr="00AD2E69">
        <w:trPr>
          <w:trHeight w:val="283"/>
        </w:trPr>
        <w:tc>
          <w:tcPr>
            <w:tcW w:w="0" w:type="auto"/>
            <w:tcBorders>
              <w:top w:val="single" w:sz="8" w:space="0" w:color="auto"/>
              <w:left w:val="single" w:sz="8" w:space="0" w:color="auto"/>
              <w:bottom w:val="single" w:sz="4" w:space="0" w:color="auto"/>
              <w:right w:val="single" w:sz="4" w:space="0" w:color="auto"/>
            </w:tcBorders>
            <w:shd w:val="clear" w:color="auto" w:fill="auto"/>
            <w:noWrap/>
            <w:vAlign w:val="bottom"/>
            <w:hideMark/>
          </w:tcPr>
          <w:p w:rsidR="00AD2E69" w:rsidRPr="00D050BE" w:rsidRDefault="00AD2E69" w:rsidP="00363C60">
            <w:pPr>
              <w:spacing w:line="240" w:lineRule="auto"/>
              <w:jc w:val="center"/>
              <w:rPr>
                <w:rFonts w:eastAsia="Times New Roman" w:cs="Arial"/>
                <w:sz w:val="22"/>
                <w:lang w:eastAsia="pt-BR"/>
              </w:rPr>
            </w:pPr>
            <w:r w:rsidRPr="00D050BE">
              <w:rPr>
                <w:rFonts w:eastAsia="Times New Roman" w:cs="Arial"/>
                <w:sz w:val="22"/>
                <w:lang w:eastAsia="pt-BR"/>
              </w:rPr>
              <w:t>2017</w:t>
            </w:r>
          </w:p>
        </w:tc>
        <w:tc>
          <w:tcPr>
            <w:tcW w:w="0" w:type="auto"/>
            <w:tcBorders>
              <w:top w:val="single" w:sz="8" w:space="0" w:color="auto"/>
              <w:left w:val="nil"/>
              <w:bottom w:val="single" w:sz="4" w:space="0" w:color="auto"/>
              <w:right w:val="single" w:sz="4" w:space="0" w:color="auto"/>
            </w:tcBorders>
            <w:shd w:val="clear" w:color="000000" w:fill="FFFFFF"/>
            <w:noWrap/>
            <w:vAlign w:val="bottom"/>
            <w:hideMark/>
          </w:tcPr>
          <w:p w:rsidR="00AD2E69" w:rsidRPr="00D050BE" w:rsidRDefault="00AD2E69" w:rsidP="00363C60">
            <w:pPr>
              <w:spacing w:line="240" w:lineRule="auto"/>
              <w:jc w:val="center"/>
              <w:rPr>
                <w:rFonts w:eastAsia="Times New Roman" w:cs="Arial"/>
                <w:sz w:val="22"/>
                <w:lang w:eastAsia="pt-BR"/>
              </w:rPr>
            </w:pPr>
            <w:r w:rsidRPr="00D050BE">
              <w:rPr>
                <w:rFonts w:eastAsia="Times New Roman" w:cs="Arial"/>
                <w:sz w:val="22"/>
                <w:lang w:eastAsia="pt-BR"/>
              </w:rPr>
              <w:t>1.983</w:t>
            </w:r>
          </w:p>
        </w:tc>
        <w:tc>
          <w:tcPr>
            <w:tcW w:w="0" w:type="auto"/>
            <w:tcBorders>
              <w:top w:val="single" w:sz="8" w:space="0" w:color="auto"/>
              <w:left w:val="nil"/>
              <w:bottom w:val="single" w:sz="4" w:space="0" w:color="auto"/>
              <w:right w:val="single" w:sz="4"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453,60</w:t>
            </w:r>
          </w:p>
        </w:tc>
        <w:tc>
          <w:tcPr>
            <w:tcW w:w="0" w:type="auto"/>
            <w:tcBorders>
              <w:top w:val="single" w:sz="8" w:space="0" w:color="auto"/>
              <w:left w:val="nil"/>
              <w:bottom w:val="single" w:sz="4" w:space="0" w:color="auto"/>
              <w:right w:val="single" w:sz="4"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348,30</w:t>
            </w:r>
          </w:p>
        </w:tc>
        <w:tc>
          <w:tcPr>
            <w:tcW w:w="0" w:type="auto"/>
            <w:tcBorders>
              <w:top w:val="single" w:sz="8" w:space="0" w:color="auto"/>
              <w:left w:val="nil"/>
              <w:bottom w:val="single" w:sz="4" w:space="0" w:color="auto"/>
              <w:right w:val="single" w:sz="8"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105,30</w:t>
            </w:r>
          </w:p>
        </w:tc>
        <w:tc>
          <w:tcPr>
            <w:tcW w:w="0" w:type="auto"/>
            <w:tcBorders>
              <w:top w:val="single" w:sz="8" w:space="0" w:color="auto"/>
              <w:left w:val="nil"/>
              <w:bottom w:val="single" w:sz="4" w:space="0" w:color="auto"/>
              <w:right w:val="single" w:sz="8" w:space="0" w:color="auto"/>
            </w:tcBorders>
            <w:shd w:val="clear" w:color="000000" w:fill="FFFFFF"/>
            <w:vAlign w:val="center"/>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139,32</w:t>
            </w:r>
          </w:p>
        </w:tc>
        <w:tc>
          <w:tcPr>
            <w:tcW w:w="0" w:type="auto"/>
            <w:tcBorders>
              <w:top w:val="single" w:sz="8" w:space="0" w:color="auto"/>
              <w:left w:val="nil"/>
              <w:bottom w:val="single" w:sz="4" w:space="0" w:color="auto"/>
              <w:right w:val="single" w:sz="8" w:space="0" w:color="auto"/>
            </w:tcBorders>
            <w:shd w:val="clear" w:color="000000" w:fill="FFFFFF"/>
            <w:vAlign w:val="center"/>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80</w:t>
            </w:r>
          </w:p>
        </w:tc>
      </w:tr>
      <w:tr w:rsidR="00D050BE" w:rsidRPr="00D050BE" w:rsidTr="00AD2E69">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AD2E69" w:rsidRPr="00D050BE" w:rsidRDefault="00AD2E69" w:rsidP="00363C60">
            <w:pPr>
              <w:spacing w:line="240" w:lineRule="auto"/>
              <w:jc w:val="center"/>
              <w:rPr>
                <w:rFonts w:eastAsia="Times New Roman" w:cs="Arial"/>
                <w:sz w:val="22"/>
                <w:lang w:eastAsia="pt-BR"/>
              </w:rPr>
            </w:pPr>
            <w:r w:rsidRPr="00D050BE">
              <w:rPr>
                <w:rFonts w:eastAsia="Times New Roman" w:cs="Arial"/>
                <w:sz w:val="22"/>
                <w:lang w:eastAsia="pt-BR"/>
              </w:rPr>
              <w:t>2018</w:t>
            </w:r>
          </w:p>
        </w:tc>
        <w:tc>
          <w:tcPr>
            <w:tcW w:w="0" w:type="auto"/>
            <w:tcBorders>
              <w:top w:val="nil"/>
              <w:left w:val="nil"/>
              <w:bottom w:val="single" w:sz="4" w:space="0" w:color="auto"/>
              <w:right w:val="single" w:sz="4" w:space="0" w:color="auto"/>
            </w:tcBorders>
            <w:shd w:val="clear" w:color="000000" w:fill="FFFFFF"/>
            <w:noWrap/>
            <w:vAlign w:val="bottom"/>
            <w:hideMark/>
          </w:tcPr>
          <w:p w:rsidR="00AD2E69" w:rsidRPr="00D050BE" w:rsidRDefault="00AD2E69" w:rsidP="00363C60">
            <w:pPr>
              <w:spacing w:line="240" w:lineRule="auto"/>
              <w:jc w:val="center"/>
              <w:rPr>
                <w:rFonts w:eastAsia="Times New Roman" w:cs="Arial"/>
                <w:sz w:val="22"/>
                <w:lang w:eastAsia="pt-BR"/>
              </w:rPr>
            </w:pPr>
            <w:r w:rsidRPr="00D050BE">
              <w:rPr>
                <w:rFonts w:eastAsia="Times New Roman" w:cs="Arial"/>
                <w:sz w:val="22"/>
                <w:lang w:eastAsia="pt-BR"/>
              </w:rPr>
              <w:t>1.969</w:t>
            </w:r>
          </w:p>
        </w:tc>
        <w:tc>
          <w:tcPr>
            <w:tcW w:w="0" w:type="auto"/>
            <w:tcBorders>
              <w:top w:val="nil"/>
              <w:left w:val="nil"/>
              <w:bottom w:val="single" w:sz="4" w:space="0" w:color="auto"/>
              <w:right w:val="single" w:sz="4"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345,84</w:t>
            </w:r>
          </w:p>
        </w:tc>
        <w:tc>
          <w:tcPr>
            <w:tcW w:w="0" w:type="auto"/>
            <w:tcBorders>
              <w:top w:val="nil"/>
              <w:left w:val="nil"/>
              <w:bottom w:val="single" w:sz="4" w:space="0" w:color="auto"/>
              <w:right w:val="single" w:sz="8"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107,76</w:t>
            </w:r>
          </w:p>
        </w:tc>
        <w:tc>
          <w:tcPr>
            <w:tcW w:w="0" w:type="auto"/>
            <w:tcBorders>
              <w:top w:val="nil"/>
              <w:left w:val="nil"/>
              <w:bottom w:val="single" w:sz="4" w:space="0" w:color="auto"/>
              <w:right w:val="single" w:sz="8" w:space="0" w:color="auto"/>
            </w:tcBorders>
            <w:shd w:val="clear" w:color="000000" w:fill="FFFFFF"/>
            <w:vAlign w:val="center"/>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138,33</w:t>
            </w:r>
          </w:p>
        </w:tc>
        <w:tc>
          <w:tcPr>
            <w:tcW w:w="0" w:type="auto"/>
            <w:tcBorders>
              <w:top w:val="nil"/>
              <w:left w:val="nil"/>
              <w:bottom w:val="single" w:sz="4" w:space="0" w:color="auto"/>
              <w:right w:val="single" w:sz="8" w:space="0" w:color="auto"/>
            </w:tcBorders>
            <w:shd w:val="clear" w:color="000000" w:fill="FFFFFF"/>
            <w:vAlign w:val="center"/>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80</w:t>
            </w:r>
          </w:p>
        </w:tc>
      </w:tr>
      <w:tr w:rsidR="00D050BE" w:rsidRPr="00D050BE" w:rsidTr="00AD2E69">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AD2E69" w:rsidRPr="00D050BE" w:rsidRDefault="00AD2E69" w:rsidP="00363C60">
            <w:pPr>
              <w:spacing w:line="240" w:lineRule="auto"/>
              <w:jc w:val="center"/>
              <w:rPr>
                <w:rFonts w:eastAsia="Times New Roman" w:cs="Arial"/>
                <w:sz w:val="22"/>
                <w:lang w:eastAsia="pt-BR"/>
              </w:rPr>
            </w:pPr>
            <w:r w:rsidRPr="00D050BE">
              <w:rPr>
                <w:rFonts w:eastAsia="Times New Roman" w:cs="Arial"/>
                <w:sz w:val="22"/>
                <w:lang w:eastAsia="pt-BR"/>
              </w:rPr>
              <w:t>2019</w:t>
            </w:r>
          </w:p>
        </w:tc>
        <w:tc>
          <w:tcPr>
            <w:tcW w:w="0" w:type="auto"/>
            <w:tcBorders>
              <w:top w:val="nil"/>
              <w:left w:val="nil"/>
              <w:bottom w:val="single" w:sz="4" w:space="0" w:color="auto"/>
              <w:right w:val="single" w:sz="4" w:space="0" w:color="auto"/>
            </w:tcBorders>
            <w:shd w:val="clear" w:color="000000" w:fill="FFFFFF"/>
            <w:noWrap/>
            <w:vAlign w:val="bottom"/>
            <w:hideMark/>
          </w:tcPr>
          <w:p w:rsidR="00AD2E69" w:rsidRPr="00D050BE" w:rsidRDefault="00AD2E69" w:rsidP="00363C60">
            <w:pPr>
              <w:spacing w:line="240" w:lineRule="auto"/>
              <w:jc w:val="center"/>
              <w:rPr>
                <w:rFonts w:eastAsia="Times New Roman" w:cs="Arial"/>
                <w:sz w:val="22"/>
                <w:lang w:eastAsia="pt-BR"/>
              </w:rPr>
            </w:pPr>
            <w:r w:rsidRPr="00D050BE">
              <w:rPr>
                <w:rFonts w:eastAsia="Times New Roman" w:cs="Arial"/>
                <w:sz w:val="22"/>
                <w:lang w:eastAsia="pt-BR"/>
              </w:rPr>
              <w:t>1.959</w:t>
            </w:r>
          </w:p>
        </w:tc>
        <w:tc>
          <w:tcPr>
            <w:tcW w:w="0" w:type="auto"/>
            <w:tcBorders>
              <w:top w:val="nil"/>
              <w:left w:val="nil"/>
              <w:bottom w:val="single" w:sz="4" w:space="0" w:color="auto"/>
              <w:right w:val="single" w:sz="4"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344,08</w:t>
            </w:r>
          </w:p>
        </w:tc>
        <w:tc>
          <w:tcPr>
            <w:tcW w:w="0" w:type="auto"/>
            <w:tcBorders>
              <w:top w:val="nil"/>
              <w:left w:val="nil"/>
              <w:bottom w:val="single" w:sz="4" w:space="0" w:color="auto"/>
              <w:right w:val="single" w:sz="8"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109,52</w:t>
            </w:r>
          </w:p>
        </w:tc>
        <w:tc>
          <w:tcPr>
            <w:tcW w:w="0" w:type="auto"/>
            <w:tcBorders>
              <w:top w:val="nil"/>
              <w:left w:val="nil"/>
              <w:bottom w:val="single" w:sz="4" w:space="0" w:color="auto"/>
              <w:right w:val="single" w:sz="8" w:space="0" w:color="auto"/>
            </w:tcBorders>
            <w:shd w:val="clear" w:color="000000" w:fill="FFFFFF"/>
            <w:vAlign w:val="center"/>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137,63</w:t>
            </w:r>
          </w:p>
        </w:tc>
        <w:tc>
          <w:tcPr>
            <w:tcW w:w="0" w:type="auto"/>
            <w:tcBorders>
              <w:top w:val="nil"/>
              <w:left w:val="nil"/>
              <w:bottom w:val="single" w:sz="4" w:space="0" w:color="auto"/>
              <w:right w:val="single" w:sz="8" w:space="0" w:color="auto"/>
            </w:tcBorders>
            <w:shd w:val="clear" w:color="000000" w:fill="FFFFFF"/>
            <w:vAlign w:val="center"/>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80</w:t>
            </w:r>
          </w:p>
        </w:tc>
      </w:tr>
      <w:tr w:rsidR="00D050BE" w:rsidRPr="00D050BE" w:rsidTr="00AD2E69">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AD2E69" w:rsidRPr="00D050BE" w:rsidRDefault="00AD2E69" w:rsidP="00363C60">
            <w:pPr>
              <w:spacing w:line="240" w:lineRule="auto"/>
              <w:jc w:val="center"/>
              <w:rPr>
                <w:rFonts w:eastAsia="Times New Roman" w:cs="Arial"/>
                <w:sz w:val="22"/>
                <w:lang w:eastAsia="pt-BR"/>
              </w:rPr>
            </w:pPr>
            <w:r w:rsidRPr="00D050BE">
              <w:rPr>
                <w:rFonts w:eastAsia="Times New Roman" w:cs="Arial"/>
                <w:sz w:val="22"/>
                <w:lang w:eastAsia="pt-BR"/>
              </w:rPr>
              <w:t>2020</w:t>
            </w:r>
          </w:p>
        </w:tc>
        <w:tc>
          <w:tcPr>
            <w:tcW w:w="0" w:type="auto"/>
            <w:tcBorders>
              <w:top w:val="nil"/>
              <w:left w:val="nil"/>
              <w:bottom w:val="single" w:sz="4" w:space="0" w:color="auto"/>
              <w:right w:val="single" w:sz="4" w:space="0" w:color="auto"/>
            </w:tcBorders>
            <w:shd w:val="clear" w:color="000000" w:fill="FFFFFF"/>
            <w:noWrap/>
            <w:vAlign w:val="bottom"/>
            <w:hideMark/>
          </w:tcPr>
          <w:p w:rsidR="00AD2E69" w:rsidRPr="00D050BE" w:rsidRDefault="00AD2E69" w:rsidP="00363C60">
            <w:pPr>
              <w:spacing w:line="240" w:lineRule="auto"/>
              <w:jc w:val="center"/>
              <w:rPr>
                <w:rFonts w:eastAsia="Times New Roman" w:cs="Arial"/>
                <w:sz w:val="22"/>
                <w:lang w:eastAsia="pt-BR"/>
              </w:rPr>
            </w:pPr>
            <w:r w:rsidRPr="00D050BE">
              <w:rPr>
                <w:rFonts w:eastAsia="Times New Roman" w:cs="Arial"/>
                <w:sz w:val="22"/>
                <w:lang w:eastAsia="pt-BR"/>
              </w:rPr>
              <w:t>1.956</w:t>
            </w:r>
          </w:p>
        </w:tc>
        <w:tc>
          <w:tcPr>
            <w:tcW w:w="0" w:type="auto"/>
            <w:tcBorders>
              <w:top w:val="nil"/>
              <w:left w:val="nil"/>
              <w:bottom w:val="single" w:sz="4" w:space="0" w:color="auto"/>
              <w:right w:val="single" w:sz="4"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343,55</w:t>
            </w:r>
          </w:p>
        </w:tc>
        <w:tc>
          <w:tcPr>
            <w:tcW w:w="0" w:type="auto"/>
            <w:tcBorders>
              <w:top w:val="nil"/>
              <w:left w:val="nil"/>
              <w:bottom w:val="single" w:sz="4" w:space="0" w:color="auto"/>
              <w:right w:val="single" w:sz="8"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110,05</w:t>
            </w:r>
          </w:p>
        </w:tc>
        <w:tc>
          <w:tcPr>
            <w:tcW w:w="0" w:type="auto"/>
            <w:tcBorders>
              <w:top w:val="nil"/>
              <w:left w:val="nil"/>
              <w:bottom w:val="single" w:sz="4" w:space="0" w:color="auto"/>
              <w:right w:val="single" w:sz="8" w:space="0" w:color="auto"/>
            </w:tcBorders>
            <w:shd w:val="clear" w:color="000000" w:fill="FFFFFF"/>
            <w:vAlign w:val="center"/>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137,42</w:t>
            </w:r>
          </w:p>
        </w:tc>
        <w:tc>
          <w:tcPr>
            <w:tcW w:w="0" w:type="auto"/>
            <w:tcBorders>
              <w:top w:val="nil"/>
              <w:left w:val="nil"/>
              <w:bottom w:val="single" w:sz="4" w:space="0" w:color="auto"/>
              <w:right w:val="single" w:sz="8" w:space="0" w:color="auto"/>
            </w:tcBorders>
            <w:shd w:val="clear" w:color="000000" w:fill="FFFFFF"/>
            <w:vAlign w:val="center"/>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80</w:t>
            </w:r>
          </w:p>
        </w:tc>
      </w:tr>
      <w:tr w:rsidR="00D050BE" w:rsidRPr="00D050BE" w:rsidTr="00AD2E69">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AD2E69" w:rsidRPr="00D050BE" w:rsidRDefault="00AD2E69" w:rsidP="00363C60">
            <w:pPr>
              <w:spacing w:line="240" w:lineRule="auto"/>
              <w:jc w:val="center"/>
              <w:rPr>
                <w:rFonts w:eastAsia="Times New Roman" w:cs="Arial"/>
                <w:sz w:val="22"/>
                <w:lang w:eastAsia="pt-BR"/>
              </w:rPr>
            </w:pPr>
            <w:r w:rsidRPr="00D050BE">
              <w:rPr>
                <w:rFonts w:eastAsia="Times New Roman" w:cs="Arial"/>
                <w:sz w:val="22"/>
                <w:lang w:eastAsia="pt-BR"/>
              </w:rPr>
              <w:t>2021</w:t>
            </w:r>
          </w:p>
        </w:tc>
        <w:tc>
          <w:tcPr>
            <w:tcW w:w="0" w:type="auto"/>
            <w:tcBorders>
              <w:top w:val="nil"/>
              <w:left w:val="nil"/>
              <w:bottom w:val="single" w:sz="4" w:space="0" w:color="auto"/>
              <w:right w:val="single" w:sz="4" w:space="0" w:color="auto"/>
            </w:tcBorders>
            <w:shd w:val="clear" w:color="000000" w:fill="FFFFFF"/>
            <w:noWrap/>
            <w:vAlign w:val="bottom"/>
            <w:hideMark/>
          </w:tcPr>
          <w:p w:rsidR="00AD2E69" w:rsidRPr="00D050BE" w:rsidRDefault="00AD2E69" w:rsidP="00363C60">
            <w:pPr>
              <w:spacing w:line="240" w:lineRule="auto"/>
              <w:jc w:val="center"/>
              <w:rPr>
                <w:rFonts w:eastAsia="Times New Roman" w:cs="Arial"/>
                <w:sz w:val="22"/>
                <w:lang w:eastAsia="pt-BR"/>
              </w:rPr>
            </w:pPr>
            <w:r w:rsidRPr="00D050BE">
              <w:rPr>
                <w:rFonts w:eastAsia="Times New Roman" w:cs="Arial"/>
                <w:sz w:val="22"/>
                <w:lang w:eastAsia="pt-BR"/>
              </w:rPr>
              <w:t>1.942</w:t>
            </w:r>
          </w:p>
        </w:tc>
        <w:tc>
          <w:tcPr>
            <w:tcW w:w="0" w:type="auto"/>
            <w:tcBorders>
              <w:top w:val="nil"/>
              <w:left w:val="nil"/>
              <w:bottom w:val="single" w:sz="4" w:space="0" w:color="auto"/>
              <w:right w:val="single" w:sz="4"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341,09</w:t>
            </w:r>
          </w:p>
        </w:tc>
        <w:tc>
          <w:tcPr>
            <w:tcW w:w="0" w:type="auto"/>
            <w:tcBorders>
              <w:top w:val="nil"/>
              <w:left w:val="nil"/>
              <w:bottom w:val="single" w:sz="4" w:space="0" w:color="auto"/>
              <w:right w:val="single" w:sz="8"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112,51</w:t>
            </w:r>
          </w:p>
        </w:tc>
        <w:tc>
          <w:tcPr>
            <w:tcW w:w="0" w:type="auto"/>
            <w:tcBorders>
              <w:top w:val="nil"/>
              <w:left w:val="nil"/>
              <w:bottom w:val="single" w:sz="4" w:space="0" w:color="auto"/>
              <w:right w:val="single" w:sz="8" w:space="0" w:color="auto"/>
            </w:tcBorders>
            <w:shd w:val="clear" w:color="000000" w:fill="FFFFFF"/>
            <w:vAlign w:val="center"/>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136,44</w:t>
            </w:r>
          </w:p>
        </w:tc>
        <w:tc>
          <w:tcPr>
            <w:tcW w:w="0" w:type="auto"/>
            <w:tcBorders>
              <w:top w:val="nil"/>
              <w:left w:val="nil"/>
              <w:bottom w:val="single" w:sz="4" w:space="0" w:color="auto"/>
              <w:right w:val="single" w:sz="8" w:space="0" w:color="auto"/>
            </w:tcBorders>
            <w:shd w:val="clear" w:color="000000" w:fill="FFFFFF"/>
            <w:vAlign w:val="center"/>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80</w:t>
            </w:r>
          </w:p>
        </w:tc>
      </w:tr>
      <w:tr w:rsidR="00D050BE" w:rsidRPr="00D050BE" w:rsidTr="00AD2E69">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AD2E69" w:rsidRPr="00D050BE" w:rsidRDefault="00AD2E69" w:rsidP="00363C60">
            <w:pPr>
              <w:spacing w:line="240" w:lineRule="auto"/>
              <w:jc w:val="center"/>
              <w:rPr>
                <w:rFonts w:eastAsia="Times New Roman" w:cs="Arial"/>
                <w:sz w:val="22"/>
                <w:lang w:eastAsia="pt-BR"/>
              </w:rPr>
            </w:pPr>
            <w:r w:rsidRPr="00D050BE">
              <w:rPr>
                <w:rFonts w:eastAsia="Times New Roman" w:cs="Arial"/>
                <w:sz w:val="22"/>
                <w:lang w:eastAsia="pt-BR"/>
              </w:rPr>
              <w:t>2022</w:t>
            </w:r>
          </w:p>
        </w:tc>
        <w:tc>
          <w:tcPr>
            <w:tcW w:w="0" w:type="auto"/>
            <w:tcBorders>
              <w:top w:val="nil"/>
              <w:left w:val="nil"/>
              <w:bottom w:val="single" w:sz="4" w:space="0" w:color="auto"/>
              <w:right w:val="single" w:sz="4" w:space="0" w:color="auto"/>
            </w:tcBorders>
            <w:shd w:val="clear" w:color="000000" w:fill="FFFFFF"/>
            <w:noWrap/>
            <w:vAlign w:val="bottom"/>
            <w:hideMark/>
          </w:tcPr>
          <w:p w:rsidR="00AD2E69" w:rsidRPr="00D050BE" w:rsidRDefault="00AD2E69" w:rsidP="00363C60">
            <w:pPr>
              <w:spacing w:line="240" w:lineRule="auto"/>
              <w:jc w:val="center"/>
              <w:rPr>
                <w:rFonts w:eastAsia="Times New Roman" w:cs="Arial"/>
                <w:sz w:val="22"/>
                <w:lang w:eastAsia="pt-BR"/>
              </w:rPr>
            </w:pPr>
            <w:r w:rsidRPr="00D050BE">
              <w:rPr>
                <w:rFonts w:eastAsia="Times New Roman" w:cs="Arial"/>
                <w:sz w:val="22"/>
                <w:lang w:eastAsia="pt-BR"/>
              </w:rPr>
              <w:t>1.925</w:t>
            </w:r>
          </w:p>
        </w:tc>
        <w:tc>
          <w:tcPr>
            <w:tcW w:w="0" w:type="auto"/>
            <w:tcBorders>
              <w:top w:val="nil"/>
              <w:left w:val="nil"/>
              <w:bottom w:val="single" w:sz="4" w:space="0" w:color="auto"/>
              <w:right w:val="single" w:sz="4"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338,11</w:t>
            </w:r>
          </w:p>
        </w:tc>
        <w:tc>
          <w:tcPr>
            <w:tcW w:w="0" w:type="auto"/>
            <w:tcBorders>
              <w:top w:val="nil"/>
              <w:left w:val="nil"/>
              <w:bottom w:val="single" w:sz="4" w:space="0" w:color="auto"/>
              <w:right w:val="single" w:sz="8"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115,49</w:t>
            </w:r>
          </w:p>
        </w:tc>
        <w:tc>
          <w:tcPr>
            <w:tcW w:w="0" w:type="auto"/>
            <w:tcBorders>
              <w:top w:val="nil"/>
              <w:left w:val="nil"/>
              <w:bottom w:val="single" w:sz="4" w:space="0" w:color="auto"/>
              <w:right w:val="single" w:sz="8" w:space="0" w:color="auto"/>
            </w:tcBorders>
            <w:shd w:val="clear" w:color="000000" w:fill="FFFFFF"/>
            <w:vAlign w:val="center"/>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135,24</w:t>
            </w:r>
          </w:p>
        </w:tc>
        <w:tc>
          <w:tcPr>
            <w:tcW w:w="0" w:type="auto"/>
            <w:tcBorders>
              <w:top w:val="nil"/>
              <w:left w:val="nil"/>
              <w:bottom w:val="single" w:sz="4" w:space="0" w:color="auto"/>
              <w:right w:val="single" w:sz="8" w:space="0" w:color="auto"/>
            </w:tcBorders>
            <w:shd w:val="clear" w:color="000000" w:fill="FFFFFF"/>
            <w:vAlign w:val="center"/>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80</w:t>
            </w:r>
          </w:p>
        </w:tc>
      </w:tr>
      <w:tr w:rsidR="00D050BE" w:rsidRPr="00D050BE" w:rsidTr="00AD2E69">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AD2E69" w:rsidRPr="00D050BE" w:rsidRDefault="00AD2E69" w:rsidP="00363C60">
            <w:pPr>
              <w:spacing w:line="240" w:lineRule="auto"/>
              <w:jc w:val="center"/>
              <w:rPr>
                <w:rFonts w:eastAsia="Times New Roman" w:cs="Arial"/>
                <w:sz w:val="22"/>
                <w:lang w:eastAsia="pt-BR"/>
              </w:rPr>
            </w:pPr>
            <w:r w:rsidRPr="00D050BE">
              <w:rPr>
                <w:rFonts w:eastAsia="Times New Roman" w:cs="Arial"/>
                <w:sz w:val="22"/>
                <w:lang w:eastAsia="pt-BR"/>
              </w:rPr>
              <w:t>2023</w:t>
            </w:r>
          </w:p>
        </w:tc>
        <w:tc>
          <w:tcPr>
            <w:tcW w:w="0" w:type="auto"/>
            <w:tcBorders>
              <w:top w:val="nil"/>
              <w:left w:val="nil"/>
              <w:bottom w:val="single" w:sz="4" w:space="0" w:color="auto"/>
              <w:right w:val="single" w:sz="4" w:space="0" w:color="auto"/>
            </w:tcBorders>
            <w:shd w:val="clear" w:color="000000" w:fill="FFFFFF"/>
            <w:noWrap/>
            <w:vAlign w:val="bottom"/>
            <w:hideMark/>
          </w:tcPr>
          <w:p w:rsidR="00AD2E69" w:rsidRPr="00D050BE" w:rsidRDefault="00AD2E69" w:rsidP="00363C60">
            <w:pPr>
              <w:spacing w:line="240" w:lineRule="auto"/>
              <w:jc w:val="center"/>
              <w:rPr>
                <w:rFonts w:eastAsia="Times New Roman" w:cs="Arial"/>
                <w:sz w:val="22"/>
                <w:lang w:eastAsia="pt-BR"/>
              </w:rPr>
            </w:pPr>
            <w:r w:rsidRPr="00D050BE">
              <w:rPr>
                <w:rFonts w:eastAsia="Times New Roman" w:cs="Arial"/>
                <w:sz w:val="22"/>
                <w:lang w:eastAsia="pt-BR"/>
              </w:rPr>
              <w:t>1.910</w:t>
            </w:r>
          </w:p>
        </w:tc>
        <w:tc>
          <w:tcPr>
            <w:tcW w:w="0" w:type="auto"/>
            <w:tcBorders>
              <w:top w:val="nil"/>
              <w:left w:val="nil"/>
              <w:bottom w:val="single" w:sz="4" w:space="0" w:color="auto"/>
              <w:right w:val="single" w:sz="4"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335,47</w:t>
            </w:r>
          </w:p>
        </w:tc>
        <w:tc>
          <w:tcPr>
            <w:tcW w:w="0" w:type="auto"/>
            <w:tcBorders>
              <w:top w:val="nil"/>
              <w:left w:val="nil"/>
              <w:bottom w:val="single" w:sz="4" w:space="0" w:color="auto"/>
              <w:right w:val="single" w:sz="8"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118,13</w:t>
            </w:r>
          </w:p>
        </w:tc>
        <w:tc>
          <w:tcPr>
            <w:tcW w:w="0" w:type="auto"/>
            <w:tcBorders>
              <w:top w:val="nil"/>
              <w:left w:val="nil"/>
              <w:bottom w:val="single" w:sz="4" w:space="0" w:color="auto"/>
              <w:right w:val="single" w:sz="8" w:space="0" w:color="auto"/>
            </w:tcBorders>
            <w:shd w:val="clear" w:color="000000" w:fill="FFFFFF"/>
            <w:vAlign w:val="center"/>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134,19</w:t>
            </w:r>
          </w:p>
        </w:tc>
        <w:tc>
          <w:tcPr>
            <w:tcW w:w="0" w:type="auto"/>
            <w:tcBorders>
              <w:top w:val="nil"/>
              <w:left w:val="nil"/>
              <w:bottom w:val="single" w:sz="4" w:space="0" w:color="auto"/>
              <w:right w:val="single" w:sz="8" w:space="0" w:color="auto"/>
            </w:tcBorders>
            <w:shd w:val="clear" w:color="000000" w:fill="FFFFFF"/>
            <w:vAlign w:val="center"/>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80</w:t>
            </w:r>
          </w:p>
        </w:tc>
      </w:tr>
      <w:tr w:rsidR="00D050BE" w:rsidRPr="00D050BE" w:rsidTr="00AD2E69">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AD2E69" w:rsidRPr="00D050BE" w:rsidRDefault="00AD2E69" w:rsidP="00363C60">
            <w:pPr>
              <w:spacing w:line="240" w:lineRule="auto"/>
              <w:jc w:val="center"/>
              <w:rPr>
                <w:rFonts w:eastAsia="Times New Roman" w:cs="Arial"/>
                <w:sz w:val="22"/>
                <w:lang w:eastAsia="pt-BR"/>
              </w:rPr>
            </w:pPr>
            <w:r w:rsidRPr="00D050BE">
              <w:rPr>
                <w:rFonts w:eastAsia="Times New Roman" w:cs="Arial"/>
                <w:sz w:val="22"/>
                <w:lang w:eastAsia="pt-BR"/>
              </w:rPr>
              <w:t>2024</w:t>
            </w:r>
          </w:p>
        </w:tc>
        <w:tc>
          <w:tcPr>
            <w:tcW w:w="0" w:type="auto"/>
            <w:tcBorders>
              <w:top w:val="nil"/>
              <w:left w:val="nil"/>
              <w:bottom w:val="single" w:sz="4" w:space="0" w:color="auto"/>
              <w:right w:val="single" w:sz="4" w:space="0" w:color="auto"/>
            </w:tcBorders>
            <w:shd w:val="clear" w:color="000000" w:fill="FFFFFF"/>
            <w:noWrap/>
            <w:vAlign w:val="bottom"/>
            <w:hideMark/>
          </w:tcPr>
          <w:p w:rsidR="00AD2E69" w:rsidRPr="00D050BE" w:rsidRDefault="00AD2E69" w:rsidP="00363C60">
            <w:pPr>
              <w:spacing w:line="240" w:lineRule="auto"/>
              <w:jc w:val="center"/>
              <w:rPr>
                <w:rFonts w:eastAsia="Times New Roman" w:cs="Arial"/>
                <w:sz w:val="22"/>
                <w:lang w:eastAsia="pt-BR"/>
              </w:rPr>
            </w:pPr>
            <w:r w:rsidRPr="00D050BE">
              <w:rPr>
                <w:rFonts w:eastAsia="Times New Roman" w:cs="Arial"/>
                <w:sz w:val="22"/>
                <w:lang w:eastAsia="pt-BR"/>
              </w:rPr>
              <w:t>1.906</w:t>
            </w:r>
          </w:p>
        </w:tc>
        <w:tc>
          <w:tcPr>
            <w:tcW w:w="0" w:type="auto"/>
            <w:tcBorders>
              <w:top w:val="nil"/>
              <w:left w:val="nil"/>
              <w:bottom w:val="single" w:sz="4" w:space="0" w:color="auto"/>
              <w:right w:val="single" w:sz="4"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334,77</w:t>
            </w:r>
          </w:p>
        </w:tc>
        <w:tc>
          <w:tcPr>
            <w:tcW w:w="0" w:type="auto"/>
            <w:tcBorders>
              <w:top w:val="nil"/>
              <w:left w:val="nil"/>
              <w:bottom w:val="single" w:sz="4" w:space="0" w:color="auto"/>
              <w:right w:val="single" w:sz="8"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118,83</w:t>
            </w:r>
          </w:p>
        </w:tc>
        <w:tc>
          <w:tcPr>
            <w:tcW w:w="0" w:type="auto"/>
            <w:tcBorders>
              <w:top w:val="nil"/>
              <w:left w:val="nil"/>
              <w:bottom w:val="single" w:sz="4" w:space="0" w:color="auto"/>
              <w:right w:val="single" w:sz="8" w:space="0" w:color="auto"/>
            </w:tcBorders>
            <w:shd w:val="clear" w:color="000000" w:fill="FFFFFF"/>
            <w:vAlign w:val="center"/>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133,91</w:t>
            </w:r>
          </w:p>
        </w:tc>
        <w:tc>
          <w:tcPr>
            <w:tcW w:w="0" w:type="auto"/>
            <w:tcBorders>
              <w:top w:val="nil"/>
              <w:left w:val="nil"/>
              <w:bottom w:val="single" w:sz="4" w:space="0" w:color="auto"/>
              <w:right w:val="single" w:sz="8" w:space="0" w:color="auto"/>
            </w:tcBorders>
            <w:shd w:val="clear" w:color="000000" w:fill="FFFFFF"/>
            <w:vAlign w:val="center"/>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80</w:t>
            </w:r>
          </w:p>
        </w:tc>
      </w:tr>
      <w:tr w:rsidR="00D050BE" w:rsidRPr="00D050BE" w:rsidTr="00AD2E69">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AD2E69" w:rsidRPr="00D050BE" w:rsidRDefault="00AD2E69" w:rsidP="00363C60">
            <w:pPr>
              <w:spacing w:line="240" w:lineRule="auto"/>
              <w:jc w:val="center"/>
              <w:rPr>
                <w:rFonts w:eastAsia="Times New Roman" w:cs="Arial"/>
                <w:sz w:val="22"/>
                <w:lang w:eastAsia="pt-BR"/>
              </w:rPr>
            </w:pPr>
            <w:r w:rsidRPr="00D050BE">
              <w:rPr>
                <w:rFonts w:eastAsia="Times New Roman" w:cs="Arial"/>
                <w:sz w:val="22"/>
                <w:lang w:eastAsia="pt-BR"/>
              </w:rPr>
              <w:t>2025</w:t>
            </w:r>
          </w:p>
        </w:tc>
        <w:tc>
          <w:tcPr>
            <w:tcW w:w="0" w:type="auto"/>
            <w:tcBorders>
              <w:top w:val="nil"/>
              <w:left w:val="nil"/>
              <w:bottom w:val="single" w:sz="4" w:space="0" w:color="auto"/>
              <w:right w:val="single" w:sz="4" w:space="0" w:color="auto"/>
            </w:tcBorders>
            <w:shd w:val="clear" w:color="000000" w:fill="FFFFFF"/>
            <w:noWrap/>
            <w:vAlign w:val="bottom"/>
            <w:hideMark/>
          </w:tcPr>
          <w:p w:rsidR="00AD2E69" w:rsidRPr="00D050BE" w:rsidRDefault="00AD2E69" w:rsidP="00363C60">
            <w:pPr>
              <w:spacing w:line="240" w:lineRule="auto"/>
              <w:jc w:val="center"/>
              <w:rPr>
                <w:rFonts w:eastAsia="Times New Roman" w:cs="Arial"/>
                <w:sz w:val="22"/>
                <w:lang w:eastAsia="pt-BR"/>
              </w:rPr>
            </w:pPr>
            <w:r w:rsidRPr="00D050BE">
              <w:rPr>
                <w:rFonts w:eastAsia="Times New Roman" w:cs="Arial"/>
                <w:sz w:val="22"/>
                <w:lang w:eastAsia="pt-BR"/>
              </w:rPr>
              <w:t>1.891</w:t>
            </w:r>
          </w:p>
        </w:tc>
        <w:tc>
          <w:tcPr>
            <w:tcW w:w="0" w:type="auto"/>
            <w:tcBorders>
              <w:top w:val="nil"/>
              <w:left w:val="nil"/>
              <w:bottom w:val="single" w:sz="4" w:space="0" w:color="auto"/>
              <w:right w:val="single" w:sz="4"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332,14</w:t>
            </w:r>
          </w:p>
        </w:tc>
        <w:tc>
          <w:tcPr>
            <w:tcW w:w="0" w:type="auto"/>
            <w:tcBorders>
              <w:top w:val="nil"/>
              <w:left w:val="nil"/>
              <w:bottom w:val="single" w:sz="4" w:space="0" w:color="auto"/>
              <w:right w:val="single" w:sz="8"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121,46</w:t>
            </w:r>
          </w:p>
        </w:tc>
        <w:tc>
          <w:tcPr>
            <w:tcW w:w="0" w:type="auto"/>
            <w:tcBorders>
              <w:top w:val="nil"/>
              <w:left w:val="nil"/>
              <w:bottom w:val="single" w:sz="4" w:space="0" w:color="auto"/>
              <w:right w:val="single" w:sz="8" w:space="0" w:color="auto"/>
            </w:tcBorders>
            <w:shd w:val="clear" w:color="000000" w:fill="FFFFFF"/>
            <w:vAlign w:val="center"/>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132,85</w:t>
            </w:r>
          </w:p>
        </w:tc>
        <w:tc>
          <w:tcPr>
            <w:tcW w:w="0" w:type="auto"/>
            <w:tcBorders>
              <w:top w:val="nil"/>
              <w:left w:val="nil"/>
              <w:bottom w:val="single" w:sz="4" w:space="0" w:color="auto"/>
              <w:right w:val="single" w:sz="8" w:space="0" w:color="auto"/>
            </w:tcBorders>
            <w:shd w:val="clear" w:color="000000" w:fill="FFFFFF"/>
            <w:vAlign w:val="center"/>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80</w:t>
            </w:r>
          </w:p>
        </w:tc>
      </w:tr>
      <w:tr w:rsidR="00D050BE" w:rsidRPr="00D050BE" w:rsidTr="00AD2E69">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AD2E69" w:rsidRPr="00D050BE" w:rsidRDefault="00AD2E69" w:rsidP="00363C60">
            <w:pPr>
              <w:spacing w:line="240" w:lineRule="auto"/>
              <w:jc w:val="center"/>
              <w:rPr>
                <w:rFonts w:eastAsia="Times New Roman" w:cs="Arial"/>
                <w:sz w:val="22"/>
                <w:lang w:eastAsia="pt-BR"/>
              </w:rPr>
            </w:pPr>
            <w:r w:rsidRPr="00D050BE">
              <w:rPr>
                <w:rFonts w:eastAsia="Times New Roman" w:cs="Arial"/>
                <w:sz w:val="22"/>
                <w:lang w:eastAsia="pt-BR"/>
              </w:rPr>
              <w:t>2026</w:t>
            </w:r>
          </w:p>
        </w:tc>
        <w:tc>
          <w:tcPr>
            <w:tcW w:w="0" w:type="auto"/>
            <w:tcBorders>
              <w:top w:val="nil"/>
              <w:left w:val="nil"/>
              <w:bottom w:val="single" w:sz="4" w:space="0" w:color="auto"/>
              <w:right w:val="single" w:sz="4" w:space="0" w:color="auto"/>
            </w:tcBorders>
            <w:shd w:val="clear" w:color="000000" w:fill="FFFFFF"/>
            <w:noWrap/>
            <w:vAlign w:val="bottom"/>
            <w:hideMark/>
          </w:tcPr>
          <w:p w:rsidR="00AD2E69" w:rsidRPr="00D050BE" w:rsidRDefault="00AD2E69" w:rsidP="00363C60">
            <w:pPr>
              <w:spacing w:line="240" w:lineRule="auto"/>
              <w:jc w:val="center"/>
              <w:rPr>
                <w:rFonts w:eastAsia="Times New Roman" w:cs="Arial"/>
                <w:sz w:val="22"/>
                <w:lang w:eastAsia="pt-BR"/>
              </w:rPr>
            </w:pPr>
            <w:r w:rsidRPr="00D050BE">
              <w:rPr>
                <w:rFonts w:eastAsia="Times New Roman" w:cs="Arial"/>
                <w:sz w:val="22"/>
                <w:lang w:eastAsia="pt-BR"/>
              </w:rPr>
              <w:t>1.881</w:t>
            </w:r>
          </w:p>
        </w:tc>
        <w:tc>
          <w:tcPr>
            <w:tcW w:w="0" w:type="auto"/>
            <w:tcBorders>
              <w:top w:val="nil"/>
              <w:left w:val="nil"/>
              <w:bottom w:val="single" w:sz="4" w:space="0" w:color="auto"/>
              <w:right w:val="single" w:sz="4"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330,38</w:t>
            </w:r>
          </w:p>
        </w:tc>
        <w:tc>
          <w:tcPr>
            <w:tcW w:w="0" w:type="auto"/>
            <w:tcBorders>
              <w:top w:val="nil"/>
              <w:left w:val="nil"/>
              <w:bottom w:val="single" w:sz="4" w:space="0" w:color="auto"/>
              <w:right w:val="single" w:sz="8"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123,22</w:t>
            </w:r>
          </w:p>
        </w:tc>
        <w:tc>
          <w:tcPr>
            <w:tcW w:w="0" w:type="auto"/>
            <w:tcBorders>
              <w:top w:val="nil"/>
              <w:left w:val="nil"/>
              <w:bottom w:val="single" w:sz="4" w:space="0" w:color="auto"/>
              <w:right w:val="single" w:sz="8" w:space="0" w:color="auto"/>
            </w:tcBorders>
            <w:shd w:val="clear" w:color="000000" w:fill="FFFFFF"/>
            <w:vAlign w:val="center"/>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132,15</w:t>
            </w:r>
          </w:p>
        </w:tc>
        <w:tc>
          <w:tcPr>
            <w:tcW w:w="0" w:type="auto"/>
            <w:tcBorders>
              <w:top w:val="nil"/>
              <w:left w:val="nil"/>
              <w:bottom w:val="single" w:sz="4" w:space="0" w:color="auto"/>
              <w:right w:val="single" w:sz="8" w:space="0" w:color="auto"/>
            </w:tcBorders>
            <w:shd w:val="clear" w:color="000000" w:fill="FFFFFF"/>
            <w:vAlign w:val="center"/>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80</w:t>
            </w:r>
          </w:p>
        </w:tc>
      </w:tr>
      <w:tr w:rsidR="00D050BE" w:rsidRPr="00D050BE" w:rsidTr="00AD2E69">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AD2E69" w:rsidRPr="00D050BE" w:rsidRDefault="00AD2E69" w:rsidP="00363C60">
            <w:pPr>
              <w:spacing w:line="240" w:lineRule="auto"/>
              <w:jc w:val="center"/>
              <w:rPr>
                <w:rFonts w:eastAsia="Times New Roman" w:cs="Arial"/>
                <w:sz w:val="22"/>
                <w:lang w:eastAsia="pt-BR"/>
              </w:rPr>
            </w:pPr>
            <w:r w:rsidRPr="00D050BE">
              <w:rPr>
                <w:rFonts w:eastAsia="Times New Roman" w:cs="Arial"/>
                <w:sz w:val="22"/>
                <w:lang w:eastAsia="pt-BR"/>
              </w:rPr>
              <w:t>2027</w:t>
            </w:r>
          </w:p>
        </w:tc>
        <w:tc>
          <w:tcPr>
            <w:tcW w:w="0" w:type="auto"/>
            <w:tcBorders>
              <w:top w:val="nil"/>
              <w:left w:val="nil"/>
              <w:bottom w:val="single" w:sz="4" w:space="0" w:color="auto"/>
              <w:right w:val="single" w:sz="4" w:space="0" w:color="auto"/>
            </w:tcBorders>
            <w:shd w:val="clear" w:color="000000" w:fill="FFFFFF"/>
            <w:noWrap/>
            <w:vAlign w:val="bottom"/>
            <w:hideMark/>
          </w:tcPr>
          <w:p w:rsidR="00AD2E69" w:rsidRPr="00D050BE" w:rsidRDefault="00AD2E69" w:rsidP="00363C60">
            <w:pPr>
              <w:spacing w:line="240" w:lineRule="auto"/>
              <w:jc w:val="center"/>
              <w:rPr>
                <w:rFonts w:eastAsia="Times New Roman" w:cs="Arial"/>
                <w:sz w:val="22"/>
                <w:lang w:eastAsia="pt-BR"/>
              </w:rPr>
            </w:pPr>
            <w:r w:rsidRPr="00D050BE">
              <w:rPr>
                <w:rFonts w:eastAsia="Times New Roman" w:cs="Arial"/>
                <w:sz w:val="22"/>
                <w:lang w:eastAsia="pt-BR"/>
              </w:rPr>
              <w:t>1.862</w:t>
            </w:r>
          </w:p>
        </w:tc>
        <w:tc>
          <w:tcPr>
            <w:tcW w:w="0" w:type="auto"/>
            <w:tcBorders>
              <w:top w:val="nil"/>
              <w:left w:val="nil"/>
              <w:bottom w:val="single" w:sz="4" w:space="0" w:color="auto"/>
              <w:right w:val="single" w:sz="4"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327,04</w:t>
            </w:r>
          </w:p>
        </w:tc>
        <w:tc>
          <w:tcPr>
            <w:tcW w:w="0" w:type="auto"/>
            <w:tcBorders>
              <w:top w:val="nil"/>
              <w:left w:val="nil"/>
              <w:bottom w:val="single" w:sz="4" w:space="0" w:color="auto"/>
              <w:right w:val="single" w:sz="8"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126,56</w:t>
            </w:r>
          </w:p>
        </w:tc>
        <w:tc>
          <w:tcPr>
            <w:tcW w:w="0" w:type="auto"/>
            <w:tcBorders>
              <w:top w:val="nil"/>
              <w:left w:val="nil"/>
              <w:bottom w:val="single" w:sz="4" w:space="0" w:color="auto"/>
              <w:right w:val="single" w:sz="8" w:space="0" w:color="auto"/>
            </w:tcBorders>
            <w:shd w:val="clear" w:color="000000" w:fill="FFFFFF"/>
            <w:vAlign w:val="center"/>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130,82</w:t>
            </w:r>
          </w:p>
        </w:tc>
        <w:tc>
          <w:tcPr>
            <w:tcW w:w="0" w:type="auto"/>
            <w:tcBorders>
              <w:top w:val="nil"/>
              <w:left w:val="nil"/>
              <w:bottom w:val="single" w:sz="4" w:space="0" w:color="auto"/>
              <w:right w:val="single" w:sz="8" w:space="0" w:color="auto"/>
            </w:tcBorders>
            <w:shd w:val="clear" w:color="000000" w:fill="FFFFFF"/>
            <w:vAlign w:val="center"/>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80</w:t>
            </w:r>
          </w:p>
        </w:tc>
      </w:tr>
      <w:tr w:rsidR="00D050BE" w:rsidRPr="00D050BE" w:rsidTr="00AD2E69">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AD2E69" w:rsidRPr="00D050BE" w:rsidRDefault="00AD2E69" w:rsidP="00363C60">
            <w:pPr>
              <w:spacing w:line="240" w:lineRule="auto"/>
              <w:jc w:val="center"/>
              <w:rPr>
                <w:rFonts w:eastAsia="Times New Roman" w:cs="Arial"/>
                <w:sz w:val="22"/>
                <w:lang w:eastAsia="pt-BR"/>
              </w:rPr>
            </w:pPr>
            <w:r w:rsidRPr="00D050BE">
              <w:rPr>
                <w:rFonts w:eastAsia="Times New Roman" w:cs="Arial"/>
                <w:sz w:val="22"/>
                <w:lang w:eastAsia="pt-BR"/>
              </w:rPr>
              <w:t>2028</w:t>
            </w:r>
          </w:p>
        </w:tc>
        <w:tc>
          <w:tcPr>
            <w:tcW w:w="0" w:type="auto"/>
            <w:tcBorders>
              <w:top w:val="nil"/>
              <w:left w:val="nil"/>
              <w:bottom w:val="single" w:sz="4" w:space="0" w:color="auto"/>
              <w:right w:val="single" w:sz="4" w:space="0" w:color="auto"/>
            </w:tcBorders>
            <w:shd w:val="clear" w:color="000000" w:fill="FFFFFF"/>
            <w:noWrap/>
            <w:vAlign w:val="bottom"/>
            <w:hideMark/>
          </w:tcPr>
          <w:p w:rsidR="00AD2E69" w:rsidRPr="00D050BE" w:rsidRDefault="00AD2E69" w:rsidP="00363C60">
            <w:pPr>
              <w:spacing w:line="240" w:lineRule="auto"/>
              <w:jc w:val="center"/>
              <w:rPr>
                <w:rFonts w:eastAsia="Times New Roman" w:cs="Arial"/>
                <w:sz w:val="22"/>
                <w:lang w:eastAsia="pt-BR"/>
              </w:rPr>
            </w:pPr>
            <w:r w:rsidRPr="00D050BE">
              <w:rPr>
                <w:rFonts w:eastAsia="Times New Roman" w:cs="Arial"/>
                <w:sz w:val="22"/>
                <w:lang w:eastAsia="pt-BR"/>
              </w:rPr>
              <w:t>1.851</w:t>
            </w:r>
          </w:p>
        </w:tc>
        <w:tc>
          <w:tcPr>
            <w:tcW w:w="0" w:type="auto"/>
            <w:tcBorders>
              <w:top w:val="nil"/>
              <w:left w:val="nil"/>
              <w:bottom w:val="single" w:sz="4" w:space="0" w:color="auto"/>
              <w:right w:val="single" w:sz="4"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325,11</w:t>
            </w:r>
          </w:p>
        </w:tc>
        <w:tc>
          <w:tcPr>
            <w:tcW w:w="0" w:type="auto"/>
            <w:tcBorders>
              <w:top w:val="nil"/>
              <w:left w:val="nil"/>
              <w:bottom w:val="single" w:sz="4" w:space="0" w:color="auto"/>
              <w:right w:val="single" w:sz="8"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128,49</w:t>
            </w:r>
          </w:p>
        </w:tc>
        <w:tc>
          <w:tcPr>
            <w:tcW w:w="0" w:type="auto"/>
            <w:tcBorders>
              <w:top w:val="nil"/>
              <w:left w:val="nil"/>
              <w:bottom w:val="single" w:sz="4" w:space="0" w:color="auto"/>
              <w:right w:val="single" w:sz="8" w:space="0" w:color="auto"/>
            </w:tcBorders>
            <w:shd w:val="clear" w:color="000000" w:fill="FFFFFF"/>
            <w:vAlign w:val="center"/>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130,04</w:t>
            </w:r>
          </w:p>
        </w:tc>
        <w:tc>
          <w:tcPr>
            <w:tcW w:w="0" w:type="auto"/>
            <w:tcBorders>
              <w:top w:val="nil"/>
              <w:left w:val="nil"/>
              <w:bottom w:val="single" w:sz="4" w:space="0" w:color="auto"/>
              <w:right w:val="single" w:sz="8" w:space="0" w:color="auto"/>
            </w:tcBorders>
            <w:shd w:val="clear" w:color="000000" w:fill="FFFFFF"/>
            <w:vAlign w:val="center"/>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80</w:t>
            </w:r>
          </w:p>
        </w:tc>
      </w:tr>
      <w:tr w:rsidR="00D050BE" w:rsidRPr="00D050BE" w:rsidTr="00AD2E69">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AD2E69" w:rsidRPr="00D050BE" w:rsidRDefault="00AD2E69" w:rsidP="00363C60">
            <w:pPr>
              <w:spacing w:line="240" w:lineRule="auto"/>
              <w:jc w:val="center"/>
              <w:rPr>
                <w:rFonts w:eastAsia="Times New Roman" w:cs="Arial"/>
                <w:sz w:val="22"/>
                <w:lang w:eastAsia="pt-BR"/>
              </w:rPr>
            </w:pPr>
            <w:r w:rsidRPr="00D050BE">
              <w:rPr>
                <w:rFonts w:eastAsia="Times New Roman" w:cs="Arial"/>
                <w:sz w:val="22"/>
                <w:lang w:eastAsia="pt-BR"/>
              </w:rPr>
              <w:t>2029</w:t>
            </w:r>
          </w:p>
        </w:tc>
        <w:tc>
          <w:tcPr>
            <w:tcW w:w="0" w:type="auto"/>
            <w:tcBorders>
              <w:top w:val="nil"/>
              <w:left w:val="nil"/>
              <w:bottom w:val="single" w:sz="4" w:space="0" w:color="auto"/>
              <w:right w:val="single" w:sz="4" w:space="0" w:color="auto"/>
            </w:tcBorders>
            <w:shd w:val="clear" w:color="000000" w:fill="FFFFFF"/>
            <w:noWrap/>
            <w:vAlign w:val="bottom"/>
            <w:hideMark/>
          </w:tcPr>
          <w:p w:rsidR="00AD2E69" w:rsidRPr="00D050BE" w:rsidRDefault="00AD2E69" w:rsidP="00363C60">
            <w:pPr>
              <w:spacing w:line="240" w:lineRule="auto"/>
              <w:jc w:val="center"/>
              <w:rPr>
                <w:rFonts w:eastAsia="Times New Roman" w:cs="Arial"/>
                <w:sz w:val="22"/>
                <w:lang w:eastAsia="pt-BR"/>
              </w:rPr>
            </w:pPr>
            <w:r w:rsidRPr="00D050BE">
              <w:rPr>
                <w:rFonts w:eastAsia="Times New Roman" w:cs="Arial"/>
                <w:sz w:val="22"/>
                <w:lang w:eastAsia="pt-BR"/>
              </w:rPr>
              <w:t>1.836</w:t>
            </w:r>
          </w:p>
        </w:tc>
        <w:tc>
          <w:tcPr>
            <w:tcW w:w="0" w:type="auto"/>
            <w:tcBorders>
              <w:top w:val="nil"/>
              <w:left w:val="nil"/>
              <w:bottom w:val="single" w:sz="4" w:space="0" w:color="auto"/>
              <w:right w:val="single" w:sz="4"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322,48</w:t>
            </w:r>
          </w:p>
        </w:tc>
        <w:tc>
          <w:tcPr>
            <w:tcW w:w="0" w:type="auto"/>
            <w:tcBorders>
              <w:top w:val="nil"/>
              <w:left w:val="nil"/>
              <w:bottom w:val="single" w:sz="4" w:space="0" w:color="auto"/>
              <w:right w:val="single" w:sz="8"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131,12</w:t>
            </w:r>
          </w:p>
        </w:tc>
        <w:tc>
          <w:tcPr>
            <w:tcW w:w="0" w:type="auto"/>
            <w:tcBorders>
              <w:top w:val="nil"/>
              <w:left w:val="nil"/>
              <w:bottom w:val="single" w:sz="4" w:space="0" w:color="auto"/>
              <w:right w:val="single" w:sz="8" w:space="0" w:color="auto"/>
            </w:tcBorders>
            <w:shd w:val="clear" w:color="000000" w:fill="FFFFFF"/>
            <w:vAlign w:val="center"/>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128,99</w:t>
            </w:r>
          </w:p>
        </w:tc>
        <w:tc>
          <w:tcPr>
            <w:tcW w:w="0" w:type="auto"/>
            <w:tcBorders>
              <w:top w:val="nil"/>
              <w:left w:val="nil"/>
              <w:bottom w:val="single" w:sz="4" w:space="0" w:color="auto"/>
              <w:right w:val="single" w:sz="8" w:space="0" w:color="auto"/>
            </w:tcBorders>
            <w:shd w:val="clear" w:color="000000" w:fill="FFFFFF"/>
            <w:vAlign w:val="center"/>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80</w:t>
            </w:r>
          </w:p>
        </w:tc>
      </w:tr>
      <w:tr w:rsidR="00D050BE" w:rsidRPr="00D050BE" w:rsidTr="00AD2E69">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AD2E69" w:rsidRPr="00D050BE" w:rsidRDefault="00AD2E69" w:rsidP="00363C60">
            <w:pPr>
              <w:spacing w:line="240" w:lineRule="auto"/>
              <w:jc w:val="center"/>
              <w:rPr>
                <w:rFonts w:eastAsia="Times New Roman" w:cs="Arial"/>
                <w:sz w:val="22"/>
                <w:lang w:eastAsia="pt-BR"/>
              </w:rPr>
            </w:pPr>
            <w:r w:rsidRPr="00D050BE">
              <w:rPr>
                <w:rFonts w:eastAsia="Times New Roman" w:cs="Arial"/>
                <w:sz w:val="22"/>
                <w:lang w:eastAsia="pt-BR"/>
              </w:rPr>
              <w:t>2030</w:t>
            </w:r>
          </w:p>
        </w:tc>
        <w:tc>
          <w:tcPr>
            <w:tcW w:w="0" w:type="auto"/>
            <w:tcBorders>
              <w:top w:val="nil"/>
              <w:left w:val="nil"/>
              <w:bottom w:val="single" w:sz="4" w:space="0" w:color="auto"/>
              <w:right w:val="single" w:sz="4" w:space="0" w:color="auto"/>
            </w:tcBorders>
            <w:shd w:val="clear" w:color="000000" w:fill="FFFFFF"/>
            <w:noWrap/>
            <w:vAlign w:val="bottom"/>
            <w:hideMark/>
          </w:tcPr>
          <w:p w:rsidR="00AD2E69" w:rsidRPr="00D050BE" w:rsidRDefault="00AD2E69" w:rsidP="00363C60">
            <w:pPr>
              <w:spacing w:line="240" w:lineRule="auto"/>
              <w:jc w:val="center"/>
              <w:rPr>
                <w:rFonts w:eastAsia="Times New Roman" w:cs="Arial"/>
                <w:sz w:val="22"/>
                <w:lang w:eastAsia="pt-BR"/>
              </w:rPr>
            </w:pPr>
            <w:r w:rsidRPr="00D050BE">
              <w:rPr>
                <w:rFonts w:eastAsia="Times New Roman" w:cs="Arial"/>
                <w:sz w:val="22"/>
                <w:lang w:eastAsia="pt-BR"/>
              </w:rPr>
              <w:t>1.813</w:t>
            </w:r>
          </w:p>
        </w:tc>
        <w:tc>
          <w:tcPr>
            <w:tcW w:w="0" w:type="auto"/>
            <w:tcBorders>
              <w:top w:val="nil"/>
              <w:left w:val="nil"/>
              <w:bottom w:val="single" w:sz="4" w:space="0" w:color="auto"/>
              <w:right w:val="single" w:sz="4"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318,44</w:t>
            </w:r>
          </w:p>
        </w:tc>
        <w:tc>
          <w:tcPr>
            <w:tcW w:w="0" w:type="auto"/>
            <w:tcBorders>
              <w:top w:val="nil"/>
              <w:left w:val="nil"/>
              <w:bottom w:val="single" w:sz="4" w:space="0" w:color="auto"/>
              <w:right w:val="single" w:sz="8"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135,16</w:t>
            </w:r>
          </w:p>
        </w:tc>
        <w:tc>
          <w:tcPr>
            <w:tcW w:w="0" w:type="auto"/>
            <w:tcBorders>
              <w:top w:val="nil"/>
              <w:left w:val="nil"/>
              <w:bottom w:val="single" w:sz="4" w:space="0" w:color="auto"/>
              <w:right w:val="single" w:sz="8" w:space="0" w:color="auto"/>
            </w:tcBorders>
            <w:shd w:val="clear" w:color="000000" w:fill="FFFFFF"/>
            <w:vAlign w:val="center"/>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127,37</w:t>
            </w:r>
          </w:p>
        </w:tc>
        <w:tc>
          <w:tcPr>
            <w:tcW w:w="0" w:type="auto"/>
            <w:tcBorders>
              <w:top w:val="nil"/>
              <w:left w:val="nil"/>
              <w:bottom w:val="single" w:sz="4" w:space="0" w:color="auto"/>
              <w:right w:val="single" w:sz="8" w:space="0" w:color="auto"/>
            </w:tcBorders>
            <w:shd w:val="clear" w:color="000000" w:fill="FFFFFF"/>
            <w:vAlign w:val="center"/>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80</w:t>
            </w:r>
          </w:p>
        </w:tc>
      </w:tr>
      <w:tr w:rsidR="00D050BE" w:rsidRPr="00D050BE" w:rsidTr="00AD2E69">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AD2E69" w:rsidRPr="00D050BE" w:rsidRDefault="00AD2E69" w:rsidP="00363C60">
            <w:pPr>
              <w:spacing w:line="240" w:lineRule="auto"/>
              <w:jc w:val="center"/>
              <w:rPr>
                <w:rFonts w:eastAsia="Times New Roman" w:cs="Arial"/>
                <w:sz w:val="22"/>
                <w:lang w:eastAsia="pt-BR"/>
              </w:rPr>
            </w:pPr>
            <w:r w:rsidRPr="00D050BE">
              <w:rPr>
                <w:rFonts w:eastAsia="Times New Roman" w:cs="Arial"/>
                <w:sz w:val="22"/>
                <w:lang w:eastAsia="pt-BR"/>
              </w:rPr>
              <w:t>2031</w:t>
            </w:r>
          </w:p>
        </w:tc>
        <w:tc>
          <w:tcPr>
            <w:tcW w:w="0" w:type="auto"/>
            <w:tcBorders>
              <w:top w:val="nil"/>
              <w:left w:val="nil"/>
              <w:bottom w:val="single" w:sz="4" w:space="0" w:color="auto"/>
              <w:right w:val="single" w:sz="4" w:space="0" w:color="auto"/>
            </w:tcBorders>
            <w:shd w:val="clear" w:color="000000" w:fill="FFFFFF"/>
            <w:noWrap/>
            <w:vAlign w:val="bottom"/>
            <w:hideMark/>
          </w:tcPr>
          <w:p w:rsidR="00AD2E69" w:rsidRPr="00D050BE" w:rsidRDefault="00AD2E69" w:rsidP="00363C60">
            <w:pPr>
              <w:spacing w:line="240" w:lineRule="auto"/>
              <w:jc w:val="center"/>
              <w:rPr>
                <w:rFonts w:eastAsia="Times New Roman" w:cs="Arial"/>
                <w:sz w:val="22"/>
                <w:lang w:eastAsia="pt-BR"/>
              </w:rPr>
            </w:pPr>
            <w:r w:rsidRPr="00D050BE">
              <w:rPr>
                <w:rFonts w:eastAsia="Times New Roman" w:cs="Arial"/>
                <w:sz w:val="22"/>
                <w:lang w:eastAsia="pt-BR"/>
              </w:rPr>
              <w:t>1.795</w:t>
            </w:r>
          </w:p>
        </w:tc>
        <w:tc>
          <w:tcPr>
            <w:tcW w:w="0" w:type="auto"/>
            <w:tcBorders>
              <w:top w:val="nil"/>
              <w:left w:val="nil"/>
              <w:bottom w:val="single" w:sz="4" w:space="0" w:color="auto"/>
              <w:right w:val="single" w:sz="4"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315,28</w:t>
            </w:r>
          </w:p>
        </w:tc>
        <w:tc>
          <w:tcPr>
            <w:tcW w:w="0" w:type="auto"/>
            <w:tcBorders>
              <w:top w:val="nil"/>
              <w:left w:val="nil"/>
              <w:bottom w:val="single" w:sz="4" w:space="0" w:color="auto"/>
              <w:right w:val="single" w:sz="8"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138,32</w:t>
            </w:r>
          </w:p>
        </w:tc>
        <w:tc>
          <w:tcPr>
            <w:tcW w:w="0" w:type="auto"/>
            <w:tcBorders>
              <w:top w:val="nil"/>
              <w:left w:val="nil"/>
              <w:bottom w:val="single" w:sz="4" w:space="0" w:color="auto"/>
              <w:right w:val="single" w:sz="8" w:space="0" w:color="auto"/>
            </w:tcBorders>
            <w:shd w:val="clear" w:color="000000" w:fill="FFFFFF"/>
            <w:vAlign w:val="center"/>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126,11</w:t>
            </w:r>
          </w:p>
        </w:tc>
        <w:tc>
          <w:tcPr>
            <w:tcW w:w="0" w:type="auto"/>
            <w:tcBorders>
              <w:top w:val="nil"/>
              <w:left w:val="nil"/>
              <w:bottom w:val="single" w:sz="4" w:space="0" w:color="auto"/>
              <w:right w:val="single" w:sz="8" w:space="0" w:color="auto"/>
            </w:tcBorders>
            <w:shd w:val="clear" w:color="000000" w:fill="FFFFFF"/>
            <w:vAlign w:val="center"/>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80</w:t>
            </w:r>
          </w:p>
        </w:tc>
      </w:tr>
      <w:tr w:rsidR="00D050BE" w:rsidRPr="00D050BE" w:rsidTr="00AD2E69">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AD2E69" w:rsidRPr="00D050BE" w:rsidRDefault="00AD2E69" w:rsidP="00363C60">
            <w:pPr>
              <w:spacing w:line="240" w:lineRule="auto"/>
              <w:jc w:val="center"/>
              <w:rPr>
                <w:rFonts w:eastAsia="Times New Roman" w:cs="Arial"/>
                <w:sz w:val="22"/>
                <w:lang w:eastAsia="pt-BR"/>
              </w:rPr>
            </w:pPr>
            <w:r w:rsidRPr="00D050BE">
              <w:rPr>
                <w:rFonts w:eastAsia="Times New Roman" w:cs="Arial"/>
                <w:sz w:val="22"/>
                <w:lang w:eastAsia="pt-BR"/>
              </w:rPr>
              <w:t>2032</w:t>
            </w:r>
          </w:p>
        </w:tc>
        <w:tc>
          <w:tcPr>
            <w:tcW w:w="0" w:type="auto"/>
            <w:tcBorders>
              <w:top w:val="nil"/>
              <w:left w:val="nil"/>
              <w:bottom w:val="single" w:sz="4" w:space="0" w:color="auto"/>
              <w:right w:val="single" w:sz="4" w:space="0" w:color="auto"/>
            </w:tcBorders>
            <w:shd w:val="clear" w:color="000000" w:fill="FFFFFF"/>
            <w:noWrap/>
            <w:vAlign w:val="bottom"/>
            <w:hideMark/>
          </w:tcPr>
          <w:p w:rsidR="00AD2E69" w:rsidRPr="00D050BE" w:rsidRDefault="00AD2E69" w:rsidP="00363C60">
            <w:pPr>
              <w:spacing w:line="240" w:lineRule="auto"/>
              <w:jc w:val="center"/>
              <w:rPr>
                <w:rFonts w:eastAsia="Times New Roman" w:cs="Arial"/>
                <w:sz w:val="22"/>
                <w:lang w:eastAsia="pt-BR"/>
              </w:rPr>
            </w:pPr>
            <w:r w:rsidRPr="00D050BE">
              <w:rPr>
                <w:rFonts w:eastAsia="Times New Roman" w:cs="Arial"/>
                <w:sz w:val="22"/>
                <w:lang w:eastAsia="pt-BR"/>
              </w:rPr>
              <w:t>1.779</w:t>
            </w:r>
          </w:p>
        </w:tc>
        <w:tc>
          <w:tcPr>
            <w:tcW w:w="0" w:type="auto"/>
            <w:tcBorders>
              <w:top w:val="nil"/>
              <w:left w:val="nil"/>
              <w:bottom w:val="single" w:sz="4" w:space="0" w:color="auto"/>
              <w:right w:val="single" w:sz="4"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312,47</w:t>
            </w:r>
          </w:p>
        </w:tc>
        <w:tc>
          <w:tcPr>
            <w:tcW w:w="0" w:type="auto"/>
            <w:tcBorders>
              <w:top w:val="nil"/>
              <w:left w:val="nil"/>
              <w:bottom w:val="single" w:sz="4" w:space="0" w:color="auto"/>
              <w:right w:val="single" w:sz="8"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141,13</w:t>
            </w:r>
          </w:p>
        </w:tc>
        <w:tc>
          <w:tcPr>
            <w:tcW w:w="0" w:type="auto"/>
            <w:tcBorders>
              <w:top w:val="nil"/>
              <w:left w:val="nil"/>
              <w:bottom w:val="single" w:sz="4" w:space="0" w:color="auto"/>
              <w:right w:val="single" w:sz="8" w:space="0" w:color="auto"/>
            </w:tcBorders>
            <w:shd w:val="clear" w:color="000000" w:fill="FFFFFF"/>
            <w:vAlign w:val="center"/>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124,99</w:t>
            </w:r>
          </w:p>
        </w:tc>
        <w:tc>
          <w:tcPr>
            <w:tcW w:w="0" w:type="auto"/>
            <w:tcBorders>
              <w:top w:val="nil"/>
              <w:left w:val="nil"/>
              <w:bottom w:val="single" w:sz="4" w:space="0" w:color="auto"/>
              <w:right w:val="single" w:sz="8" w:space="0" w:color="auto"/>
            </w:tcBorders>
            <w:shd w:val="clear" w:color="000000" w:fill="FFFFFF"/>
            <w:vAlign w:val="center"/>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80</w:t>
            </w:r>
          </w:p>
        </w:tc>
      </w:tr>
      <w:tr w:rsidR="00D050BE" w:rsidRPr="00D050BE" w:rsidTr="00AD2E69">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AD2E69" w:rsidRPr="00D050BE" w:rsidRDefault="00AD2E69" w:rsidP="00363C60">
            <w:pPr>
              <w:spacing w:line="240" w:lineRule="auto"/>
              <w:jc w:val="center"/>
              <w:rPr>
                <w:rFonts w:eastAsia="Times New Roman" w:cs="Arial"/>
                <w:sz w:val="22"/>
                <w:lang w:eastAsia="pt-BR"/>
              </w:rPr>
            </w:pPr>
            <w:r w:rsidRPr="00D050BE">
              <w:rPr>
                <w:rFonts w:eastAsia="Times New Roman" w:cs="Arial"/>
                <w:sz w:val="22"/>
                <w:lang w:eastAsia="pt-BR"/>
              </w:rPr>
              <w:t>2033</w:t>
            </w:r>
          </w:p>
        </w:tc>
        <w:tc>
          <w:tcPr>
            <w:tcW w:w="0" w:type="auto"/>
            <w:tcBorders>
              <w:top w:val="nil"/>
              <w:left w:val="nil"/>
              <w:bottom w:val="single" w:sz="4" w:space="0" w:color="auto"/>
              <w:right w:val="single" w:sz="4" w:space="0" w:color="auto"/>
            </w:tcBorders>
            <w:shd w:val="clear" w:color="000000" w:fill="FFFFFF"/>
            <w:noWrap/>
            <w:vAlign w:val="bottom"/>
            <w:hideMark/>
          </w:tcPr>
          <w:p w:rsidR="00AD2E69" w:rsidRPr="00D050BE" w:rsidRDefault="00AD2E69" w:rsidP="00363C60">
            <w:pPr>
              <w:spacing w:line="240" w:lineRule="auto"/>
              <w:jc w:val="center"/>
              <w:rPr>
                <w:rFonts w:eastAsia="Times New Roman" w:cs="Arial"/>
                <w:sz w:val="22"/>
                <w:lang w:eastAsia="pt-BR"/>
              </w:rPr>
            </w:pPr>
            <w:r w:rsidRPr="00D050BE">
              <w:rPr>
                <w:rFonts w:eastAsia="Times New Roman" w:cs="Arial"/>
                <w:sz w:val="22"/>
                <w:lang w:eastAsia="pt-BR"/>
              </w:rPr>
              <w:t>1.770</w:t>
            </w:r>
          </w:p>
        </w:tc>
        <w:tc>
          <w:tcPr>
            <w:tcW w:w="0" w:type="auto"/>
            <w:tcBorders>
              <w:top w:val="nil"/>
              <w:left w:val="nil"/>
              <w:bottom w:val="single" w:sz="4" w:space="0" w:color="auto"/>
              <w:right w:val="single" w:sz="4"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310,88</w:t>
            </w:r>
          </w:p>
        </w:tc>
        <w:tc>
          <w:tcPr>
            <w:tcW w:w="0" w:type="auto"/>
            <w:tcBorders>
              <w:top w:val="nil"/>
              <w:left w:val="nil"/>
              <w:bottom w:val="single" w:sz="4" w:space="0" w:color="auto"/>
              <w:right w:val="single" w:sz="8"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142,72</w:t>
            </w:r>
          </w:p>
        </w:tc>
        <w:tc>
          <w:tcPr>
            <w:tcW w:w="0" w:type="auto"/>
            <w:tcBorders>
              <w:top w:val="nil"/>
              <w:left w:val="nil"/>
              <w:bottom w:val="single" w:sz="4" w:space="0" w:color="auto"/>
              <w:right w:val="single" w:sz="8" w:space="0" w:color="auto"/>
            </w:tcBorders>
            <w:shd w:val="clear" w:color="000000" w:fill="FFFFFF"/>
            <w:vAlign w:val="center"/>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124,35</w:t>
            </w:r>
          </w:p>
        </w:tc>
        <w:tc>
          <w:tcPr>
            <w:tcW w:w="0" w:type="auto"/>
            <w:tcBorders>
              <w:top w:val="nil"/>
              <w:left w:val="nil"/>
              <w:bottom w:val="single" w:sz="4" w:space="0" w:color="auto"/>
              <w:right w:val="single" w:sz="8" w:space="0" w:color="auto"/>
            </w:tcBorders>
            <w:shd w:val="clear" w:color="000000" w:fill="FFFFFF"/>
            <w:vAlign w:val="center"/>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80</w:t>
            </w:r>
          </w:p>
        </w:tc>
      </w:tr>
      <w:tr w:rsidR="00D050BE" w:rsidRPr="00D050BE" w:rsidTr="00AD2E69">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AD2E69" w:rsidRPr="00D050BE" w:rsidRDefault="00AD2E69" w:rsidP="00363C60">
            <w:pPr>
              <w:spacing w:line="240" w:lineRule="auto"/>
              <w:jc w:val="center"/>
              <w:rPr>
                <w:rFonts w:eastAsia="Times New Roman" w:cs="Arial"/>
                <w:sz w:val="22"/>
                <w:lang w:eastAsia="pt-BR"/>
              </w:rPr>
            </w:pPr>
            <w:r w:rsidRPr="00D050BE">
              <w:rPr>
                <w:rFonts w:eastAsia="Times New Roman" w:cs="Arial"/>
                <w:sz w:val="22"/>
                <w:lang w:eastAsia="pt-BR"/>
              </w:rPr>
              <w:t>2034</w:t>
            </w:r>
          </w:p>
        </w:tc>
        <w:tc>
          <w:tcPr>
            <w:tcW w:w="0" w:type="auto"/>
            <w:tcBorders>
              <w:top w:val="nil"/>
              <w:left w:val="nil"/>
              <w:bottom w:val="single" w:sz="4" w:space="0" w:color="auto"/>
              <w:right w:val="single" w:sz="4" w:space="0" w:color="auto"/>
            </w:tcBorders>
            <w:shd w:val="clear" w:color="000000" w:fill="FFFFFF"/>
            <w:noWrap/>
            <w:vAlign w:val="bottom"/>
            <w:hideMark/>
          </w:tcPr>
          <w:p w:rsidR="00AD2E69" w:rsidRPr="00D050BE" w:rsidRDefault="00AD2E69" w:rsidP="00363C60">
            <w:pPr>
              <w:spacing w:line="240" w:lineRule="auto"/>
              <w:jc w:val="center"/>
              <w:rPr>
                <w:rFonts w:eastAsia="Times New Roman" w:cs="Arial"/>
                <w:sz w:val="22"/>
                <w:lang w:eastAsia="pt-BR"/>
              </w:rPr>
            </w:pPr>
            <w:r w:rsidRPr="00D050BE">
              <w:rPr>
                <w:rFonts w:eastAsia="Times New Roman" w:cs="Arial"/>
                <w:sz w:val="22"/>
                <w:lang w:eastAsia="pt-BR"/>
              </w:rPr>
              <w:t>1.751</w:t>
            </w:r>
          </w:p>
        </w:tc>
        <w:tc>
          <w:tcPr>
            <w:tcW w:w="0" w:type="auto"/>
            <w:tcBorders>
              <w:top w:val="nil"/>
              <w:left w:val="nil"/>
              <w:bottom w:val="single" w:sz="4" w:space="0" w:color="auto"/>
              <w:right w:val="single" w:sz="4"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307,55</w:t>
            </w:r>
          </w:p>
        </w:tc>
        <w:tc>
          <w:tcPr>
            <w:tcW w:w="0" w:type="auto"/>
            <w:tcBorders>
              <w:top w:val="nil"/>
              <w:left w:val="nil"/>
              <w:bottom w:val="single" w:sz="4" w:space="0" w:color="auto"/>
              <w:right w:val="single" w:sz="8"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146,05</w:t>
            </w:r>
          </w:p>
        </w:tc>
        <w:tc>
          <w:tcPr>
            <w:tcW w:w="0" w:type="auto"/>
            <w:tcBorders>
              <w:top w:val="nil"/>
              <w:left w:val="nil"/>
              <w:bottom w:val="single" w:sz="4" w:space="0" w:color="auto"/>
              <w:right w:val="single" w:sz="8" w:space="0" w:color="auto"/>
            </w:tcBorders>
            <w:shd w:val="clear" w:color="000000" w:fill="FFFFFF"/>
            <w:vAlign w:val="center"/>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123,02</w:t>
            </w:r>
          </w:p>
        </w:tc>
        <w:tc>
          <w:tcPr>
            <w:tcW w:w="0" w:type="auto"/>
            <w:tcBorders>
              <w:top w:val="nil"/>
              <w:left w:val="nil"/>
              <w:bottom w:val="single" w:sz="4" w:space="0" w:color="auto"/>
              <w:right w:val="single" w:sz="8" w:space="0" w:color="auto"/>
            </w:tcBorders>
            <w:shd w:val="clear" w:color="000000" w:fill="FFFFFF"/>
            <w:vAlign w:val="center"/>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80</w:t>
            </w:r>
          </w:p>
        </w:tc>
      </w:tr>
      <w:tr w:rsidR="00D050BE" w:rsidRPr="00D050BE" w:rsidTr="00AD2E69">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AD2E69" w:rsidRPr="00D050BE" w:rsidRDefault="00AD2E69" w:rsidP="00363C60">
            <w:pPr>
              <w:spacing w:line="240" w:lineRule="auto"/>
              <w:jc w:val="center"/>
              <w:rPr>
                <w:rFonts w:eastAsia="Times New Roman" w:cs="Arial"/>
                <w:sz w:val="22"/>
                <w:lang w:eastAsia="pt-BR"/>
              </w:rPr>
            </w:pPr>
            <w:r w:rsidRPr="00D050BE">
              <w:rPr>
                <w:rFonts w:eastAsia="Times New Roman" w:cs="Arial"/>
                <w:sz w:val="22"/>
                <w:lang w:eastAsia="pt-BR"/>
              </w:rPr>
              <w:t>2035</w:t>
            </w:r>
          </w:p>
        </w:tc>
        <w:tc>
          <w:tcPr>
            <w:tcW w:w="0" w:type="auto"/>
            <w:tcBorders>
              <w:top w:val="nil"/>
              <w:left w:val="nil"/>
              <w:bottom w:val="single" w:sz="4" w:space="0" w:color="auto"/>
              <w:right w:val="single" w:sz="4" w:space="0" w:color="auto"/>
            </w:tcBorders>
            <w:shd w:val="clear" w:color="000000" w:fill="FFFFFF"/>
            <w:noWrap/>
            <w:vAlign w:val="bottom"/>
            <w:hideMark/>
          </w:tcPr>
          <w:p w:rsidR="00AD2E69" w:rsidRPr="00D050BE" w:rsidRDefault="00AD2E69" w:rsidP="00363C60">
            <w:pPr>
              <w:spacing w:line="240" w:lineRule="auto"/>
              <w:jc w:val="center"/>
              <w:rPr>
                <w:rFonts w:eastAsia="Times New Roman" w:cs="Arial"/>
                <w:sz w:val="22"/>
                <w:lang w:eastAsia="pt-BR"/>
              </w:rPr>
            </w:pPr>
            <w:r w:rsidRPr="00D050BE">
              <w:rPr>
                <w:rFonts w:eastAsia="Times New Roman" w:cs="Arial"/>
                <w:sz w:val="22"/>
                <w:lang w:eastAsia="pt-BR"/>
              </w:rPr>
              <w:t>1.730</w:t>
            </w:r>
          </w:p>
        </w:tc>
        <w:tc>
          <w:tcPr>
            <w:tcW w:w="0" w:type="auto"/>
            <w:tcBorders>
              <w:top w:val="nil"/>
              <w:left w:val="nil"/>
              <w:bottom w:val="single" w:sz="4" w:space="0" w:color="auto"/>
              <w:right w:val="single" w:sz="4"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303,86</w:t>
            </w:r>
          </w:p>
        </w:tc>
        <w:tc>
          <w:tcPr>
            <w:tcW w:w="0" w:type="auto"/>
            <w:tcBorders>
              <w:top w:val="nil"/>
              <w:left w:val="nil"/>
              <w:bottom w:val="single" w:sz="4" w:space="0" w:color="auto"/>
              <w:right w:val="single" w:sz="8"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149,74</w:t>
            </w:r>
          </w:p>
        </w:tc>
        <w:tc>
          <w:tcPr>
            <w:tcW w:w="0" w:type="auto"/>
            <w:tcBorders>
              <w:top w:val="nil"/>
              <w:left w:val="nil"/>
              <w:bottom w:val="single" w:sz="4" w:space="0" w:color="auto"/>
              <w:right w:val="single" w:sz="8" w:space="0" w:color="auto"/>
            </w:tcBorders>
            <w:shd w:val="clear" w:color="000000" w:fill="FFFFFF"/>
            <w:vAlign w:val="center"/>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121,54</w:t>
            </w:r>
          </w:p>
        </w:tc>
        <w:tc>
          <w:tcPr>
            <w:tcW w:w="0" w:type="auto"/>
            <w:tcBorders>
              <w:top w:val="nil"/>
              <w:left w:val="nil"/>
              <w:bottom w:val="single" w:sz="4" w:space="0" w:color="auto"/>
              <w:right w:val="single" w:sz="8" w:space="0" w:color="auto"/>
            </w:tcBorders>
            <w:shd w:val="clear" w:color="000000" w:fill="FFFFFF"/>
            <w:vAlign w:val="center"/>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80</w:t>
            </w:r>
          </w:p>
        </w:tc>
      </w:tr>
      <w:tr w:rsidR="00D050BE" w:rsidRPr="00D050BE" w:rsidTr="00AD2E69">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AD2E69" w:rsidRPr="00D050BE" w:rsidRDefault="00AD2E69" w:rsidP="00363C60">
            <w:pPr>
              <w:spacing w:line="240" w:lineRule="auto"/>
              <w:jc w:val="center"/>
              <w:rPr>
                <w:rFonts w:eastAsia="Times New Roman" w:cs="Arial"/>
                <w:sz w:val="22"/>
                <w:lang w:eastAsia="pt-BR"/>
              </w:rPr>
            </w:pPr>
            <w:r w:rsidRPr="00D050BE">
              <w:rPr>
                <w:rFonts w:eastAsia="Times New Roman" w:cs="Arial"/>
                <w:sz w:val="22"/>
                <w:lang w:eastAsia="pt-BR"/>
              </w:rPr>
              <w:t>2036</w:t>
            </w:r>
          </w:p>
        </w:tc>
        <w:tc>
          <w:tcPr>
            <w:tcW w:w="0" w:type="auto"/>
            <w:tcBorders>
              <w:top w:val="nil"/>
              <w:left w:val="nil"/>
              <w:bottom w:val="single" w:sz="4" w:space="0" w:color="auto"/>
              <w:right w:val="single" w:sz="4" w:space="0" w:color="auto"/>
            </w:tcBorders>
            <w:shd w:val="clear" w:color="000000" w:fill="FFFFFF"/>
            <w:noWrap/>
            <w:vAlign w:val="bottom"/>
            <w:hideMark/>
          </w:tcPr>
          <w:p w:rsidR="00AD2E69" w:rsidRPr="00D050BE" w:rsidRDefault="00AD2E69" w:rsidP="00363C60">
            <w:pPr>
              <w:spacing w:line="240" w:lineRule="auto"/>
              <w:jc w:val="center"/>
              <w:rPr>
                <w:rFonts w:eastAsia="Times New Roman" w:cs="Arial"/>
                <w:sz w:val="22"/>
                <w:lang w:eastAsia="pt-BR"/>
              </w:rPr>
            </w:pPr>
            <w:r w:rsidRPr="00D050BE">
              <w:rPr>
                <w:rFonts w:eastAsia="Times New Roman" w:cs="Arial"/>
                <w:sz w:val="22"/>
                <w:lang w:eastAsia="pt-BR"/>
              </w:rPr>
              <w:t>1.711</w:t>
            </w:r>
          </w:p>
        </w:tc>
        <w:tc>
          <w:tcPr>
            <w:tcW w:w="0" w:type="auto"/>
            <w:tcBorders>
              <w:top w:val="nil"/>
              <w:left w:val="nil"/>
              <w:bottom w:val="single" w:sz="4" w:space="0" w:color="auto"/>
              <w:right w:val="single" w:sz="4"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300,52</w:t>
            </w:r>
          </w:p>
        </w:tc>
        <w:tc>
          <w:tcPr>
            <w:tcW w:w="0" w:type="auto"/>
            <w:tcBorders>
              <w:top w:val="nil"/>
              <w:left w:val="nil"/>
              <w:bottom w:val="single" w:sz="4" w:space="0" w:color="auto"/>
              <w:right w:val="single" w:sz="8"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153,08</w:t>
            </w:r>
          </w:p>
        </w:tc>
        <w:tc>
          <w:tcPr>
            <w:tcW w:w="0" w:type="auto"/>
            <w:tcBorders>
              <w:top w:val="nil"/>
              <w:left w:val="nil"/>
              <w:bottom w:val="single" w:sz="4" w:space="0" w:color="auto"/>
              <w:right w:val="single" w:sz="8" w:space="0" w:color="auto"/>
            </w:tcBorders>
            <w:shd w:val="clear" w:color="000000" w:fill="FFFFFF"/>
            <w:vAlign w:val="center"/>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120,21</w:t>
            </w:r>
          </w:p>
        </w:tc>
        <w:tc>
          <w:tcPr>
            <w:tcW w:w="0" w:type="auto"/>
            <w:tcBorders>
              <w:top w:val="nil"/>
              <w:left w:val="nil"/>
              <w:bottom w:val="single" w:sz="4" w:space="0" w:color="auto"/>
              <w:right w:val="single" w:sz="8" w:space="0" w:color="auto"/>
            </w:tcBorders>
            <w:shd w:val="clear" w:color="000000" w:fill="FFFFFF"/>
            <w:vAlign w:val="center"/>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80</w:t>
            </w:r>
          </w:p>
        </w:tc>
      </w:tr>
      <w:tr w:rsidR="00D050BE" w:rsidRPr="00D050BE" w:rsidTr="00AD2E69">
        <w:trPr>
          <w:trHeight w:val="283"/>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rsidR="00AD2E69" w:rsidRPr="00D050BE" w:rsidRDefault="00AD2E69" w:rsidP="00363C60">
            <w:pPr>
              <w:spacing w:line="240" w:lineRule="auto"/>
              <w:jc w:val="center"/>
              <w:rPr>
                <w:rFonts w:eastAsia="Times New Roman" w:cs="Arial"/>
                <w:sz w:val="22"/>
                <w:lang w:eastAsia="pt-BR"/>
              </w:rPr>
            </w:pPr>
            <w:r w:rsidRPr="00D050BE">
              <w:rPr>
                <w:rFonts w:eastAsia="Times New Roman" w:cs="Arial"/>
                <w:sz w:val="22"/>
                <w:lang w:eastAsia="pt-BR"/>
              </w:rPr>
              <w:t>2037</w:t>
            </w:r>
          </w:p>
        </w:tc>
        <w:tc>
          <w:tcPr>
            <w:tcW w:w="0" w:type="auto"/>
            <w:tcBorders>
              <w:top w:val="nil"/>
              <w:left w:val="nil"/>
              <w:bottom w:val="single" w:sz="4" w:space="0" w:color="auto"/>
              <w:right w:val="single" w:sz="4" w:space="0" w:color="auto"/>
            </w:tcBorders>
            <w:shd w:val="clear" w:color="000000" w:fill="FFFFFF"/>
            <w:noWrap/>
            <w:vAlign w:val="bottom"/>
            <w:hideMark/>
          </w:tcPr>
          <w:p w:rsidR="00AD2E69" w:rsidRPr="00D050BE" w:rsidRDefault="00AD2E69" w:rsidP="00363C60">
            <w:pPr>
              <w:spacing w:line="240" w:lineRule="auto"/>
              <w:jc w:val="center"/>
              <w:rPr>
                <w:rFonts w:eastAsia="Times New Roman" w:cs="Arial"/>
                <w:sz w:val="22"/>
                <w:lang w:eastAsia="pt-BR"/>
              </w:rPr>
            </w:pPr>
            <w:r w:rsidRPr="00D050BE">
              <w:rPr>
                <w:rFonts w:eastAsia="Times New Roman" w:cs="Arial"/>
                <w:sz w:val="22"/>
                <w:lang w:eastAsia="pt-BR"/>
              </w:rPr>
              <w:t>1.702</w:t>
            </w:r>
          </w:p>
        </w:tc>
        <w:tc>
          <w:tcPr>
            <w:tcW w:w="0" w:type="auto"/>
            <w:tcBorders>
              <w:top w:val="nil"/>
              <w:left w:val="nil"/>
              <w:bottom w:val="single" w:sz="4" w:space="0" w:color="auto"/>
              <w:right w:val="single" w:sz="4"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298,94</w:t>
            </w:r>
          </w:p>
        </w:tc>
        <w:tc>
          <w:tcPr>
            <w:tcW w:w="0" w:type="auto"/>
            <w:tcBorders>
              <w:top w:val="nil"/>
              <w:left w:val="nil"/>
              <w:bottom w:val="single" w:sz="4" w:space="0" w:color="auto"/>
              <w:right w:val="single" w:sz="8"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154,66</w:t>
            </w:r>
          </w:p>
        </w:tc>
        <w:tc>
          <w:tcPr>
            <w:tcW w:w="0" w:type="auto"/>
            <w:tcBorders>
              <w:top w:val="nil"/>
              <w:left w:val="nil"/>
              <w:bottom w:val="single" w:sz="4" w:space="0" w:color="auto"/>
              <w:right w:val="single" w:sz="8" w:space="0" w:color="auto"/>
            </w:tcBorders>
            <w:shd w:val="clear" w:color="000000" w:fill="FFFFFF"/>
            <w:vAlign w:val="center"/>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119,58</w:t>
            </w:r>
          </w:p>
        </w:tc>
        <w:tc>
          <w:tcPr>
            <w:tcW w:w="0" w:type="auto"/>
            <w:tcBorders>
              <w:top w:val="nil"/>
              <w:left w:val="nil"/>
              <w:bottom w:val="single" w:sz="4" w:space="0" w:color="auto"/>
              <w:right w:val="single" w:sz="8" w:space="0" w:color="auto"/>
            </w:tcBorders>
            <w:shd w:val="clear" w:color="000000" w:fill="FFFFFF"/>
            <w:vAlign w:val="center"/>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80</w:t>
            </w:r>
          </w:p>
        </w:tc>
      </w:tr>
      <w:tr w:rsidR="00D050BE" w:rsidRPr="00D050BE" w:rsidTr="00AD2E69">
        <w:trPr>
          <w:trHeight w:val="283"/>
        </w:trPr>
        <w:tc>
          <w:tcPr>
            <w:tcW w:w="0" w:type="auto"/>
            <w:tcBorders>
              <w:top w:val="nil"/>
              <w:left w:val="single" w:sz="8" w:space="0" w:color="auto"/>
              <w:bottom w:val="single" w:sz="8" w:space="0" w:color="auto"/>
              <w:right w:val="single" w:sz="4" w:space="0" w:color="auto"/>
            </w:tcBorders>
            <w:shd w:val="clear" w:color="auto" w:fill="auto"/>
            <w:noWrap/>
            <w:vAlign w:val="bottom"/>
            <w:hideMark/>
          </w:tcPr>
          <w:p w:rsidR="00AD2E69" w:rsidRPr="00D050BE" w:rsidRDefault="00AD2E69" w:rsidP="00363C60">
            <w:pPr>
              <w:spacing w:line="240" w:lineRule="auto"/>
              <w:jc w:val="center"/>
              <w:rPr>
                <w:rFonts w:eastAsia="Times New Roman" w:cs="Arial"/>
                <w:sz w:val="22"/>
                <w:lang w:eastAsia="pt-BR"/>
              </w:rPr>
            </w:pPr>
            <w:r w:rsidRPr="00D050BE">
              <w:rPr>
                <w:rFonts w:eastAsia="Times New Roman" w:cs="Arial"/>
                <w:sz w:val="22"/>
                <w:lang w:eastAsia="pt-BR"/>
              </w:rPr>
              <w:t>2038</w:t>
            </w:r>
          </w:p>
        </w:tc>
        <w:tc>
          <w:tcPr>
            <w:tcW w:w="0" w:type="auto"/>
            <w:tcBorders>
              <w:top w:val="nil"/>
              <w:left w:val="nil"/>
              <w:bottom w:val="single" w:sz="8" w:space="0" w:color="auto"/>
              <w:right w:val="single" w:sz="4" w:space="0" w:color="auto"/>
            </w:tcBorders>
            <w:shd w:val="clear" w:color="000000" w:fill="FFFFFF"/>
            <w:noWrap/>
            <w:vAlign w:val="bottom"/>
            <w:hideMark/>
          </w:tcPr>
          <w:p w:rsidR="00AD2E69" w:rsidRPr="00D050BE" w:rsidRDefault="00AD2E69" w:rsidP="00363C60">
            <w:pPr>
              <w:spacing w:line="240" w:lineRule="auto"/>
              <w:jc w:val="center"/>
              <w:rPr>
                <w:rFonts w:eastAsia="Times New Roman" w:cs="Arial"/>
                <w:sz w:val="22"/>
                <w:lang w:eastAsia="pt-BR"/>
              </w:rPr>
            </w:pPr>
            <w:r w:rsidRPr="00D050BE">
              <w:rPr>
                <w:rFonts w:eastAsia="Times New Roman" w:cs="Arial"/>
                <w:sz w:val="22"/>
                <w:lang w:eastAsia="pt-BR"/>
              </w:rPr>
              <w:t>1.691</w:t>
            </w:r>
          </w:p>
        </w:tc>
        <w:tc>
          <w:tcPr>
            <w:tcW w:w="0" w:type="auto"/>
            <w:tcBorders>
              <w:top w:val="nil"/>
              <w:left w:val="nil"/>
              <w:bottom w:val="single" w:sz="8" w:space="0" w:color="auto"/>
              <w:right w:val="single" w:sz="4"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453,60</w:t>
            </w:r>
          </w:p>
        </w:tc>
        <w:tc>
          <w:tcPr>
            <w:tcW w:w="0" w:type="auto"/>
            <w:tcBorders>
              <w:top w:val="nil"/>
              <w:left w:val="nil"/>
              <w:bottom w:val="single" w:sz="8" w:space="0" w:color="auto"/>
              <w:right w:val="single" w:sz="4"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297,01</w:t>
            </w:r>
          </w:p>
        </w:tc>
        <w:tc>
          <w:tcPr>
            <w:tcW w:w="0" w:type="auto"/>
            <w:tcBorders>
              <w:top w:val="nil"/>
              <w:left w:val="nil"/>
              <w:bottom w:val="single" w:sz="8" w:space="0" w:color="auto"/>
              <w:right w:val="single" w:sz="8" w:space="0" w:color="auto"/>
            </w:tcBorders>
            <w:shd w:val="clear" w:color="000000" w:fill="FFFFFF"/>
            <w:noWrap/>
            <w:vAlign w:val="center"/>
            <w:hideMark/>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156,59</w:t>
            </w:r>
          </w:p>
        </w:tc>
        <w:tc>
          <w:tcPr>
            <w:tcW w:w="0" w:type="auto"/>
            <w:tcBorders>
              <w:top w:val="nil"/>
              <w:left w:val="nil"/>
              <w:bottom w:val="single" w:sz="8" w:space="0" w:color="auto"/>
              <w:right w:val="single" w:sz="8" w:space="0" w:color="auto"/>
            </w:tcBorders>
            <w:shd w:val="clear" w:color="000000" w:fill="FFFFFF"/>
            <w:vAlign w:val="center"/>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118,80</w:t>
            </w:r>
          </w:p>
        </w:tc>
        <w:tc>
          <w:tcPr>
            <w:tcW w:w="0" w:type="auto"/>
            <w:tcBorders>
              <w:top w:val="nil"/>
              <w:left w:val="nil"/>
              <w:bottom w:val="single" w:sz="8" w:space="0" w:color="auto"/>
              <w:right w:val="single" w:sz="8" w:space="0" w:color="auto"/>
            </w:tcBorders>
            <w:shd w:val="clear" w:color="000000" w:fill="FFFFFF"/>
            <w:vAlign w:val="center"/>
          </w:tcPr>
          <w:p w:rsidR="00AD2E69" w:rsidRPr="00D050BE" w:rsidRDefault="00AD2E69" w:rsidP="00AD2E69">
            <w:pPr>
              <w:spacing w:line="240" w:lineRule="auto"/>
              <w:jc w:val="center"/>
              <w:rPr>
                <w:rFonts w:eastAsia="Times New Roman" w:cs="Arial"/>
                <w:sz w:val="22"/>
                <w:lang w:eastAsia="pt-BR"/>
              </w:rPr>
            </w:pPr>
            <w:r w:rsidRPr="00D050BE">
              <w:rPr>
                <w:rFonts w:eastAsia="Times New Roman" w:cs="Arial"/>
                <w:sz w:val="22"/>
                <w:lang w:eastAsia="pt-BR"/>
              </w:rPr>
              <w:t>80</w:t>
            </w:r>
          </w:p>
        </w:tc>
      </w:tr>
    </w:tbl>
    <w:p w:rsidR="00193B74" w:rsidRPr="00D050BE" w:rsidRDefault="00193B74" w:rsidP="00193B74">
      <w:pPr>
        <w:pStyle w:val="Fonte"/>
      </w:pPr>
      <w:r w:rsidRPr="00D050BE">
        <w:t>Fonte: SHS, 2017.</w:t>
      </w:r>
    </w:p>
    <w:p w:rsidR="00193B74" w:rsidRPr="008E4542" w:rsidRDefault="00080CD9" w:rsidP="00193B74">
      <w:pPr>
        <w:ind w:firstLine="708"/>
        <w:rPr>
          <w:lang w:eastAsia="pt-BR"/>
        </w:rPr>
      </w:pPr>
      <w:r w:rsidRPr="008E4542">
        <w:rPr>
          <w:lang w:eastAsia="pt-BR"/>
        </w:rPr>
        <w:t>Os resultados apontam que a</w:t>
      </w:r>
      <w:r w:rsidR="00193B74" w:rsidRPr="008E4542">
        <w:rPr>
          <w:lang w:eastAsia="pt-BR"/>
        </w:rPr>
        <w:t xml:space="preserve"> ETA</w:t>
      </w:r>
      <w:r w:rsidRPr="008E4542">
        <w:rPr>
          <w:lang w:eastAsia="pt-BR"/>
        </w:rPr>
        <w:t xml:space="preserve"> e poços</w:t>
      </w:r>
      <w:r w:rsidR="00193B74" w:rsidRPr="008E4542">
        <w:rPr>
          <w:lang w:eastAsia="pt-BR"/>
        </w:rPr>
        <w:t xml:space="preserve"> em funcionamento na sede</w:t>
      </w:r>
      <w:r w:rsidR="00CB1266" w:rsidRPr="008E4542">
        <w:rPr>
          <w:lang w:eastAsia="pt-BR"/>
        </w:rPr>
        <w:t xml:space="preserve"> </w:t>
      </w:r>
      <w:r w:rsidR="00193B74" w:rsidRPr="008E4542">
        <w:rPr>
          <w:lang w:eastAsia="pt-BR"/>
        </w:rPr>
        <w:t>apresentam capacidade suficiente para atender às demandas atuais</w:t>
      </w:r>
      <w:r w:rsidR="00AD2E69" w:rsidRPr="008E4542">
        <w:rPr>
          <w:lang w:eastAsia="pt-BR"/>
        </w:rPr>
        <w:t xml:space="preserve"> e </w:t>
      </w:r>
      <w:r w:rsidR="00193B74" w:rsidRPr="008E4542">
        <w:rPr>
          <w:lang w:eastAsia="pt-BR"/>
        </w:rPr>
        <w:t xml:space="preserve">às futuras. </w:t>
      </w:r>
      <w:r w:rsidR="00AD2E69" w:rsidRPr="008E4542">
        <w:rPr>
          <w:lang w:eastAsia="pt-BR"/>
        </w:rPr>
        <w:t>Todavia</w:t>
      </w:r>
      <w:r w:rsidR="008E4542" w:rsidRPr="008E4542">
        <w:rPr>
          <w:lang w:eastAsia="pt-BR"/>
        </w:rPr>
        <w:t>,</w:t>
      </w:r>
      <w:r w:rsidR="00AD2E69" w:rsidRPr="008E4542">
        <w:rPr>
          <w:lang w:eastAsia="pt-BR"/>
        </w:rPr>
        <w:t xml:space="preserve"> a capacidade total de reservação atual é insuficiente para o ideal funcionamento do sistema durante o horizonte de planejamento. </w:t>
      </w:r>
    </w:p>
    <w:p w:rsidR="00363C60" w:rsidRPr="00AB46EA" w:rsidRDefault="00363C60" w:rsidP="00363C60">
      <w:pPr>
        <w:ind w:firstLine="708"/>
        <w:rPr>
          <w:lang w:eastAsia="pt-BR"/>
        </w:rPr>
      </w:pPr>
      <w:r w:rsidRPr="00AB46EA">
        <w:rPr>
          <w:lang w:eastAsia="pt-BR"/>
        </w:rPr>
        <w:lastRenderedPageBreak/>
        <w:t xml:space="preserve">Verifica-se que em toda a área urbana do município, o consumo </w:t>
      </w:r>
      <w:r w:rsidRPr="00AB46EA">
        <w:rPr>
          <w:i/>
          <w:lang w:eastAsia="pt-BR"/>
        </w:rPr>
        <w:t xml:space="preserve">per capita </w:t>
      </w:r>
      <w:r w:rsidRPr="00AB46EA">
        <w:rPr>
          <w:lang w:eastAsia="pt-BR"/>
        </w:rPr>
        <w:t>está abaixo do consumo médio do país (166L/hab.dia). Segundo Von Sperling (20</w:t>
      </w:r>
      <w:r>
        <w:rPr>
          <w:lang w:eastAsia="pt-BR"/>
        </w:rPr>
        <w:t>14</w:t>
      </w:r>
      <w:r w:rsidRPr="00AB46EA">
        <w:rPr>
          <w:lang w:eastAsia="pt-BR"/>
        </w:rPr>
        <w:t xml:space="preserve">), no entanto, em municípios com até 10 mil habitantes, o consumo </w:t>
      </w:r>
      <w:r w:rsidRPr="00AB46EA">
        <w:rPr>
          <w:i/>
          <w:lang w:eastAsia="pt-BR"/>
        </w:rPr>
        <w:t>per capita</w:t>
      </w:r>
      <w:r w:rsidRPr="00AB46EA">
        <w:rPr>
          <w:lang w:eastAsia="pt-BR"/>
        </w:rPr>
        <w:t xml:space="preserve"> está em uma faixa de 90 e 160L/hab.dia. Sendo assim, considerou-se que, paralelamente ao desenvolvimento do município, haverá o a</w:t>
      </w:r>
      <w:r w:rsidR="009508BD">
        <w:rPr>
          <w:lang w:eastAsia="pt-BR"/>
        </w:rPr>
        <w:t>u</w:t>
      </w:r>
      <w:r w:rsidRPr="00AB46EA">
        <w:rPr>
          <w:lang w:eastAsia="pt-BR"/>
        </w:rPr>
        <w:t>mento do consumo de água até o valor de 150L/hab.dia.</w:t>
      </w:r>
    </w:p>
    <w:p w:rsidR="00363C60" w:rsidRPr="00E278A7" w:rsidRDefault="00363C60" w:rsidP="00363C60">
      <w:pPr>
        <w:ind w:firstLine="708"/>
        <w:rPr>
          <w:lang w:eastAsia="pt-BR"/>
        </w:rPr>
      </w:pPr>
      <w:r w:rsidRPr="00AB46EA">
        <w:rPr>
          <w:lang w:eastAsia="pt-BR"/>
        </w:rPr>
        <w:t xml:space="preserve">Vale ressaltar que essa estimativa não tem por objetivo incentivar o aumento de consumo de água, mas sim antever que haverá uma melhoria na qualidade de vida das pessoas, e que naturalmente isso demandará um consumo maior de água. Caso não ocorra esse aumento, a quantidade de água disponível poderá atender a uma população maior, além do período do Plano. De qualquer forma, as ações de educação ambiental e de incentivo ao consumo consciente de água devem ser implementadas continuamente no município, para a garantia </w:t>
      </w:r>
      <w:r w:rsidRPr="00E278A7">
        <w:rPr>
          <w:lang w:eastAsia="pt-BR"/>
        </w:rPr>
        <w:t>da qualidade de vida das futuras gerações.</w:t>
      </w:r>
    </w:p>
    <w:p w:rsidR="00193B74" w:rsidRPr="00E278A7" w:rsidRDefault="00193B74" w:rsidP="00363C60">
      <w:pPr>
        <w:ind w:firstLine="708"/>
        <w:rPr>
          <w:lang w:eastAsia="pt-BR"/>
        </w:rPr>
      </w:pPr>
      <w:r w:rsidRPr="00E278A7">
        <w:rPr>
          <w:lang w:eastAsia="pt-BR"/>
        </w:rPr>
        <w:t>De acordo com o exposto, as metas relacionadas com a demanda de água serão as seguintes:</w:t>
      </w:r>
    </w:p>
    <w:p w:rsidR="002F5CED" w:rsidRPr="00E278A7" w:rsidRDefault="002F5CED" w:rsidP="002F5CED">
      <w:pPr>
        <w:numPr>
          <w:ilvl w:val="0"/>
          <w:numId w:val="34"/>
        </w:numPr>
        <w:rPr>
          <w:lang w:eastAsia="pt-BR"/>
        </w:rPr>
      </w:pPr>
      <w:r w:rsidRPr="00E278A7">
        <w:rPr>
          <w:lang w:eastAsia="pt-BR"/>
        </w:rPr>
        <w:t>Prazo imediato – Atendimento de 100% da população urbana (até 3 anos).</w:t>
      </w:r>
    </w:p>
    <w:p w:rsidR="00193B74" w:rsidRPr="00E278A7" w:rsidRDefault="002F5CED" w:rsidP="00A87269">
      <w:pPr>
        <w:numPr>
          <w:ilvl w:val="0"/>
          <w:numId w:val="34"/>
        </w:numPr>
        <w:rPr>
          <w:lang w:eastAsia="pt-BR"/>
        </w:rPr>
      </w:pPr>
      <w:r w:rsidRPr="00E278A7">
        <w:rPr>
          <w:lang w:eastAsia="pt-BR"/>
        </w:rPr>
        <w:t>Longo</w:t>
      </w:r>
      <w:r w:rsidR="00193B74" w:rsidRPr="00E278A7">
        <w:rPr>
          <w:lang w:eastAsia="pt-BR"/>
        </w:rPr>
        <w:t xml:space="preserve"> prazo –</w:t>
      </w:r>
      <w:r w:rsidRPr="00E278A7">
        <w:rPr>
          <w:lang w:eastAsia="pt-BR"/>
        </w:rPr>
        <w:t xml:space="preserve"> </w:t>
      </w:r>
      <w:r w:rsidR="00193B74" w:rsidRPr="00E278A7">
        <w:rPr>
          <w:lang w:eastAsia="pt-BR"/>
        </w:rPr>
        <w:t xml:space="preserve">Atingir índice de perdas igual a </w:t>
      </w:r>
      <w:r w:rsidR="00363C60" w:rsidRPr="00E278A7">
        <w:rPr>
          <w:lang w:eastAsia="pt-BR"/>
        </w:rPr>
        <w:t>20</w:t>
      </w:r>
      <w:r w:rsidR="00193B74" w:rsidRPr="00E278A7">
        <w:rPr>
          <w:lang w:eastAsia="pt-BR"/>
        </w:rPr>
        <w:t xml:space="preserve">% (de </w:t>
      </w:r>
      <w:r w:rsidRPr="00E278A7">
        <w:rPr>
          <w:lang w:eastAsia="pt-BR"/>
        </w:rPr>
        <w:t>13 a 20</w:t>
      </w:r>
      <w:r w:rsidR="00193B74" w:rsidRPr="00E278A7">
        <w:rPr>
          <w:lang w:eastAsia="pt-BR"/>
        </w:rPr>
        <w:t xml:space="preserve"> anos).</w:t>
      </w:r>
    </w:p>
    <w:p w:rsidR="00193B74" w:rsidRPr="00363C60" w:rsidRDefault="00193B74" w:rsidP="00193B74">
      <w:pPr>
        <w:ind w:firstLine="708"/>
        <w:rPr>
          <w:rFonts w:cs="Arial"/>
          <w:szCs w:val="24"/>
        </w:rPr>
      </w:pPr>
      <w:r w:rsidRPr="00E278A7">
        <w:rPr>
          <w:lang w:eastAsia="pt-BR"/>
        </w:rPr>
        <w:t xml:space="preserve">Ressalta-se que o mínimo estabelecido para o Índice </w:t>
      </w:r>
      <w:r w:rsidRPr="00363C60">
        <w:rPr>
          <w:lang w:eastAsia="pt-BR"/>
        </w:rPr>
        <w:t xml:space="preserve">de Perdas é </w:t>
      </w:r>
      <w:r w:rsidR="00852088">
        <w:rPr>
          <w:lang w:eastAsia="pt-BR"/>
        </w:rPr>
        <w:t>20</w:t>
      </w:r>
      <w:r w:rsidRPr="00363C60">
        <w:rPr>
          <w:lang w:eastAsia="pt-BR"/>
        </w:rPr>
        <w:t>%, pois é plausível, conforme estabelecido nos seminários.</w:t>
      </w:r>
      <w:r w:rsidRPr="00363C60">
        <w:rPr>
          <w:rFonts w:cs="Arial"/>
          <w:szCs w:val="24"/>
        </w:rPr>
        <w:t xml:space="preserve"> Nesse sentido, quando o município atinge esse valor, as metas se modificam para manter tal taxa.</w:t>
      </w:r>
    </w:p>
    <w:p w:rsidR="00193B74" w:rsidRPr="00363C60" w:rsidRDefault="00193B74" w:rsidP="00193B74">
      <w:pPr>
        <w:widowControl w:val="0"/>
        <w:autoSpaceDE w:val="0"/>
        <w:autoSpaceDN w:val="0"/>
        <w:adjustRightInd w:val="0"/>
        <w:spacing w:before="120" w:after="120"/>
        <w:ind w:firstLine="709"/>
        <w:contextualSpacing/>
        <w:rPr>
          <w:rFonts w:cs="Arial"/>
          <w:szCs w:val="24"/>
        </w:rPr>
      </w:pPr>
      <w:r w:rsidRPr="00363C60">
        <w:rPr>
          <w:rFonts w:cs="Arial"/>
          <w:szCs w:val="24"/>
        </w:rPr>
        <w:t xml:space="preserve">Com base nesses valores, foi calculada a evolução da demanda de água para o sistema que atende </w:t>
      </w:r>
      <w:r w:rsidR="002B6FDE" w:rsidRPr="00363C60">
        <w:rPr>
          <w:rFonts w:cs="Arial"/>
          <w:szCs w:val="24"/>
        </w:rPr>
        <w:t>à</w:t>
      </w:r>
      <w:r w:rsidRPr="00363C60">
        <w:rPr>
          <w:rFonts w:cs="Arial"/>
          <w:szCs w:val="24"/>
        </w:rPr>
        <w:t xml:space="preserve"> sede (</w:t>
      </w:r>
      <w:r w:rsidRPr="00363C60">
        <w:fldChar w:fldCharType="begin"/>
      </w:r>
      <w:r w:rsidRPr="00363C60">
        <w:instrText xml:space="preserve"> REF _Ref435085862 \h  \* MERGEFORMAT </w:instrText>
      </w:r>
      <w:r w:rsidRPr="00363C60">
        <w:fldChar w:fldCharType="separate"/>
      </w:r>
      <w:r w:rsidR="004D1D76" w:rsidRPr="004D1D76">
        <w:rPr>
          <w:rFonts w:cs="Arial"/>
        </w:rPr>
        <w:t xml:space="preserve">Quadro </w:t>
      </w:r>
      <w:r w:rsidR="004D1D76" w:rsidRPr="004D1D76">
        <w:rPr>
          <w:rFonts w:cs="Arial"/>
          <w:noProof/>
        </w:rPr>
        <w:t>3</w:t>
      </w:r>
      <w:r w:rsidRPr="00363C60">
        <w:fldChar w:fldCharType="end"/>
      </w:r>
      <w:r w:rsidRPr="00363C60">
        <w:rPr>
          <w:rFonts w:cs="Arial"/>
          <w:szCs w:val="24"/>
        </w:rPr>
        <w:t xml:space="preserve">). </w:t>
      </w:r>
    </w:p>
    <w:p w:rsidR="00193B74" w:rsidRPr="00363C60" w:rsidRDefault="00193B74" w:rsidP="00193B74">
      <w:pPr>
        <w:widowControl w:val="0"/>
        <w:autoSpaceDE w:val="0"/>
        <w:autoSpaceDN w:val="0"/>
        <w:adjustRightInd w:val="0"/>
        <w:spacing w:before="120" w:after="120"/>
        <w:ind w:firstLine="709"/>
        <w:contextualSpacing/>
        <w:rPr>
          <w:rFonts w:cs="Arial"/>
          <w:szCs w:val="24"/>
        </w:rPr>
        <w:sectPr w:rsidR="00193B74" w:rsidRPr="00363C60" w:rsidSect="00710E60">
          <w:footerReference w:type="default" r:id="rId19"/>
          <w:pgSz w:w="11906" w:h="16838"/>
          <w:pgMar w:top="1134" w:right="1134" w:bottom="1134" w:left="1418" w:header="708" w:footer="708" w:gutter="0"/>
          <w:cols w:space="708"/>
          <w:docGrid w:linePitch="360"/>
        </w:sectPr>
      </w:pPr>
    </w:p>
    <w:p w:rsidR="00193B74" w:rsidRPr="00363C60" w:rsidRDefault="00193B74" w:rsidP="00193B74">
      <w:pPr>
        <w:pStyle w:val="Legenda"/>
        <w:rPr>
          <w:lang w:val="pt-BR"/>
        </w:rPr>
      </w:pPr>
      <w:bookmarkStart w:id="33" w:name="_Ref435085862"/>
      <w:bookmarkStart w:id="34" w:name="_Toc441657085"/>
      <w:bookmarkStart w:id="35" w:name="_Toc497469124"/>
      <w:r w:rsidRPr="00363C60">
        <w:lastRenderedPageBreak/>
        <w:t xml:space="preserve">Quadro </w:t>
      </w:r>
      <w:r w:rsidR="00D71C43">
        <w:fldChar w:fldCharType="begin"/>
      </w:r>
      <w:r w:rsidR="00D71C43">
        <w:instrText xml:space="preserve"> SEQ Quadro \* ARABIC </w:instrText>
      </w:r>
      <w:r w:rsidR="00D71C43">
        <w:fldChar w:fldCharType="separate"/>
      </w:r>
      <w:r w:rsidR="004D1D76">
        <w:rPr>
          <w:noProof/>
        </w:rPr>
        <w:t>3</w:t>
      </w:r>
      <w:r w:rsidR="00D71C43">
        <w:rPr>
          <w:noProof/>
        </w:rPr>
        <w:fldChar w:fldCharType="end"/>
      </w:r>
      <w:bookmarkEnd w:id="33"/>
      <w:r w:rsidRPr="00363C60">
        <w:t xml:space="preserve"> - Projeção da demanda futura para a sede no cenário normativo</w:t>
      </w:r>
      <w:bookmarkEnd w:id="34"/>
      <w:bookmarkEnd w:id="35"/>
    </w:p>
    <w:tbl>
      <w:tblPr>
        <w:tblW w:w="14815" w:type="dxa"/>
        <w:tblInd w:w="55" w:type="dxa"/>
        <w:tblCellMar>
          <w:left w:w="70" w:type="dxa"/>
          <w:right w:w="70" w:type="dxa"/>
        </w:tblCellMar>
        <w:tblLook w:val="04A0" w:firstRow="1" w:lastRow="0" w:firstColumn="1" w:lastColumn="0" w:noHBand="0" w:noVBand="1"/>
      </w:tblPr>
      <w:tblGrid>
        <w:gridCol w:w="630"/>
        <w:gridCol w:w="1582"/>
        <w:gridCol w:w="1739"/>
        <w:gridCol w:w="1775"/>
        <w:gridCol w:w="1556"/>
        <w:gridCol w:w="1145"/>
        <w:gridCol w:w="1553"/>
        <w:gridCol w:w="1562"/>
        <w:gridCol w:w="1587"/>
        <w:gridCol w:w="1686"/>
      </w:tblGrid>
      <w:tr w:rsidR="00E278A7" w:rsidRPr="00E278A7" w:rsidTr="00852088">
        <w:trPr>
          <w:trHeight w:val="283"/>
        </w:trPr>
        <w:tc>
          <w:tcPr>
            <w:tcW w:w="0" w:type="auto"/>
            <w:tcBorders>
              <w:top w:val="single" w:sz="8" w:space="0" w:color="auto"/>
              <w:left w:val="single" w:sz="8" w:space="0" w:color="auto"/>
              <w:bottom w:val="nil"/>
              <w:right w:val="single" w:sz="4" w:space="0" w:color="auto"/>
            </w:tcBorders>
            <w:shd w:val="clear" w:color="auto" w:fill="auto"/>
            <w:vAlign w:val="center"/>
            <w:hideMark/>
          </w:tcPr>
          <w:p w:rsidR="00AD2E69" w:rsidRPr="00E278A7" w:rsidRDefault="00AD2E69" w:rsidP="00852088">
            <w:pPr>
              <w:spacing w:line="240" w:lineRule="auto"/>
              <w:jc w:val="center"/>
              <w:rPr>
                <w:rFonts w:eastAsia="Times New Roman" w:cs="Arial"/>
                <w:b/>
                <w:bCs/>
                <w:sz w:val="22"/>
                <w:lang w:eastAsia="pt-BR"/>
              </w:rPr>
            </w:pPr>
            <w:r w:rsidRPr="00E278A7">
              <w:rPr>
                <w:rFonts w:eastAsia="Times New Roman" w:cs="Arial"/>
                <w:b/>
                <w:bCs/>
                <w:sz w:val="22"/>
                <w:lang w:eastAsia="pt-BR"/>
              </w:rPr>
              <w:t>Ano</w:t>
            </w:r>
          </w:p>
        </w:tc>
        <w:tc>
          <w:tcPr>
            <w:tcW w:w="0" w:type="auto"/>
            <w:tcBorders>
              <w:top w:val="single" w:sz="8" w:space="0" w:color="auto"/>
              <w:left w:val="nil"/>
              <w:bottom w:val="nil"/>
              <w:right w:val="single" w:sz="4" w:space="0" w:color="auto"/>
            </w:tcBorders>
            <w:shd w:val="clear" w:color="auto" w:fill="auto"/>
            <w:vAlign w:val="center"/>
            <w:hideMark/>
          </w:tcPr>
          <w:p w:rsidR="00AD2E69" w:rsidRPr="00E278A7" w:rsidRDefault="00AD2E69" w:rsidP="00852088">
            <w:pPr>
              <w:spacing w:line="240" w:lineRule="auto"/>
              <w:jc w:val="center"/>
              <w:rPr>
                <w:rFonts w:eastAsia="Times New Roman" w:cs="Arial"/>
                <w:b/>
                <w:bCs/>
                <w:sz w:val="22"/>
                <w:lang w:eastAsia="pt-BR"/>
              </w:rPr>
            </w:pPr>
            <w:r w:rsidRPr="00E278A7">
              <w:rPr>
                <w:rFonts w:eastAsia="Times New Roman" w:cs="Arial"/>
                <w:b/>
                <w:bCs/>
                <w:sz w:val="22"/>
                <w:lang w:eastAsia="pt-BR"/>
              </w:rPr>
              <w:t>População urbana                (hab.)</w:t>
            </w:r>
          </w:p>
        </w:tc>
        <w:tc>
          <w:tcPr>
            <w:tcW w:w="0" w:type="auto"/>
            <w:tcBorders>
              <w:top w:val="single" w:sz="8" w:space="0" w:color="auto"/>
              <w:left w:val="nil"/>
              <w:bottom w:val="nil"/>
              <w:right w:val="single" w:sz="4" w:space="0" w:color="auto"/>
            </w:tcBorders>
            <w:shd w:val="clear" w:color="auto" w:fill="auto"/>
            <w:vAlign w:val="center"/>
            <w:hideMark/>
          </w:tcPr>
          <w:p w:rsidR="00AD2E69" w:rsidRPr="00E278A7" w:rsidRDefault="00AD2E69" w:rsidP="00852088">
            <w:pPr>
              <w:spacing w:line="240" w:lineRule="auto"/>
              <w:jc w:val="center"/>
              <w:rPr>
                <w:rFonts w:eastAsia="Times New Roman" w:cs="Arial"/>
                <w:b/>
                <w:bCs/>
                <w:sz w:val="22"/>
                <w:lang w:eastAsia="pt-BR"/>
              </w:rPr>
            </w:pPr>
            <w:r w:rsidRPr="00E278A7">
              <w:rPr>
                <w:rFonts w:eastAsia="Times New Roman" w:cs="Arial"/>
                <w:b/>
                <w:bCs/>
                <w:sz w:val="22"/>
                <w:lang w:eastAsia="pt-BR"/>
              </w:rPr>
              <w:t>Índice de atendimento            (%)</w:t>
            </w:r>
          </w:p>
        </w:tc>
        <w:tc>
          <w:tcPr>
            <w:tcW w:w="1775" w:type="dxa"/>
            <w:tcBorders>
              <w:top w:val="single" w:sz="8" w:space="0" w:color="auto"/>
              <w:left w:val="nil"/>
              <w:bottom w:val="nil"/>
              <w:right w:val="single" w:sz="4" w:space="0" w:color="auto"/>
            </w:tcBorders>
            <w:shd w:val="clear" w:color="auto" w:fill="auto"/>
            <w:vAlign w:val="center"/>
            <w:hideMark/>
          </w:tcPr>
          <w:p w:rsidR="00AD2E69" w:rsidRPr="00E278A7" w:rsidRDefault="00AD2E69" w:rsidP="00852088">
            <w:pPr>
              <w:spacing w:line="240" w:lineRule="auto"/>
              <w:jc w:val="center"/>
              <w:rPr>
                <w:rFonts w:eastAsia="Times New Roman" w:cs="Arial"/>
                <w:b/>
                <w:bCs/>
                <w:sz w:val="22"/>
                <w:lang w:eastAsia="pt-BR"/>
              </w:rPr>
            </w:pPr>
            <w:r w:rsidRPr="00E278A7">
              <w:rPr>
                <w:rFonts w:eastAsia="Times New Roman" w:cs="Arial"/>
                <w:b/>
                <w:bCs/>
                <w:sz w:val="22"/>
                <w:lang w:eastAsia="pt-BR"/>
              </w:rPr>
              <w:t>População urbana atendida (hab.)</w:t>
            </w:r>
          </w:p>
        </w:tc>
        <w:tc>
          <w:tcPr>
            <w:tcW w:w="0" w:type="auto"/>
            <w:tcBorders>
              <w:top w:val="single" w:sz="8" w:space="0" w:color="auto"/>
              <w:left w:val="nil"/>
              <w:bottom w:val="nil"/>
              <w:right w:val="single" w:sz="4" w:space="0" w:color="auto"/>
            </w:tcBorders>
            <w:shd w:val="clear" w:color="auto" w:fill="auto"/>
            <w:vAlign w:val="center"/>
            <w:hideMark/>
          </w:tcPr>
          <w:p w:rsidR="00AD2E69" w:rsidRPr="00E278A7" w:rsidRDefault="00AD2E69" w:rsidP="00852088">
            <w:pPr>
              <w:spacing w:line="240" w:lineRule="auto"/>
              <w:jc w:val="center"/>
              <w:rPr>
                <w:rFonts w:eastAsia="Times New Roman" w:cs="Arial"/>
                <w:b/>
                <w:bCs/>
                <w:sz w:val="22"/>
                <w:lang w:eastAsia="pt-BR"/>
              </w:rPr>
            </w:pPr>
            <w:r w:rsidRPr="00E278A7">
              <w:rPr>
                <w:rFonts w:eastAsia="Times New Roman" w:cs="Arial"/>
                <w:b/>
                <w:bCs/>
                <w:sz w:val="22"/>
                <w:lang w:eastAsia="pt-BR"/>
              </w:rPr>
              <w:t xml:space="preserve">Consumo </w:t>
            </w:r>
            <w:r w:rsidRPr="00E278A7">
              <w:rPr>
                <w:rFonts w:eastAsia="Times New Roman" w:cs="Arial"/>
                <w:b/>
                <w:bCs/>
                <w:i/>
                <w:sz w:val="22"/>
                <w:lang w:eastAsia="pt-BR"/>
              </w:rPr>
              <w:t>per capita</w:t>
            </w:r>
            <w:r w:rsidRPr="00E278A7">
              <w:rPr>
                <w:rFonts w:eastAsia="Times New Roman" w:cs="Arial"/>
                <w:b/>
                <w:bCs/>
                <w:sz w:val="22"/>
                <w:lang w:eastAsia="pt-BR"/>
              </w:rPr>
              <w:t xml:space="preserve"> (L/hab.dia)</w:t>
            </w:r>
          </w:p>
        </w:tc>
        <w:tc>
          <w:tcPr>
            <w:tcW w:w="0" w:type="auto"/>
            <w:tcBorders>
              <w:top w:val="single" w:sz="8" w:space="0" w:color="auto"/>
              <w:left w:val="nil"/>
              <w:bottom w:val="nil"/>
              <w:right w:val="single" w:sz="4" w:space="0" w:color="auto"/>
            </w:tcBorders>
            <w:shd w:val="clear" w:color="auto" w:fill="auto"/>
            <w:vAlign w:val="center"/>
            <w:hideMark/>
          </w:tcPr>
          <w:p w:rsidR="00AD2E69" w:rsidRPr="00E278A7" w:rsidRDefault="00AD2E69" w:rsidP="00852088">
            <w:pPr>
              <w:spacing w:line="240" w:lineRule="auto"/>
              <w:jc w:val="center"/>
              <w:rPr>
                <w:rFonts w:eastAsia="Times New Roman" w:cs="Arial"/>
                <w:b/>
                <w:bCs/>
                <w:sz w:val="22"/>
                <w:lang w:eastAsia="pt-BR"/>
              </w:rPr>
            </w:pPr>
            <w:r w:rsidRPr="00E278A7">
              <w:rPr>
                <w:rFonts w:eastAsia="Times New Roman" w:cs="Arial"/>
                <w:b/>
                <w:bCs/>
                <w:sz w:val="22"/>
                <w:lang w:eastAsia="pt-BR"/>
              </w:rPr>
              <w:t>Índice de perdas           (%)</w:t>
            </w:r>
          </w:p>
        </w:tc>
        <w:tc>
          <w:tcPr>
            <w:tcW w:w="0" w:type="auto"/>
            <w:tcBorders>
              <w:top w:val="single" w:sz="8" w:space="0" w:color="auto"/>
              <w:left w:val="nil"/>
              <w:bottom w:val="nil"/>
              <w:right w:val="single" w:sz="4" w:space="0" w:color="auto"/>
            </w:tcBorders>
            <w:shd w:val="clear" w:color="auto" w:fill="auto"/>
            <w:vAlign w:val="center"/>
            <w:hideMark/>
          </w:tcPr>
          <w:p w:rsidR="00AD2E69" w:rsidRPr="00E278A7" w:rsidRDefault="00AD2E69" w:rsidP="00852088">
            <w:pPr>
              <w:spacing w:line="240" w:lineRule="auto"/>
              <w:jc w:val="center"/>
              <w:rPr>
                <w:rFonts w:eastAsia="Times New Roman" w:cs="Arial"/>
                <w:b/>
                <w:bCs/>
                <w:sz w:val="22"/>
                <w:lang w:eastAsia="pt-BR"/>
              </w:rPr>
            </w:pPr>
            <w:r w:rsidRPr="00E278A7">
              <w:rPr>
                <w:rFonts w:eastAsia="Times New Roman" w:cs="Arial"/>
                <w:b/>
                <w:bCs/>
                <w:sz w:val="22"/>
                <w:lang w:eastAsia="pt-BR"/>
              </w:rPr>
              <w:t xml:space="preserve">Demanda </w:t>
            </w:r>
            <w:r w:rsidRPr="00E278A7">
              <w:rPr>
                <w:rFonts w:eastAsia="Times New Roman" w:cs="Arial"/>
                <w:b/>
                <w:bCs/>
                <w:i/>
                <w:sz w:val="22"/>
                <w:lang w:eastAsia="pt-BR"/>
              </w:rPr>
              <w:t>per capita</w:t>
            </w:r>
            <w:r w:rsidRPr="00E278A7">
              <w:rPr>
                <w:rFonts w:eastAsia="Times New Roman" w:cs="Arial"/>
                <w:b/>
                <w:bCs/>
                <w:sz w:val="22"/>
                <w:lang w:eastAsia="pt-BR"/>
              </w:rPr>
              <w:t xml:space="preserve"> (L/hab.dia)</w:t>
            </w:r>
          </w:p>
        </w:tc>
        <w:tc>
          <w:tcPr>
            <w:tcW w:w="0" w:type="auto"/>
            <w:tcBorders>
              <w:top w:val="single" w:sz="8" w:space="0" w:color="auto"/>
              <w:left w:val="nil"/>
              <w:bottom w:val="nil"/>
              <w:right w:val="nil"/>
            </w:tcBorders>
            <w:shd w:val="clear" w:color="auto" w:fill="auto"/>
            <w:vAlign w:val="center"/>
            <w:hideMark/>
          </w:tcPr>
          <w:p w:rsidR="00AD2E69" w:rsidRPr="00E278A7" w:rsidRDefault="00AD2E69" w:rsidP="00852088">
            <w:pPr>
              <w:spacing w:line="240" w:lineRule="auto"/>
              <w:jc w:val="center"/>
              <w:rPr>
                <w:rFonts w:eastAsia="Times New Roman" w:cs="Arial"/>
                <w:b/>
                <w:bCs/>
                <w:sz w:val="22"/>
                <w:lang w:eastAsia="pt-BR"/>
              </w:rPr>
            </w:pPr>
            <w:r w:rsidRPr="00E278A7">
              <w:rPr>
                <w:rFonts w:eastAsia="Times New Roman" w:cs="Arial"/>
                <w:b/>
                <w:bCs/>
                <w:sz w:val="22"/>
                <w:lang w:eastAsia="pt-BR"/>
              </w:rPr>
              <w:t>Demanda de água                          (m³/d)</w:t>
            </w:r>
          </w:p>
        </w:tc>
        <w:tc>
          <w:tcPr>
            <w:tcW w:w="0" w:type="auto"/>
            <w:tcBorders>
              <w:top w:val="single" w:sz="8" w:space="0" w:color="auto"/>
              <w:left w:val="single" w:sz="4" w:space="0" w:color="auto"/>
              <w:bottom w:val="single" w:sz="8" w:space="0" w:color="auto"/>
              <w:right w:val="single" w:sz="4" w:space="0" w:color="auto"/>
            </w:tcBorders>
            <w:shd w:val="clear" w:color="auto" w:fill="auto"/>
            <w:vAlign w:val="center"/>
            <w:hideMark/>
          </w:tcPr>
          <w:p w:rsidR="00AD2E69" w:rsidRPr="00E278A7" w:rsidRDefault="00AD2E69" w:rsidP="00852088">
            <w:pPr>
              <w:spacing w:line="240" w:lineRule="auto"/>
              <w:jc w:val="center"/>
              <w:rPr>
                <w:rFonts w:eastAsia="Times New Roman" w:cs="Arial"/>
                <w:b/>
                <w:bCs/>
                <w:sz w:val="22"/>
                <w:lang w:eastAsia="pt-BR"/>
              </w:rPr>
            </w:pPr>
            <w:r w:rsidRPr="00E278A7">
              <w:rPr>
                <w:rFonts w:eastAsia="Times New Roman" w:cs="Arial"/>
                <w:b/>
                <w:bCs/>
                <w:sz w:val="22"/>
                <w:lang w:eastAsia="pt-BR"/>
              </w:rPr>
              <w:t>Demanda de água máxima diária (m³/dia)</w:t>
            </w:r>
          </w:p>
        </w:tc>
        <w:tc>
          <w:tcPr>
            <w:tcW w:w="0" w:type="auto"/>
            <w:tcBorders>
              <w:top w:val="single" w:sz="8" w:space="0" w:color="auto"/>
              <w:left w:val="nil"/>
              <w:bottom w:val="single" w:sz="8" w:space="0" w:color="auto"/>
              <w:right w:val="single" w:sz="8" w:space="0" w:color="auto"/>
            </w:tcBorders>
            <w:shd w:val="clear" w:color="000000" w:fill="FFFFFF"/>
            <w:vAlign w:val="center"/>
            <w:hideMark/>
          </w:tcPr>
          <w:p w:rsidR="00AD2E69" w:rsidRPr="00E278A7" w:rsidRDefault="00AD2E69" w:rsidP="00852088">
            <w:pPr>
              <w:spacing w:line="240" w:lineRule="auto"/>
              <w:jc w:val="center"/>
              <w:rPr>
                <w:rFonts w:eastAsia="Times New Roman" w:cs="Arial"/>
                <w:b/>
                <w:bCs/>
                <w:sz w:val="22"/>
                <w:lang w:eastAsia="pt-BR"/>
              </w:rPr>
            </w:pPr>
            <w:r w:rsidRPr="00E278A7">
              <w:rPr>
                <w:rFonts w:eastAsia="Times New Roman" w:cs="Arial"/>
                <w:b/>
                <w:bCs/>
                <w:sz w:val="22"/>
                <w:lang w:eastAsia="pt-BR"/>
              </w:rPr>
              <w:t>Demanda de Reservação (m³/dia)</w:t>
            </w:r>
          </w:p>
        </w:tc>
      </w:tr>
      <w:tr w:rsidR="00E278A7" w:rsidRPr="00E278A7" w:rsidTr="002F5CED">
        <w:trPr>
          <w:trHeight w:val="283"/>
        </w:trPr>
        <w:tc>
          <w:tcPr>
            <w:tcW w:w="0" w:type="auto"/>
            <w:tcBorders>
              <w:top w:val="single" w:sz="8" w:space="0" w:color="auto"/>
              <w:left w:val="single" w:sz="8" w:space="0" w:color="auto"/>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2017</w:t>
            </w:r>
          </w:p>
        </w:tc>
        <w:tc>
          <w:tcPr>
            <w:tcW w:w="0" w:type="auto"/>
            <w:tcBorders>
              <w:top w:val="single" w:sz="8" w:space="0" w:color="auto"/>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1.983</w:t>
            </w:r>
          </w:p>
        </w:tc>
        <w:tc>
          <w:tcPr>
            <w:tcW w:w="0" w:type="auto"/>
            <w:tcBorders>
              <w:top w:val="single" w:sz="8" w:space="0" w:color="auto"/>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100,00</w:t>
            </w:r>
          </w:p>
        </w:tc>
        <w:tc>
          <w:tcPr>
            <w:tcW w:w="1775" w:type="dxa"/>
            <w:tcBorders>
              <w:top w:val="single" w:sz="8" w:space="0" w:color="auto"/>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1.983</w:t>
            </w:r>
          </w:p>
        </w:tc>
        <w:tc>
          <w:tcPr>
            <w:tcW w:w="0" w:type="auto"/>
            <w:tcBorders>
              <w:top w:val="single" w:sz="8" w:space="0" w:color="auto"/>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137</w:t>
            </w:r>
          </w:p>
        </w:tc>
        <w:tc>
          <w:tcPr>
            <w:tcW w:w="0" w:type="auto"/>
            <w:tcBorders>
              <w:top w:val="single" w:sz="8" w:space="0" w:color="auto"/>
              <w:left w:val="nil"/>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22,0</w:t>
            </w:r>
          </w:p>
        </w:tc>
        <w:tc>
          <w:tcPr>
            <w:tcW w:w="0" w:type="auto"/>
            <w:tcBorders>
              <w:top w:val="single" w:sz="8" w:space="0" w:color="auto"/>
              <w:left w:val="nil"/>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176</w:t>
            </w:r>
          </w:p>
        </w:tc>
        <w:tc>
          <w:tcPr>
            <w:tcW w:w="0" w:type="auto"/>
            <w:tcBorders>
              <w:top w:val="single" w:sz="8" w:space="0" w:color="auto"/>
              <w:left w:val="nil"/>
              <w:bottom w:val="single" w:sz="4" w:space="0" w:color="auto"/>
              <w:right w:val="nil"/>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348,30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417,96</w:t>
            </w:r>
          </w:p>
        </w:tc>
        <w:tc>
          <w:tcPr>
            <w:tcW w:w="0" w:type="auto"/>
            <w:tcBorders>
              <w:top w:val="nil"/>
              <w:left w:val="nil"/>
              <w:bottom w:val="single" w:sz="4" w:space="0" w:color="auto"/>
              <w:right w:val="single" w:sz="8"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139,32</w:t>
            </w:r>
          </w:p>
        </w:tc>
      </w:tr>
      <w:tr w:rsidR="00E278A7" w:rsidRPr="00E278A7" w:rsidTr="002F5CED">
        <w:trPr>
          <w:trHeight w:val="283"/>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2018</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1.969</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100,00</w:t>
            </w:r>
          </w:p>
        </w:tc>
        <w:tc>
          <w:tcPr>
            <w:tcW w:w="1775" w:type="dxa"/>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1.969</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137</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22,0</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176</w:t>
            </w:r>
          </w:p>
        </w:tc>
        <w:tc>
          <w:tcPr>
            <w:tcW w:w="0" w:type="auto"/>
            <w:tcBorders>
              <w:top w:val="nil"/>
              <w:left w:val="nil"/>
              <w:bottom w:val="single" w:sz="4" w:space="0" w:color="auto"/>
              <w:right w:val="nil"/>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345,84</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415,00</w:t>
            </w:r>
          </w:p>
        </w:tc>
        <w:tc>
          <w:tcPr>
            <w:tcW w:w="0" w:type="auto"/>
            <w:tcBorders>
              <w:top w:val="nil"/>
              <w:left w:val="nil"/>
              <w:bottom w:val="single" w:sz="4" w:space="0" w:color="auto"/>
              <w:right w:val="single" w:sz="8"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138,33</w:t>
            </w:r>
          </w:p>
        </w:tc>
      </w:tr>
      <w:tr w:rsidR="00E278A7" w:rsidRPr="00E278A7" w:rsidTr="002F5CED">
        <w:trPr>
          <w:trHeight w:val="283"/>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2019</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1.959</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100,00</w:t>
            </w:r>
          </w:p>
        </w:tc>
        <w:tc>
          <w:tcPr>
            <w:tcW w:w="1775" w:type="dxa"/>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1.959</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138</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21,9</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176</w:t>
            </w:r>
          </w:p>
        </w:tc>
        <w:tc>
          <w:tcPr>
            <w:tcW w:w="0" w:type="auto"/>
            <w:tcBorders>
              <w:top w:val="nil"/>
              <w:left w:val="nil"/>
              <w:bottom w:val="single" w:sz="4" w:space="0" w:color="auto"/>
              <w:right w:val="nil"/>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345,27</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414,32</w:t>
            </w:r>
          </w:p>
        </w:tc>
        <w:tc>
          <w:tcPr>
            <w:tcW w:w="0" w:type="auto"/>
            <w:tcBorders>
              <w:top w:val="nil"/>
              <w:left w:val="nil"/>
              <w:bottom w:val="single" w:sz="4" w:space="0" w:color="auto"/>
              <w:right w:val="single" w:sz="8"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138,11</w:t>
            </w:r>
          </w:p>
        </w:tc>
      </w:tr>
      <w:tr w:rsidR="00E278A7" w:rsidRPr="00E278A7" w:rsidTr="002F5CED">
        <w:trPr>
          <w:trHeight w:val="283"/>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2020</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1.956</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100,00</w:t>
            </w:r>
          </w:p>
        </w:tc>
        <w:tc>
          <w:tcPr>
            <w:tcW w:w="1775" w:type="dxa"/>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1.956</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138</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21,8</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177</w:t>
            </w:r>
          </w:p>
        </w:tc>
        <w:tc>
          <w:tcPr>
            <w:tcW w:w="0" w:type="auto"/>
            <w:tcBorders>
              <w:top w:val="nil"/>
              <w:left w:val="nil"/>
              <w:bottom w:val="single" w:sz="4" w:space="0" w:color="auto"/>
              <w:right w:val="nil"/>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345,93</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415,11</w:t>
            </w:r>
          </w:p>
        </w:tc>
        <w:tc>
          <w:tcPr>
            <w:tcW w:w="0" w:type="auto"/>
            <w:tcBorders>
              <w:top w:val="nil"/>
              <w:left w:val="nil"/>
              <w:bottom w:val="single" w:sz="4" w:space="0" w:color="auto"/>
              <w:right w:val="single" w:sz="8"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138,37</w:t>
            </w:r>
          </w:p>
        </w:tc>
      </w:tr>
      <w:tr w:rsidR="00E278A7" w:rsidRPr="00E278A7" w:rsidTr="002F5CED">
        <w:trPr>
          <w:trHeight w:val="283"/>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2021</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1.942</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100,00</w:t>
            </w:r>
          </w:p>
        </w:tc>
        <w:tc>
          <w:tcPr>
            <w:tcW w:w="1775" w:type="dxa"/>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1.942</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139</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21,7</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177</w:t>
            </w:r>
          </w:p>
        </w:tc>
        <w:tc>
          <w:tcPr>
            <w:tcW w:w="0" w:type="auto"/>
            <w:tcBorders>
              <w:top w:val="nil"/>
              <w:left w:val="nil"/>
              <w:bottom w:val="single" w:sz="4" w:space="0" w:color="auto"/>
              <w:right w:val="nil"/>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344,62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413,55</w:t>
            </w:r>
          </w:p>
        </w:tc>
        <w:tc>
          <w:tcPr>
            <w:tcW w:w="0" w:type="auto"/>
            <w:tcBorders>
              <w:top w:val="nil"/>
              <w:left w:val="nil"/>
              <w:bottom w:val="single" w:sz="4" w:space="0" w:color="auto"/>
              <w:right w:val="single" w:sz="8"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137,85</w:t>
            </w:r>
          </w:p>
        </w:tc>
      </w:tr>
      <w:tr w:rsidR="00E278A7" w:rsidRPr="00E278A7" w:rsidTr="002F5CED">
        <w:trPr>
          <w:trHeight w:val="283"/>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2022</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1.925</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100,00</w:t>
            </w:r>
          </w:p>
        </w:tc>
        <w:tc>
          <w:tcPr>
            <w:tcW w:w="1775" w:type="dxa"/>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1.925</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140</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21,6</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178</w:t>
            </w:r>
          </w:p>
        </w:tc>
        <w:tc>
          <w:tcPr>
            <w:tcW w:w="0" w:type="auto"/>
            <w:tcBorders>
              <w:top w:val="nil"/>
              <w:left w:val="nil"/>
              <w:bottom w:val="single" w:sz="4" w:space="0" w:color="auto"/>
              <w:right w:val="nil"/>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342,77</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411,32</w:t>
            </w:r>
          </w:p>
        </w:tc>
        <w:tc>
          <w:tcPr>
            <w:tcW w:w="0" w:type="auto"/>
            <w:tcBorders>
              <w:top w:val="nil"/>
              <w:left w:val="nil"/>
              <w:bottom w:val="single" w:sz="4" w:space="0" w:color="auto"/>
              <w:right w:val="single" w:sz="8"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137,11</w:t>
            </w:r>
          </w:p>
        </w:tc>
      </w:tr>
      <w:tr w:rsidR="00E278A7" w:rsidRPr="00E278A7" w:rsidTr="002F5CED">
        <w:trPr>
          <w:trHeight w:val="283"/>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2023</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1.910</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100,00</w:t>
            </w:r>
          </w:p>
        </w:tc>
        <w:tc>
          <w:tcPr>
            <w:tcW w:w="1775" w:type="dxa"/>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1.910</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140</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21,5</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179</w:t>
            </w:r>
          </w:p>
        </w:tc>
        <w:tc>
          <w:tcPr>
            <w:tcW w:w="0" w:type="auto"/>
            <w:tcBorders>
              <w:top w:val="nil"/>
              <w:left w:val="nil"/>
              <w:bottom w:val="single" w:sz="4" w:space="0" w:color="auto"/>
              <w:right w:val="nil"/>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341,25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409,49</w:t>
            </w:r>
          </w:p>
        </w:tc>
        <w:tc>
          <w:tcPr>
            <w:tcW w:w="0" w:type="auto"/>
            <w:tcBorders>
              <w:top w:val="nil"/>
              <w:left w:val="nil"/>
              <w:bottom w:val="single" w:sz="4" w:space="0" w:color="auto"/>
              <w:right w:val="single" w:sz="8"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136,50</w:t>
            </w:r>
          </w:p>
        </w:tc>
      </w:tr>
      <w:tr w:rsidR="00E278A7" w:rsidRPr="00E278A7" w:rsidTr="002F5CED">
        <w:trPr>
          <w:trHeight w:val="283"/>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2024</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1.906</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100,00</w:t>
            </w:r>
          </w:p>
        </w:tc>
        <w:tc>
          <w:tcPr>
            <w:tcW w:w="1775" w:type="dxa"/>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1.906</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141</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21,4</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179</w:t>
            </w:r>
          </w:p>
        </w:tc>
        <w:tc>
          <w:tcPr>
            <w:tcW w:w="0" w:type="auto"/>
            <w:tcBorders>
              <w:top w:val="nil"/>
              <w:left w:val="nil"/>
              <w:bottom w:val="single" w:sz="4" w:space="0" w:color="auto"/>
              <w:right w:val="nil"/>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341,67</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410,01</w:t>
            </w:r>
          </w:p>
        </w:tc>
        <w:tc>
          <w:tcPr>
            <w:tcW w:w="0" w:type="auto"/>
            <w:tcBorders>
              <w:top w:val="nil"/>
              <w:left w:val="nil"/>
              <w:bottom w:val="single" w:sz="4" w:space="0" w:color="auto"/>
              <w:right w:val="single" w:sz="8"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136,67</w:t>
            </w:r>
          </w:p>
        </w:tc>
      </w:tr>
      <w:tr w:rsidR="00E278A7" w:rsidRPr="00E278A7" w:rsidTr="002F5CED">
        <w:trPr>
          <w:trHeight w:val="283"/>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2025</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1.891</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100,00</w:t>
            </w:r>
          </w:p>
        </w:tc>
        <w:tc>
          <w:tcPr>
            <w:tcW w:w="1775" w:type="dxa"/>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1.891</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142</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21,3</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180</w:t>
            </w:r>
          </w:p>
        </w:tc>
        <w:tc>
          <w:tcPr>
            <w:tcW w:w="0" w:type="auto"/>
            <w:tcBorders>
              <w:top w:val="nil"/>
              <w:left w:val="nil"/>
              <w:bottom w:val="single" w:sz="4" w:space="0" w:color="auto"/>
              <w:right w:val="nil"/>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340,12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408,14</w:t>
            </w:r>
          </w:p>
        </w:tc>
        <w:tc>
          <w:tcPr>
            <w:tcW w:w="0" w:type="auto"/>
            <w:tcBorders>
              <w:top w:val="nil"/>
              <w:left w:val="nil"/>
              <w:bottom w:val="single" w:sz="4" w:space="0" w:color="auto"/>
              <w:right w:val="single" w:sz="8"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136,05</w:t>
            </w:r>
          </w:p>
        </w:tc>
      </w:tr>
      <w:tr w:rsidR="00E278A7" w:rsidRPr="00E278A7" w:rsidTr="002F5CED">
        <w:trPr>
          <w:trHeight w:val="283"/>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2026</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1.881</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100,00</w:t>
            </w:r>
          </w:p>
        </w:tc>
        <w:tc>
          <w:tcPr>
            <w:tcW w:w="1775" w:type="dxa"/>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1.881</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142</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21,2</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180</w:t>
            </w:r>
          </w:p>
        </w:tc>
        <w:tc>
          <w:tcPr>
            <w:tcW w:w="0" w:type="auto"/>
            <w:tcBorders>
              <w:top w:val="nil"/>
              <w:left w:val="nil"/>
              <w:bottom w:val="single" w:sz="4" w:space="0" w:color="auto"/>
              <w:right w:val="nil"/>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339,44</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407,33</w:t>
            </w:r>
          </w:p>
        </w:tc>
        <w:tc>
          <w:tcPr>
            <w:tcW w:w="0" w:type="auto"/>
            <w:tcBorders>
              <w:top w:val="nil"/>
              <w:left w:val="nil"/>
              <w:bottom w:val="single" w:sz="4" w:space="0" w:color="auto"/>
              <w:right w:val="single" w:sz="8"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135,78</w:t>
            </w:r>
          </w:p>
        </w:tc>
      </w:tr>
      <w:tr w:rsidR="00E278A7" w:rsidRPr="00E278A7" w:rsidTr="002F5CED">
        <w:trPr>
          <w:trHeight w:val="283"/>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2027</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1.862</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100,00</w:t>
            </w:r>
          </w:p>
        </w:tc>
        <w:tc>
          <w:tcPr>
            <w:tcW w:w="1775" w:type="dxa"/>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1.862</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143</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21,1</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181</w:t>
            </w:r>
          </w:p>
        </w:tc>
        <w:tc>
          <w:tcPr>
            <w:tcW w:w="0" w:type="auto"/>
            <w:tcBorders>
              <w:top w:val="nil"/>
              <w:left w:val="nil"/>
              <w:bottom w:val="single" w:sz="4" w:space="0" w:color="auto"/>
              <w:right w:val="nil"/>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337,12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404,54</w:t>
            </w:r>
          </w:p>
        </w:tc>
        <w:tc>
          <w:tcPr>
            <w:tcW w:w="0" w:type="auto"/>
            <w:tcBorders>
              <w:top w:val="nil"/>
              <w:left w:val="nil"/>
              <w:bottom w:val="single" w:sz="4" w:space="0" w:color="auto"/>
              <w:right w:val="single" w:sz="8"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134,85</w:t>
            </w:r>
          </w:p>
        </w:tc>
      </w:tr>
      <w:tr w:rsidR="00E278A7" w:rsidRPr="00E278A7" w:rsidTr="002F5CED">
        <w:trPr>
          <w:trHeight w:val="283"/>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2028</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1.851</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100,00</w:t>
            </w:r>
          </w:p>
        </w:tc>
        <w:tc>
          <w:tcPr>
            <w:tcW w:w="1775" w:type="dxa"/>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1.851</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144</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21,0</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182</w:t>
            </w:r>
          </w:p>
        </w:tc>
        <w:tc>
          <w:tcPr>
            <w:tcW w:w="0" w:type="auto"/>
            <w:tcBorders>
              <w:top w:val="nil"/>
              <w:left w:val="nil"/>
              <w:bottom w:val="single" w:sz="4" w:space="0" w:color="auto"/>
              <w:right w:val="nil"/>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336,23</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403,47</w:t>
            </w:r>
          </w:p>
        </w:tc>
        <w:tc>
          <w:tcPr>
            <w:tcW w:w="0" w:type="auto"/>
            <w:tcBorders>
              <w:top w:val="nil"/>
              <w:left w:val="nil"/>
              <w:bottom w:val="single" w:sz="4" w:space="0" w:color="auto"/>
              <w:right w:val="single" w:sz="8"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134,49</w:t>
            </w:r>
          </w:p>
        </w:tc>
      </w:tr>
      <w:tr w:rsidR="00E278A7" w:rsidRPr="00E278A7" w:rsidTr="002F5CED">
        <w:trPr>
          <w:trHeight w:val="283"/>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2029</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1.836</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100,00</w:t>
            </w:r>
          </w:p>
        </w:tc>
        <w:tc>
          <w:tcPr>
            <w:tcW w:w="1775" w:type="dxa"/>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1.836</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144</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20,9</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182</w:t>
            </w:r>
          </w:p>
        </w:tc>
        <w:tc>
          <w:tcPr>
            <w:tcW w:w="0" w:type="auto"/>
            <w:tcBorders>
              <w:top w:val="nil"/>
              <w:left w:val="nil"/>
              <w:bottom w:val="single" w:sz="4" w:space="0" w:color="auto"/>
              <w:right w:val="nil"/>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334,59</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401,51</w:t>
            </w:r>
          </w:p>
        </w:tc>
        <w:tc>
          <w:tcPr>
            <w:tcW w:w="0" w:type="auto"/>
            <w:tcBorders>
              <w:top w:val="nil"/>
              <w:left w:val="nil"/>
              <w:bottom w:val="single" w:sz="4" w:space="0" w:color="auto"/>
              <w:right w:val="single" w:sz="8"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133,84</w:t>
            </w:r>
          </w:p>
        </w:tc>
      </w:tr>
      <w:tr w:rsidR="00E278A7" w:rsidRPr="00E278A7" w:rsidTr="002F5CED">
        <w:trPr>
          <w:trHeight w:val="283"/>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2030</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1.813</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100,00</w:t>
            </w:r>
          </w:p>
        </w:tc>
        <w:tc>
          <w:tcPr>
            <w:tcW w:w="1775" w:type="dxa"/>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1.813</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145</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20,8</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183</w:t>
            </w:r>
          </w:p>
        </w:tc>
        <w:tc>
          <w:tcPr>
            <w:tcW w:w="0" w:type="auto"/>
            <w:tcBorders>
              <w:top w:val="nil"/>
              <w:left w:val="nil"/>
              <w:bottom w:val="single" w:sz="4" w:space="0" w:color="auto"/>
              <w:right w:val="nil"/>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331,47</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397,76</w:t>
            </w:r>
          </w:p>
        </w:tc>
        <w:tc>
          <w:tcPr>
            <w:tcW w:w="0" w:type="auto"/>
            <w:tcBorders>
              <w:top w:val="nil"/>
              <w:left w:val="nil"/>
              <w:bottom w:val="single" w:sz="4" w:space="0" w:color="auto"/>
              <w:right w:val="single" w:sz="8"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132,59</w:t>
            </w:r>
          </w:p>
        </w:tc>
      </w:tr>
      <w:tr w:rsidR="00E278A7" w:rsidRPr="00E278A7" w:rsidTr="002F5CED">
        <w:trPr>
          <w:trHeight w:val="283"/>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2031</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1.795</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100,00</w:t>
            </w:r>
          </w:p>
        </w:tc>
        <w:tc>
          <w:tcPr>
            <w:tcW w:w="1775" w:type="dxa"/>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1.795</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145</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20,7</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183</w:t>
            </w:r>
          </w:p>
        </w:tc>
        <w:tc>
          <w:tcPr>
            <w:tcW w:w="0" w:type="auto"/>
            <w:tcBorders>
              <w:top w:val="nil"/>
              <w:left w:val="nil"/>
              <w:bottom w:val="single" w:sz="4" w:space="0" w:color="auto"/>
              <w:right w:val="nil"/>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329,23</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395,08</w:t>
            </w:r>
          </w:p>
        </w:tc>
        <w:tc>
          <w:tcPr>
            <w:tcW w:w="0" w:type="auto"/>
            <w:tcBorders>
              <w:top w:val="nil"/>
              <w:left w:val="nil"/>
              <w:bottom w:val="single" w:sz="4" w:space="0" w:color="auto"/>
              <w:right w:val="single" w:sz="8"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131,69</w:t>
            </w:r>
          </w:p>
        </w:tc>
      </w:tr>
      <w:tr w:rsidR="00E278A7" w:rsidRPr="00E278A7" w:rsidTr="002F5CED">
        <w:trPr>
          <w:trHeight w:val="283"/>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2032</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1.779</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100,00</w:t>
            </w:r>
          </w:p>
        </w:tc>
        <w:tc>
          <w:tcPr>
            <w:tcW w:w="1775" w:type="dxa"/>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1.779</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146</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20,6</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184</w:t>
            </w:r>
          </w:p>
        </w:tc>
        <w:tc>
          <w:tcPr>
            <w:tcW w:w="0" w:type="auto"/>
            <w:tcBorders>
              <w:top w:val="nil"/>
              <w:left w:val="nil"/>
              <w:bottom w:val="single" w:sz="4" w:space="0" w:color="auto"/>
              <w:right w:val="nil"/>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327,34</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392,81</w:t>
            </w:r>
          </w:p>
        </w:tc>
        <w:tc>
          <w:tcPr>
            <w:tcW w:w="0" w:type="auto"/>
            <w:tcBorders>
              <w:top w:val="nil"/>
              <w:left w:val="nil"/>
              <w:bottom w:val="single" w:sz="4" w:space="0" w:color="auto"/>
              <w:right w:val="single" w:sz="8"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130,94</w:t>
            </w:r>
          </w:p>
        </w:tc>
      </w:tr>
      <w:tr w:rsidR="00E278A7" w:rsidRPr="00E278A7" w:rsidTr="002F5CED">
        <w:trPr>
          <w:trHeight w:val="283"/>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2033</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1.770</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100,00</w:t>
            </w:r>
          </w:p>
        </w:tc>
        <w:tc>
          <w:tcPr>
            <w:tcW w:w="1775" w:type="dxa"/>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1.770</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147</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20,5</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185</w:t>
            </w:r>
          </w:p>
        </w:tc>
        <w:tc>
          <w:tcPr>
            <w:tcW w:w="0" w:type="auto"/>
            <w:tcBorders>
              <w:top w:val="nil"/>
              <w:left w:val="nil"/>
              <w:bottom w:val="single" w:sz="4" w:space="0" w:color="auto"/>
              <w:right w:val="nil"/>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326,73</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392,07</w:t>
            </w:r>
          </w:p>
        </w:tc>
        <w:tc>
          <w:tcPr>
            <w:tcW w:w="0" w:type="auto"/>
            <w:tcBorders>
              <w:top w:val="nil"/>
              <w:left w:val="nil"/>
              <w:bottom w:val="single" w:sz="4" w:space="0" w:color="auto"/>
              <w:right w:val="single" w:sz="8"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130,69</w:t>
            </w:r>
          </w:p>
        </w:tc>
      </w:tr>
      <w:tr w:rsidR="00E278A7" w:rsidRPr="00E278A7" w:rsidTr="002F5CED">
        <w:trPr>
          <w:trHeight w:val="283"/>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2034</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1.751</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100,00</w:t>
            </w:r>
          </w:p>
        </w:tc>
        <w:tc>
          <w:tcPr>
            <w:tcW w:w="1775" w:type="dxa"/>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1.751</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147</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20,4</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185</w:t>
            </w:r>
          </w:p>
        </w:tc>
        <w:tc>
          <w:tcPr>
            <w:tcW w:w="0" w:type="auto"/>
            <w:tcBorders>
              <w:top w:val="nil"/>
              <w:left w:val="nil"/>
              <w:bottom w:val="single" w:sz="4" w:space="0" w:color="auto"/>
              <w:right w:val="nil"/>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324,24</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389,09</w:t>
            </w:r>
          </w:p>
        </w:tc>
        <w:tc>
          <w:tcPr>
            <w:tcW w:w="0" w:type="auto"/>
            <w:tcBorders>
              <w:top w:val="nil"/>
              <w:left w:val="nil"/>
              <w:bottom w:val="single" w:sz="4" w:space="0" w:color="auto"/>
              <w:right w:val="single" w:sz="8"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129,70</w:t>
            </w:r>
          </w:p>
        </w:tc>
      </w:tr>
      <w:tr w:rsidR="00E278A7" w:rsidRPr="00E278A7" w:rsidTr="002F5CED">
        <w:trPr>
          <w:trHeight w:val="283"/>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2035</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1.730</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100,00</w:t>
            </w:r>
          </w:p>
        </w:tc>
        <w:tc>
          <w:tcPr>
            <w:tcW w:w="1775" w:type="dxa"/>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1.730</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148</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20,3</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186</w:t>
            </w:r>
          </w:p>
        </w:tc>
        <w:tc>
          <w:tcPr>
            <w:tcW w:w="0" w:type="auto"/>
            <w:tcBorders>
              <w:top w:val="nil"/>
              <w:left w:val="nil"/>
              <w:bottom w:val="single" w:sz="4" w:space="0" w:color="auto"/>
              <w:right w:val="nil"/>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321,36</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385,64</w:t>
            </w:r>
          </w:p>
        </w:tc>
        <w:tc>
          <w:tcPr>
            <w:tcW w:w="0" w:type="auto"/>
            <w:tcBorders>
              <w:top w:val="nil"/>
              <w:left w:val="nil"/>
              <w:bottom w:val="single" w:sz="4" w:space="0" w:color="auto"/>
              <w:right w:val="single" w:sz="8"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128,55</w:t>
            </w:r>
          </w:p>
        </w:tc>
      </w:tr>
      <w:tr w:rsidR="00E278A7" w:rsidRPr="00E278A7" w:rsidTr="002F5CED">
        <w:trPr>
          <w:trHeight w:val="283"/>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2036</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1.711</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100,00</w:t>
            </w:r>
          </w:p>
        </w:tc>
        <w:tc>
          <w:tcPr>
            <w:tcW w:w="1775" w:type="dxa"/>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1.711</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149</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20,2</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186</w:t>
            </w:r>
          </w:p>
        </w:tc>
        <w:tc>
          <w:tcPr>
            <w:tcW w:w="0" w:type="auto"/>
            <w:tcBorders>
              <w:top w:val="nil"/>
              <w:left w:val="nil"/>
              <w:bottom w:val="single" w:sz="4" w:space="0" w:color="auto"/>
              <w:right w:val="nil"/>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318,83</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382,60</w:t>
            </w:r>
          </w:p>
        </w:tc>
        <w:tc>
          <w:tcPr>
            <w:tcW w:w="0" w:type="auto"/>
            <w:tcBorders>
              <w:top w:val="nil"/>
              <w:left w:val="nil"/>
              <w:bottom w:val="single" w:sz="4" w:space="0" w:color="auto"/>
              <w:right w:val="single" w:sz="8"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127,53</w:t>
            </w:r>
          </w:p>
        </w:tc>
      </w:tr>
      <w:tr w:rsidR="00E278A7" w:rsidRPr="00E278A7" w:rsidTr="002F5CED">
        <w:trPr>
          <w:trHeight w:val="283"/>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2037</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1.702</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100,00</w:t>
            </w:r>
          </w:p>
        </w:tc>
        <w:tc>
          <w:tcPr>
            <w:tcW w:w="1775" w:type="dxa"/>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1.702</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149</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20,1</w:t>
            </w:r>
          </w:p>
        </w:tc>
        <w:tc>
          <w:tcPr>
            <w:tcW w:w="0" w:type="auto"/>
            <w:tcBorders>
              <w:top w:val="nil"/>
              <w:left w:val="nil"/>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187</w:t>
            </w:r>
          </w:p>
        </w:tc>
        <w:tc>
          <w:tcPr>
            <w:tcW w:w="0" w:type="auto"/>
            <w:tcBorders>
              <w:top w:val="nil"/>
              <w:left w:val="nil"/>
              <w:bottom w:val="single" w:sz="4" w:space="0" w:color="auto"/>
              <w:right w:val="nil"/>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318,14</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381,77</w:t>
            </w:r>
          </w:p>
        </w:tc>
        <w:tc>
          <w:tcPr>
            <w:tcW w:w="0" w:type="auto"/>
            <w:tcBorders>
              <w:top w:val="nil"/>
              <w:left w:val="nil"/>
              <w:bottom w:val="single" w:sz="4" w:space="0" w:color="auto"/>
              <w:right w:val="single" w:sz="8"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127,26</w:t>
            </w:r>
          </w:p>
        </w:tc>
      </w:tr>
      <w:tr w:rsidR="00E278A7" w:rsidRPr="00E278A7" w:rsidTr="002F5CED">
        <w:trPr>
          <w:trHeight w:val="283"/>
        </w:trPr>
        <w:tc>
          <w:tcPr>
            <w:tcW w:w="0" w:type="auto"/>
            <w:tcBorders>
              <w:top w:val="nil"/>
              <w:left w:val="single" w:sz="8" w:space="0" w:color="auto"/>
              <w:bottom w:val="single" w:sz="8"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2038</w:t>
            </w:r>
          </w:p>
        </w:tc>
        <w:tc>
          <w:tcPr>
            <w:tcW w:w="0" w:type="auto"/>
            <w:tcBorders>
              <w:top w:val="nil"/>
              <w:left w:val="nil"/>
              <w:bottom w:val="single" w:sz="8"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1.691</w:t>
            </w:r>
          </w:p>
        </w:tc>
        <w:tc>
          <w:tcPr>
            <w:tcW w:w="0" w:type="auto"/>
            <w:tcBorders>
              <w:top w:val="nil"/>
              <w:left w:val="nil"/>
              <w:bottom w:val="single" w:sz="8"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100,00</w:t>
            </w:r>
          </w:p>
        </w:tc>
        <w:tc>
          <w:tcPr>
            <w:tcW w:w="1775" w:type="dxa"/>
            <w:tcBorders>
              <w:top w:val="nil"/>
              <w:left w:val="nil"/>
              <w:bottom w:val="single" w:sz="8"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1.691</w:t>
            </w:r>
          </w:p>
        </w:tc>
        <w:tc>
          <w:tcPr>
            <w:tcW w:w="0" w:type="auto"/>
            <w:tcBorders>
              <w:top w:val="nil"/>
              <w:left w:val="nil"/>
              <w:bottom w:val="single" w:sz="8"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150</w:t>
            </w:r>
          </w:p>
        </w:tc>
        <w:tc>
          <w:tcPr>
            <w:tcW w:w="0" w:type="auto"/>
            <w:tcBorders>
              <w:top w:val="nil"/>
              <w:left w:val="nil"/>
              <w:bottom w:val="single" w:sz="8"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20,0</w:t>
            </w:r>
          </w:p>
        </w:tc>
        <w:tc>
          <w:tcPr>
            <w:tcW w:w="0" w:type="auto"/>
            <w:tcBorders>
              <w:top w:val="nil"/>
              <w:left w:val="nil"/>
              <w:bottom w:val="single" w:sz="8"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188</w:t>
            </w:r>
          </w:p>
        </w:tc>
        <w:tc>
          <w:tcPr>
            <w:tcW w:w="0" w:type="auto"/>
            <w:tcBorders>
              <w:top w:val="nil"/>
              <w:left w:val="nil"/>
              <w:bottom w:val="single" w:sz="8" w:space="0" w:color="auto"/>
              <w:right w:val="nil"/>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317,06</w:t>
            </w:r>
          </w:p>
        </w:tc>
        <w:tc>
          <w:tcPr>
            <w:tcW w:w="0" w:type="auto"/>
            <w:tcBorders>
              <w:top w:val="nil"/>
              <w:left w:val="single" w:sz="4" w:space="0" w:color="auto"/>
              <w:bottom w:val="single" w:sz="8" w:space="0" w:color="auto"/>
              <w:right w:val="single" w:sz="4" w:space="0" w:color="auto"/>
            </w:tcBorders>
            <w:shd w:val="clear" w:color="auto" w:fill="auto"/>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380,48</w:t>
            </w:r>
          </w:p>
        </w:tc>
        <w:tc>
          <w:tcPr>
            <w:tcW w:w="0" w:type="auto"/>
            <w:tcBorders>
              <w:top w:val="nil"/>
              <w:left w:val="nil"/>
              <w:bottom w:val="single" w:sz="8" w:space="0" w:color="auto"/>
              <w:right w:val="single" w:sz="8"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126,83</w:t>
            </w:r>
          </w:p>
        </w:tc>
      </w:tr>
    </w:tbl>
    <w:p w:rsidR="00193B74" w:rsidRPr="00363C60" w:rsidRDefault="00193B74" w:rsidP="00193B74">
      <w:pPr>
        <w:pStyle w:val="Fonte"/>
      </w:pPr>
      <w:r w:rsidRPr="00363C60">
        <w:t>Fonte: SHS, 2017.</w:t>
      </w:r>
      <w:r w:rsidRPr="00363C60">
        <w:br w:type="page"/>
      </w:r>
    </w:p>
    <w:p w:rsidR="00193B74" w:rsidRPr="00363C60" w:rsidRDefault="00193B74" w:rsidP="00193B74">
      <w:pPr>
        <w:pStyle w:val="Fonte"/>
        <w:sectPr w:rsidR="00193B74" w:rsidRPr="00363C60" w:rsidSect="00CE1CFD">
          <w:footerReference w:type="default" r:id="rId20"/>
          <w:pgSz w:w="16838" w:h="11906" w:orient="landscape"/>
          <w:pgMar w:top="1418" w:right="1134" w:bottom="1134" w:left="1134" w:header="709" w:footer="709" w:gutter="0"/>
          <w:cols w:space="708"/>
          <w:docGrid w:linePitch="360"/>
        </w:sectPr>
      </w:pPr>
    </w:p>
    <w:p w:rsidR="00193B74" w:rsidRPr="00363C60" w:rsidRDefault="00193B74" w:rsidP="00193B74">
      <w:pPr>
        <w:ind w:firstLine="709"/>
        <w:rPr>
          <w:rFonts w:cs="Arial"/>
          <w:szCs w:val="24"/>
        </w:rPr>
      </w:pPr>
      <w:r w:rsidRPr="00363C60">
        <w:rPr>
          <w:rFonts w:cs="Arial"/>
          <w:szCs w:val="24"/>
        </w:rPr>
        <w:lastRenderedPageBreak/>
        <w:t>Considerando-se que a oferta não se altere até o horizonte de planejamento, foi realizado o balanço da oferta e demanda do sistema de abastecimento de água, de acordo com a projeção populacional analisada (</w:t>
      </w:r>
      <w:r w:rsidRPr="00363C60">
        <w:fldChar w:fldCharType="begin"/>
      </w:r>
      <w:r w:rsidRPr="00363C60">
        <w:instrText xml:space="preserve"> REF _Ref436730849 \h  \* MERGEFORMAT </w:instrText>
      </w:r>
      <w:r w:rsidRPr="00363C60">
        <w:fldChar w:fldCharType="separate"/>
      </w:r>
      <w:r w:rsidR="004D1D76" w:rsidRPr="00363C60">
        <w:t xml:space="preserve">Quadro </w:t>
      </w:r>
      <w:r w:rsidR="004D1D76">
        <w:rPr>
          <w:noProof/>
        </w:rPr>
        <w:t>4</w:t>
      </w:r>
      <w:r w:rsidRPr="00363C60">
        <w:fldChar w:fldCharType="end"/>
      </w:r>
      <w:r w:rsidRPr="00363C60">
        <w:rPr>
          <w:rFonts w:cs="Arial"/>
          <w:szCs w:val="24"/>
        </w:rPr>
        <w:t xml:space="preserve">). </w:t>
      </w:r>
    </w:p>
    <w:p w:rsidR="00193B74" w:rsidRPr="00363C60" w:rsidRDefault="00193B74" w:rsidP="00193B74">
      <w:pPr>
        <w:pStyle w:val="Legenda"/>
        <w:rPr>
          <w:noProof/>
          <w:lang w:val="pt-BR"/>
        </w:rPr>
      </w:pPr>
      <w:bookmarkStart w:id="36" w:name="_Ref436730849"/>
      <w:bookmarkStart w:id="37" w:name="_Toc441657089"/>
      <w:bookmarkStart w:id="38" w:name="_Toc497469125"/>
      <w:r w:rsidRPr="00363C60">
        <w:t xml:space="preserve">Quadro </w:t>
      </w:r>
      <w:r w:rsidR="00D71C43">
        <w:fldChar w:fldCharType="begin"/>
      </w:r>
      <w:r w:rsidR="00D71C43">
        <w:instrText xml:space="preserve"> SEQ Quadro \* ARABIC </w:instrText>
      </w:r>
      <w:r w:rsidR="00D71C43">
        <w:fldChar w:fldCharType="separate"/>
      </w:r>
      <w:r w:rsidR="004D1D76">
        <w:rPr>
          <w:noProof/>
        </w:rPr>
        <w:t>4</w:t>
      </w:r>
      <w:r w:rsidR="00D71C43">
        <w:rPr>
          <w:noProof/>
        </w:rPr>
        <w:fldChar w:fldCharType="end"/>
      </w:r>
      <w:bookmarkEnd w:id="36"/>
      <w:r w:rsidRPr="00363C60">
        <w:t xml:space="preserve"> - </w:t>
      </w:r>
      <w:r w:rsidRPr="00363C60">
        <w:rPr>
          <w:noProof/>
        </w:rPr>
        <w:t xml:space="preserve">Balanço da oferta e demanda do SAA para </w:t>
      </w:r>
      <w:r w:rsidRPr="00363C60">
        <w:rPr>
          <w:noProof/>
          <w:lang w:val="pt-BR"/>
        </w:rPr>
        <w:t xml:space="preserve">a </w:t>
      </w:r>
      <w:r w:rsidRPr="00363C60">
        <w:rPr>
          <w:noProof/>
        </w:rPr>
        <w:t>sede no cenário normativo</w:t>
      </w:r>
      <w:bookmarkEnd w:id="37"/>
      <w:bookmarkEnd w:id="38"/>
    </w:p>
    <w:tbl>
      <w:tblPr>
        <w:tblW w:w="0" w:type="auto"/>
        <w:tblInd w:w="55" w:type="dxa"/>
        <w:tblCellMar>
          <w:left w:w="70" w:type="dxa"/>
          <w:right w:w="70" w:type="dxa"/>
        </w:tblCellMar>
        <w:tblLook w:val="04A0" w:firstRow="1" w:lastRow="0" w:firstColumn="1" w:lastColumn="0" w:noHBand="0" w:noVBand="1"/>
      </w:tblPr>
      <w:tblGrid>
        <w:gridCol w:w="630"/>
        <w:gridCol w:w="1654"/>
        <w:gridCol w:w="1069"/>
        <w:gridCol w:w="1543"/>
        <w:gridCol w:w="1272"/>
        <w:gridCol w:w="1745"/>
        <w:gridCol w:w="1526"/>
      </w:tblGrid>
      <w:tr w:rsidR="00E278A7" w:rsidRPr="00E278A7" w:rsidTr="00852088">
        <w:trPr>
          <w:trHeight w:val="340"/>
        </w:trPr>
        <w:tc>
          <w:tcPr>
            <w:tcW w:w="0" w:type="auto"/>
            <w:tcBorders>
              <w:top w:val="single" w:sz="8" w:space="0" w:color="auto"/>
              <w:left w:val="single" w:sz="8" w:space="0" w:color="auto"/>
              <w:bottom w:val="nil"/>
              <w:right w:val="single" w:sz="4" w:space="0" w:color="auto"/>
            </w:tcBorders>
            <w:shd w:val="clear" w:color="auto" w:fill="auto"/>
            <w:vAlign w:val="center"/>
            <w:hideMark/>
          </w:tcPr>
          <w:p w:rsidR="00AD2E69" w:rsidRPr="00E278A7" w:rsidRDefault="00AD2E69" w:rsidP="00852088">
            <w:pPr>
              <w:spacing w:line="240" w:lineRule="auto"/>
              <w:jc w:val="center"/>
              <w:rPr>
                <w:rFonts w:eastAsia="Times New Roman" w:cs="Arial"/>
                <w:b/>
                <w:bCs/>
                <w:sz w:val="22"/>
                <w:lang w:eastAsia="pt-BR"/>
              </w:rPr>
            </w:pPr>
            <w:r w:rsidRPr="00E278A7">
              <w:rPr>
                <w:rFonts w:eastAsia="Times New Roman" w:cs="Arial"/>
                <w:b/>
                <w:bCs/>
                <w:sz w:val="22"/>
                <w:lang w:eastAsia="pt-BR"/>
              </w:rPr>
              <w:t>Ano</w:t>
            </w:r>
          </w:p>
        </w:tc>
        <w:tc>
          <w:tcPr>
            <w:tcW w:w="0" w:type="auto"/>
            <w:tcBorders>
              <w:top w:val="single" w:sz="8" w:space="0" w:color="auto"/>
              <w:left w:val="nil"/>
              <w:bottom w:val="nil"/>
              <w:right w:val="single" w:sz="4" w:space="0" w:color="auto"/>
            </w:tcBorders>
            <w:shd w:val="clear" w:color="auto" w:fill="auto"/>
            <w:vAlign w:val="center"/>
            <w:hideMark/>
          </w:tcPr>
          <w:p w:rsidR="00AD2E69" w:rsidRPr="00E278A7" w:rsidRDefault="00AD2E69" w:rsidP="00852088">
            <w:pPr>
              <w:spacing w:line="240" w:lineRule="auto"/>
              <w:jc w:val="center"/>
              <w:rPr>
                <w:rFonts w:eastAsia="Times New Roman" w:cs="Arial"/>
                <w:b/>
                <w:bCs/>
                <w:sz w:val="22"/>
                <w:lang w:eastAsia="pt-BR"/>
              </w:rPr>
            </w:pPr>
            <w:r w:rsidRPr="00E278A7">
              <w:rPr>
                <w:rFonts w:eastAsia="Times New Roman" w:cs="Arial"/>
                <w:b/>
                <w:bCs/>
                <w:sz w:val="22"/>
                <w:lang w:eastAsia="pt-BR"/>
              </w:rPr>
              <w:t>População urbana atendida (hab.)</w:t>
            </w:r>
          </w:p>
        </w:tc>
        <w:tc>
          <w:tcPr>
            <w:tcW w:w="0" w:type="auto"/>
            <w:tcBorders>
              <w:top w:val="single" w:sz="8" w:space="0" w:color="auto"/>
              <w:left w:val="nil"/>
              <w:bottom w:val="nil"/>
              <w:right w:val="single" w:sz="4" w:space="0" w:color="auto"/>
            </w:tcBorders>
            <w:shd w:val="clear" w:color="000000" w:fill="FFFFFF"/>
            <w:vAlign w:val="center"/>
            <w:hideMark/>
          </w:tcPr>
          <w:p w:rsidR="00AD2E69" w:rsidRPr="00E278A7" w:rsidRDefault="00AD2E69" w:rsidP="00852088">
            <w:pPr>
              <w:spacing w:line="240" w:lineRule="auto"/>
              <w:jc w:val="center"/>
              <w:rPr>
                <w:rFonts w:eastAsia="Times New Roman" w:cs="Arial"/>
                <w:b/>
                <w:bCs/>
                <w:sz w:val="22"/>
                <w:lang w:eastAsia="pt-BR"/>
              </w:rPr>
            </w:pPr>
            <w:r w:rsidRPr="00E278A7">
              <w:rPr>
                <w:rFonts w:eastAsia="Times New Roman" w:cs="Arial"/>
                <w:b/>
                <w:bCs/>
                <w:sz w:val="22"/>
                <w:lang w:eastAsia="pt-BR"/>
              </w:rPr>
              <w:t>Oferta de água (m³/d)</w:t>
            </w:r>
          </w:p>
        </w:tc>
        <w:tc>
          <w:tcPr>
            <w:tcW w:w="0" w:type="auto"/>
            <w:tcBorders>
              <w:top w:val="single" w:sz="8" w:space="0" w:color="auto"/>
              <w:left w:val="nil"/>
              <w:bottom w:val="nil"/>
              <w:right w:val="single" w:sz="4" w:space="0" w:color="auto"/>
            </w:tcBorders>
            <w:shd w:val="clear" w:color="000000" w:fill="FFFFFF"/>
            <w:vAlign w:val="center"/>
            <w:hideMark/>
          </w:tcPr>
          <w:p w:rsidR="00AD2E69" w:rsidRPr="00E278A7" w:rsidRDefault="00AD2E69" w:rsidP="00852088">
            <w:pPr>
              <w:spacing w:line="240" w:lineRule="auto"/>
              <w:jc w:val="center"/>
              <w:rPr>
                <w:rFonts w:eastAsia="Times New Roman" w:cs="Arial"/>
                <w:b/>
                <w:bCs/>
                <w:sz w:val="22"/>
                <w:lang w:eastAsia="pt-BR"/>
              </w:rPr>
            </w:pPr>
            <w:r w:rsidRPr="00E278A7">
              <w:rPr>
                <w:rFonts w:eastAsia="Times New Roman" w:cs="Arial"/>
                <w:b/>
                <w:bCs/>
                <w:sz w:val="22"/>
                <w:lang w:eastAsia="pt-BR"/>
              </w:rPr>
              <w:t>Demanda de água                (m³/d)</w:t>
            </w:r>
          </w:p>
        </w:tc>
        <w:tc>
          <w:tcPr>
            <w:tcW w:w="0" w:type="auto"/>
            <w:tcBorders>
              <w:top w:val="single" w:sz="8" w:space="0" w:color="auto"/>
              <w:left w:val="nil"/>
              <w:bottom w:val="nil"/>
              <w:right w:val="single" w:sz="8" w:space="0" w:color="auto"/>
            </w:tcBorders>
            <w:shd w:val="clear" w:color="000000" w:fill="FFFFFF"/>
            <w:vAlign w:val="center"/>
            <w:hideMark/>
          </w:tcPr>
          <w:p w:rsidR="00AD2E69" w:rsidRPr="00E278A7" w:rsidRDefault="00AD2E69" w:rsidP="00852088">
            <w:pPr>
              <w:spacing w:line="240" w:lineRule="auto"/>
              <w:jc w:val="center"/>
              <w:rPr>
                <w:rFonts w:eastAsia="Times New Roman" w:cs="Arial"/>
                <w:b/>
                <w:bCs/>
                <w:sz w:val="22"/>
                <w:lang w:eastAsia="pt-BR"/>
              </w:rPr>
            </w:pPr>
            <w:r w:rsidRPr="00E278A7">
              <w:rPr>
                <w:rFonts w:eastAsia="Times New Roman" w:cs="Arial"/>
                <w:b/>
                <w:bCs/>
                <w:sz w:val="22"/>
                <w:lang w:eastAsia="pt-BR"/>
              </w:rPr>
              <w:t>Saldo do Balanço (m³/d)</w:t>
            </w:r>
          </w:p>
        </w:tc>
        <w:tc>
          <w:tcPr>
            <w:tcW w:w="0" w:type="auto"/>
            <w:tcBorders>
              <w:top w:val="single" w:sz="8" w:space="0" w:color="auto"/>
              <w:left w:val="nil"/>
              <w:bottom w:val="nil"/>
              <w:right w:val="single" w:sz="8" w:space="0" w:color="auto"/>
            </w:tcBorders>
            <w:shd w:val="clear" w:color="000000" w:fill="FFFFFF"/>
            <w:vAlign w:val="center"/>
          </w:tcPr>
          <w:p w:rsidR="00AD2E69" w:rsidRPr="00E278A7" w:rsidRDefault="00AD2E69" w:rsidP="00852088">
            <w:pPr>
              <w:spacing w:line="240" w:lineRule="auto"/>
              <w:jc w:val="center"/>
              <w:rPr>
                <w:rFonts w:eastAsia="Times New Roman" w:cs="Arial"/>
                <w:b/>
                <w:bCs/>
                <w:sz w:val="22"/>
                <w:lang w:eastAsia="pt-BR"/>
              </w:rPr>
            </w:pPr>
            <w:r w:rsidRPr="00E278A7">
              <w:rPr>
                <w:rFonts w:eastAsia="Times New Roman" w:cs="Arial"/>
                <w:b/>
                <w:bCs/>
                <w:sz w:val="22"/>
                <w:lang w:eastAsia="pt-BR"/>
              </w:rPr>
              <w:t>Demanda de Reservação (m³/dia)</w:t>
            </w:r>
          </w:p>
        </w:tc>
        <w:tc>
          <w:tcPr>
            <w:tcW w:w="0" w:type="auto"/>
            <w:tcBorders>
              <w:top w:val="single" w:sz="8" w:space="0" w:color="auto"/>
              <w:left w:val="nil"/>
              <w:bottom w:val="nil"/>
              <w:right w:val="single" w:sz="8" w:space="0" w:color="auto"/>
            </w:tcBorders>
            <w:shd w:val="clear" w:color="000000" w:fill="FFFFFF"/>
            <w:vAlign w:val="center"/>
          </w:tcPr>
          <w:p w:rsidR="00AD2E69" w:rsidRPr="00E278A7" w:rsidRDefault="00AD2E69" w:rsidP="00852088">
            <w:pPr>
              <w:spacing w:line="240" w:lineRule="auto"/>
              <w:jc w:val="center"/>
              <w:rPr>
                <w:rFonts w:eastAsia="Times New Roman" w:cs="Arial"/>
                <w:b/>
                <w:bCs/>
                <w:sz w:val="22"/>
                <w:lang w:eastAsia="pt-BR"/>
              </w:rPr>
            </w:pPr>
            <w:r w:rsidRPr="00E278A7">
              <w:rPr>
                <w:rFonts w:eastAsia="Times New Roman" w:cs="Arial"/>
                <w:b/>
                <w:bCs/>
                <w:sz w:val="22"/>
                <w:lang w:eastAsia="pt-BR"/>
              </w:rPr>
              <w:t>Reservação atual m³</w:t>
            </w:r>
          </w:p>
        </w:tc>
      </w:tr>
      <w:tr w:rsidR="00E278A7" w:rsidRPr="00E278A7" w:rsidTr="002F5CED">
        <w:trPr>
          <w:trHeight w:val="340"/>
        </w:trPr>
        <w:tc>
          <w:tcPr>
            <w:tcW w:w="0" w:type="auto"/>
            <w:tcBorders>
              <w:top w:val="single" w:sz="8" w:space="0" w:color="auto"/>
              <w:left w:val="single" w:sz="8" w:space="0" w:color="auto"/>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2017</w:t>
            </w:r>
          </w:p>
        </w:tc>
        <w:tc>
          <w:tcPr>
            <w:tcW w:w="0" w:type="auto"/>
            <w:tcBorders>
              <w:top w:val="single" w:sz="8" w:space="0" w:color="auto"/>
              <w:left w:val="nil"/>
              <w:bottom w:val="single" w:sz="4" w:space="0" w:color="auto"/>
              <w:right w:val="single" w:sz="4" w:space="0" w:color="auto"/>
            </w:tcBorders>
            <w:shd w:val="clear" w:color="000000" w:fill="FFFFFF"/>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1.983</w:t>
            </w:r>
          </w:p>
        </w:tc>
        <w:tc>
          <w:tcPr>
            <w:tcW w:w="0" w:type="auto"/>
            <w:tcBorders>
              <w:top w:val="single" w:sz="8" w:space="0" w:color="auto"/>
              <w:left w:val="nil"/>
              <w:bottom w:val="single" w:sz="4" w:space="0" w:color="auto"/>
              <w:right w:val="single" w:sz="4" w:space="0" w:color="auto"/>
            </w:tcBorders>
            <w:shd w:val="clear" w:color="000000" w:fill="FFFFFF"/>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453,60</w:t>
            </w:r>
          </w:p>
        </w:tc>
        <w:tc>
          <w:tcPr>
            <w:tcW w:w="0" w:type="auto"/>
            <w:tcBorders>
              <w:top w:val="single" w:sz="8" w:space="0" w:color="auto"/>
              <w:left w:val="nil"/>
              <w:bottom w:val="single" w:sz="4" w:space="0" w:color="auto"/>
              <w:right w:val="single" w:sz="4"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348,30</w:t>
            </w:r>
          </w:p>
        </w:tc>
        <w:tc>
          <w:tcPr>
            <w:tcW w:w="0" w:type="auto"/>
            <w:tcBorders>
              <w:top w:val="single" w:sz="8" w:space="0" w:color="auto"/>
              <w:left w:val="nil"/>
              <w:bottom w:val="single" w:sz="4" w:space="0" w:color="auto"/>
              <w:right w:val="single" w:sz="8"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105,30</w:t>
            </w:r>
          </w:p>
        </w:tc>
        <w:tc>
          <w:tcPr>
            <w:tcW w:w="0" w:type="auto"/>
            <w:tcBorders>
              <w:top w:val="single" w:sz="8" w:space="0" w:color="auto"/>
              <w:left w:val="nil"/>
              <w:bottom w:val="single" w:sz="4" w:space="0" w:color="auto"/>
              <w:right w:val="single" w:sz="8" w:space="0" w:color="auto"/>
            </w:tcBorders>
            <w:shd w:val="clear" w:color="000000" w:fill="FFFFFF"/>
            <w:vAlign w:val="center"/>
          </w:tcPr>
          <w:p w:rsidR="002F5CED" w:rsidRPr="00E278A7" w:rsidRDefault="002F5CED" w:rsidP="00106CB4">
            <w:pPr>
              <w:spacing w:line="240" w:lineRule="auto"/>
              <w:jc w:val="center"/>
              <w:rPr>
                <w:rFonts w:eastAsia="Times New Roman" w:cs="Arial"/>
                <w:sz w:val="22"/>
                <w:lang w:eastAsia="pt-BR"/>
              </w:rPr>
            </w:pPr>
            <w:r w:rsidRPr="00E278A7">
              <w:rPr>
                <w:rFonts w:eastAsia="Times New Roman" w:cs="Arial"/>
                <w:sz w:val="22"/>
                <w:lang w:eastAsia="pt-BR"/>
              </w:rPr>
              <w:t>139,32</w:t>
            </w:r>
          </w:p>
        </w:tc>
        <w:tc>
          <w:tcPr>
            <w:tcW w:w="0" w:type="auto"/>
            <w:tcBorders>
              <w:top w:val="single" w:sz="8" w:space="0" w:color="auto"/>
              <w:left w:val="nil"/>
              <w:bottom w:val="single" w:sz="4" w:space="0" w:color="auto"/>
              <w:right w:val="single" w:sz="8" w:space="0" w:color="auto"/>
            </w:tcBorders>
            <w:shd w:val="clear" w:color="000000" w:fill="FFFFFF"/>
            <w:vAlign w:val="center"/>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80</w:t>
            </w:r>
          </w:p>
        </w:tc>
      </w:tr>
      <w:tr w:rsidR="00E278A7" w:rsidRPr="00E278A7" w:rsidTr="002F5CED">
        <w:trPr>
          <w:trHeight w:val="340"/>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2018</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1.969</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345,84</w:t>
            </w:r>
          </w:p>
        </w:tc>
        <w:tc>
          <w:tcPr>
            <w:tcW w:w="0" w:type="auto"/>
            <w:tcBorders>
              <w:top w:val="nil"/>
              <w:left w:val="nil"/>
              <w:bottom w:val="single" w:sz="4" w:space="0" w:color="auto"/>
              <w:right w:val="single" w:sz="8"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107,76</w:t>
            </w:r>
          </w:p>
        </w:tc>
        <w:tc>
          <w:tcPr>
            <w:tcW w:w="0" w:type="auto"/>
            <w:tcBorders>
              <w:top w:val="nil"/>
              <w:left w:val="nil"/>
              <w:bottom w:val="single" w:sz="4" w:space="0" w:color="auto"/>
              <w:right w:val="single" w:sz="8" w:space="0" w:color="auto"/>
            </w:tcBorders>
            <w:shd w:val="clear" w:color="000000" w:fill="FFFFFF"/>
            <w:vAlign w:val="center"/>
          </w:tcPr>
          <w:p w:rsidR="002F5CED" w:rsidRPr="00E278A7" w:rsidRDefault="002F5CED" w:rsidP="00106CB4">
            <w:pPr>
              <w:spacing w:line="240" w:lineRule="auto"/>
              <w:jc w:val="center"/>
              <w:rPr>
                <w:rFonts w:eastAsia="Times New Roman" w:cs="Arial"/>
                <w:sz w:val="22"/>
                <w:lang w:eastAsia="pt-BR"/>
              </w:rPr>
            </w:pPr>
            <w:r w:rsidRPr="00E278A7">
              <w:rPr>
                <w:rFonts w:eastAsia="Times New Roman" w:cs="Arial"/>
                <w:sz w:val="22"/>
                <w:lang w:eastAsia="pt-BR"/>
              </w:rPr>
              <w:t>138,33</w:t>
            </w:r>
          </w:p>
        </w:tc>
        <w:tc>
          <w:tcPr>
            <w:tcW w:w="0" w:type="auto"/>
            <w:tcBorders>
              <w:top w:val="nil"/>
              <w:left w:val="nil"/>
              <w:bottom w:val="single" w:sz="4" w:space="0" w:color="auto"/>
              <w:right w:val="single" w:sz="8" w:space="0" w:color="auto"/>
            </w:tcBorders>
            <w:shd w:val="clear" w:color="000000" w:fill="FFFFFF"/>
            <w:vAlign w:val="center"/>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80</w:t>
            </w:r>
          </w:p>
        </w:tc>
      </w:tr>
      <w:tr w:rsidR="00E278A7" w:rsidRPr="00E278A7" w:rsidTr="002F5CED">
        <w:trPr>
          <w:trHeight w:val="340"/>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2019</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1.959</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345,27</w:t>
            </w:r>
          </w:p>
        </w:tc>
        <w:tc>
          <w:tcPr>
            <w:tcW w:w="0" w:type="auto"/>
            <w:tcBorders>
              <w:top w:val="nil"/>
              <w:left w:val="nil"/>
              <w:bottom w:val="single" w:sz="4" w:space="0" w:color="auto"/>
              <w:right w:val="single" w:sz="8"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108,33</w:t>
            </w:r>
          </w:p>
        </w:tc>
        <w:tc>
          <w:tcPr>
            <w:tcW w:w="0" w:type="auto"/>
            <w:tcBorders>
              <w:top w:val="nil"/>
              <w:left w:val="nil"/>
              <w:bottom w:val="single" w:sz="4" w:space="0" w:color="auto"/>
              <w:right w:val="single" w:sz="8" w:space="0" w:color="auto"/>
            </w:tcBorders>
            <w:shd w:val="clear" w:color="000000" w:fill="FFFFFF"/>
            <w:vAlign w:val="center"/>
          </w:tcPr>
          <w:p w:rsidR="002F5CED" w:rsidRPr="00E278A7" w:rsidRDefault="002F5CED" w:rsidP="00106CB4">
            <w:pPr>
              <w:spacing w:line="240" w:lineRule="auto"/>
              <w:jc w:val="center"/>
              <w:rPr>
                <w:rFonts w:eastAsia="Times New Roman" w:cs="Arial"/>
                <w:sz w:val="22"/>
                <w:lang w:eastAsia="pt-BR"/>
              </w:rPr>
            </w:pPr>
            <w:r w:rsidRPr="00E278A7">
              <w:rPr>
                <w:rFonts w:eastAsia="Times New Roman" w:cs="Arial"/>
                <w:sz w:val="22"/>
                <w:lang w:eastAsia="pt-BR"/>
              </w:rPr>
              <w:t>138,11</w:t>
            </w:r>
          </w:p>
        </w:tc>
        <w:tc>
          <w:tcPr>
            <w:tcW w:w="0" w:type="auto"/>
            <w:tcBorders>
              <w:top w:val="nil"/>
              <w:left w:val="nil"/>
              <w:bottom w:val="single" w:sz="4" w:space="0" w:color="auto"/>
              <w:right w:val="single" w:sz="8" w:space="0" w:color="auto"/>
            </w:tcBorders>
            <w:shd w:val="clear" w:color="000000" w:fill="FFFFFF"/>
            <w:vAlign w:val="center"/>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80</w:t>
            </w:r>
          </w:p>
        </w:tc>
      </w:tr>
      <w:tr w:rsidR="00E278A7" w:rsidRPr="00E278A7" w:rsidTr="002F5CED">
        <w:trPr>
          <w:trHeight w:val="340"/>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2020</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1.956</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345,93</w:t>
            </w:r>
          </w:p>
        </w:tc>
        <w:tc>
          <w:tcPr>
            <w:tcW w:w="0" w:type="auto"/>
            <w:tcBorders>
              <w:top w:val="nil"/>
              <w:left w:val="nil"/>
              <w:bottom w:val="single" w:sz="4" w:space="0" w:color="auto"/>
              <w:right w:val="single" w:sz="8"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107,67</w:t>
            </w:r>
          </w:p>
        </w:tc>
        <w:tc>
          <w:tcPr>
            <w:tcW w:w="0" w:type="auto"/>
            <w:tcBorders>
              <w:top w:val="nil"/>
              <w:left w:val="nil"/>
              <w:bottom w:val="single" w:sz="4" w:space="0" w:color="auto"/>
              <w:right w:val="single" w:sz="8" w:space="0" w:color="auto"/>
            </w:tcBorders>
            <w:shd w:val="clear" w:color="000000" w:fill="FFFFFF"/>
            <w:vAlign w:val="center"/>
          </w:tcPr>
          <w:p w:rsidR="002F5CED" w:rsidRPr="00E278A7" w:rsidRDefault="002F5CED" w:rsidP="00106CB4">
            <w:pPr>
              <w:spacing w:line="240" w:lineRule="auto"/>
              <w:jc w:val="center"/>
              <w:rPr>
                <w:rFonts w:eastAsia="Times New Roman" w:cs="Arial"/>
                <w:sz w:val="22"/>
                <w:lang w:eastAsia="pt-BR"/>
              </w:rPr>
            </w:pPr>
            <w:r w:rsidRPr="00E278A7">
              <w:rPr>
                <w:rFonts w:eastAsia="Times New Roman" w:cs="Arial"/>
                <w:sz w:val="22"/>
                <w:lang w:eastAsia="pt-BR"/>
              </w:rPr>
              <w:t>138,37</w:t>
            </w:r>
          </w:p>
        </w:tc>
        <w:tc>
          <w:tcPr>
            <w:tcW w:w="0" w:type="auto"/>
            <w:tcBorders>
              <w:top w:val="nil"/>
              <w:left w:val="nil"/>
              <w:bottom w:val="single" w:sz="4" w:space="0" w:color="auto"/>
              <w:right w:val="single" w:sz="8" w:space="0" w:color="auto"/>
            </w:tcBorders>
            <w:shd w:val="clear" w:color="000000" w:fill="FFFFFF"/>
            <w:vAlign w:val="center"/>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80</w:t>
            </w:r>
          </w:p>
        </w:tc>
      </w:tr>
      <w:tr w:rsidR="00E278A7" w:rsidRPr="00E278A7" w:rsidTr="002F5CED">
        <w:trPr>
          <w:trHeight w:val="340"/>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2021</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1.942</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344,62</w:t>
            </w:r>
          </w:p>
        </w:tc>
        <w:tc>
          <w:tcPr>
            <w:tcW w:w="0" w:type="auto"/>
            <w:tcBorders>
              <w:top w:val="nil"/>
              <w:left w:val="nil"/>
              <w:bottom w:val="single" w:sz="4" w:space="0" w:color="auto"/>
              <w:right w:val="single" w:sz="8"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108,98</w:t>
            </w:r>
          </w:p>
        </w:tc>
        <w:tc>
          <w:tcPr>
            <w:tcW w:w="0" w:type="auto"/>
            <w:tcBorders>
              <w:top w:val="nil"/>
              <w:left w:val="nil"/>
              <w:bottom w:val="single" w:sz="4" w:space="0" w:color="auto"/>
              <w:right w:val="single" w:sz="8" w:space="0" w:color="auto"/>
            </w:tcBorders>
            <w:shd w:val="clear" w:color="000000" w:fill="FFFFFF"/>
            <w:vAlign w:val="center"/>
          </w:tcPr>
          <w:p w:rsidR="002F5CED" w:rsidRPr="00E278A7" w:rsidRDefault="002F5CED" w:rsidP="00106CB4">
            <w:pPr>
              <w:spacing w:line="240" w:lineRule="auto"/>
              <w:jc w:val="center"/>
              <w:rPr>
                <w:rFonts w:eastAsia="Times New Roman" w:cs="Arial"/>
                <w:sz w:val="22"/>
                <w:lang w:eastAsia="pt-BR"/>
              </w:rPr>
            </w:pPr>
            <w:r w:rsidRPr="00E278A7">
              <w:rPr>
                <w:rFonts w:eastAsia="Times New Roman" w:cs="Arial"/>
                <w:sz w:val="22"/>
                <w:lang w:eastAsia="pt-BR"/>
              </w:rPr>
              <w:t>137,85</w:t>
            </w:r>
          </w:p>
        </w:tc>
        <w:tc>
          <w:tcPr>
            <w:tcW w:w="0" w:type="auto"/>
            <w:tcBorders>
              <w:top w:val="nil"/>
              <w:left w:val="nil"/>
              <w:bottom w:val="single" w:sz="4" w:space="0" w:color="auto"/>
              <w:right w:val="single" w:sz="8" w:space="0" w:color="auto"/>
            </w:tcBorders>
            <w:shd w:val="clear" w:color="000000" w:fill="FFFFFF"/>
            <w:vAlign w:val="center"/>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80</w:t>
            </w:r>
          </w:p>
        </w:tc>
      </w:tr>
      <w:tr w:rsidR="00E278A7" w:rsidRPr="00E278A7" w:rsidTr="002F5CED">
        <w:trPr>
          <w:trHeight w:val="340"/>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2022</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1.925</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342,77</w:t>
            </w:r>
          </w:p>
        </w:tc>
        <w:tc>
          <w:tcPr>
            <w:tcW w:w="0" w:type="auto"/>
            <w:tcBorders>
              <w:top w:val="nil"/>
              <w:left w:val="nil"/>
              <w:bottom w:val="single" w:sz="4" w:space="0" w:color="auto"/>
              <w:right w:val="single" w:sz="8"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110,83</w:t>
            </w:r>
          </w:p>
        </w:tc>
        <w:tc>
          <w:tcPr>
            <w:tcW w:w="0" w:type="auto"/>
            <w:tcBorders>
              <w:top w:val="nil"/>
              <w:left w:val="nil"/>
              <w:bottom w:val="single" w:sz="4" w:space="0" w:color="auto"/>
              <w:right w:val="single" w:sz="8" w:space="0" w:color="auto"/>
            </w:tcBorders>
            <w:shd w:val="clear" w:color="000000" w:fill="FFFFFF"/>
            <w:vAlign w:val="center"/>
          </w:tcPr>
          <w:p w:rsidR="002F5CED" w:rsidRPr="00E278A7" w:rsidRDefault="002F5CED" w:rsidP="00106CB4">
            <w:pPr>
              <w:spacing w:line="240" w:lineRule="auto"/>
              <w:jc w:val="center"/>
              <w:rPr>
                <w:rFonts w:eastAsia="Times New Roman" w:cs="Arial"/>
                <w:sz w:val="22"/>
                <w:lang w:eastAsia="pt-BR"/>
              </w:rPr>
            </w:pPr>
            <w:r w:rsidRPr="00E278A7">
              <w:rPr>
                <w:rFonts w:eastAsia="Times New Roman" w:cs="Arial"/>
                <w:sz w:val="22"/>
                <w:lang w:eastAsia="pt-BR"/>
              </w:rPr>
              <w:t>137,11</w:t>
            </w:r>
          </w:p>
        </w:tc>
        <w:tc>
          <w:tcPr>
            <w:tcW w:w="0" w:type="auto"/>
            <w:tcBorders>
              <w:top w:val="nil"/>
              <w:left w:val="nil"/>
              <w:bottom w:val="single" w:sz="4" w:space="0" w:color="auto"/>
              <w:right w:val="single" w:sz="8" w:space="0" w:color="auto"/>
            </w:tcBorders>
            <w:shd w:val="clear" w:color="000000" w:fill="FFFFFF"/>
            <w:vAlign w:val="center"/>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80</w:t>
            </w:r>
          </w:p>
        </w:tc>
      </w:tr>
      <w:tr w:rsidR="00E278A7" w:rsidRPr="00E278A7" w:rsidTr="002F5CED">
        <w:trPr>
          <w:trHeight w:val="340"/>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2023</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1.910</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341,25</w:t>
            </w:r>
          </w:p>
        </w:tc>
        <w:tc>
          <w:tcPr>
            <w:tcW w:w="0" w:type="auto"/>
            <w:tcBorders>
              <w:top w:val="nil"/>
              <w:left w:val="nil"/>
              <w:bottom w:val="single" w:sz="4" w:space="0" w:color="auto"/>
              <w:right w:val="single" w:sz="8"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112,35</w:t>
            </w:r>
          </w:p>
        </w:tc>
        <w:tc>
          <w:tcPr>
            <w:tcW w:w="0" w:type="auto"/>
            <w:tcBorders>
              <w:top w:val="nil"/>
              <w:left w:val="nil"/>
              <w:bottom w:val="single" w:sz="4" w:space="0" w:color="auto"/>
              <w:right w:val="single" w:sz="8" w:space="0" w:color="auto"/>
            </w:tcBorders>
            <w:shd w:val="clear" w:color="000000" w:fill="FFFFFF"/>
            <w:vAlign w:val="center"/>
          </w:tcPr>
          <w:p w:rsidR="002F5CED" w:rsidRPr="00E278A7" w:rsidRDefault="002F5CED" w:rsidP="00106CB4">
            <w:pPr>
              <w:spacing w:line="240" w:lineRule="auto"/>
              <w:jc w:val="center"/>
              <w:rPr>
                <w:rFonts w:eastAsia="Times New Roman" w:cs="Arial"/>
                <w:sz w:val="22"/>
                <w:lang w:eastAsia="pt-BR"/>
              </w:rPr>
            </w:pPr>
            <w:r w:rsidRPr="00E278A7">
              <w:rPr>
                <w:rFonts w:eastAsia="Times New Roman" w:cs="Arial"/>
                <w:sz w:val="22"/>
                <w:lang w:eastAsia="pt-BR"/>
              </w:rPr>
              <w:t>136,50</w:t>
            </w:r>
          </w:p>
        </w:tc>
        <w:tc>
          <w:tcPr>
            <w:tcW w:w="0" w:type="auto"/>
            <w:tcBorders>
              <w:top w:val="nil"/>
              <w:left w:val="nil"/>
              <w:bottom w:val="single" w:sz="4" w:space="0" w:color="auto"/>
              <w:right w:val="single" w:sz="8" w:space="0" w:color="auto"/>
            </w:tcBorders>
            <w:shd w:val="clear" w:color="000000" w:fill="FFFFFF"/>
            <w:vAlign w:val="center"/>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80</w:t>
            </w:r>
          </w:p>
        </w:tc>
      </w:tr>
      <w:tr w:rsidR="00E278A7" w:rsidRPr="00E278A7" w:rsidTr="002F5CED">
        <w:trPr>
          <w:trHeight w:val="340"/>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2024</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1.906</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341,67</w:t>
            </w:r>
          </w:p>
        </w:tc>
        <w:tc>
          <w:tcPr>
            <w:tcW w:w="0" w:type="auto"/>
            <w:tcBorders>
              <w:top w:val="nil"/>
              <w:left w:val="nil"/>
              <w:bottom w:val="single" w:sz="4" w:space="0" w:color="auto"/>
              <w:right w:val="single" w:sz="8"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111,93</w:t>
            </w:r>
          </w:p>
        </w:tc>
        <w:tc>
          <w:tcPr>
            <w:tcW w:w="0" w:type="auto"/>
            <w:tcBorders>
              <w:top w:val="nil"/>
              <w:left w:val="nil"/>
              <w:bottom w:val="single" w:sz="4" w:space="0" w:color="auto"/>
              <w:right w:val="single" w:sz="8" w:space="0" w:color="auto"/>
            </w:tcBorders>
            <w:shd w:val="clear" w:color="000000" w:fill="FFFFFF"/>
            <w:vAlign w:val="center"/>
          </w:tcPr>
          <w:p w:rsidR="002F5CED" w:rsidRPr="00E278A7" w:rsidRDefault="002F5CED" w:rsidP="00106CB4">
            <w:pPr>
              <w:spacing w:line="240" w:lineRule="auto"/>
              <w:jc w:val="center"/>
              <w:rPr>
                <w:rFonts w:eastAsia="Times New Roman" w:cs="Arial"/>
                <w:sz w:val="22"/>
                <w:lang w:eastAsia="pt-BR"/>
              </w:rPr>
            </w:pPr>
            <w:r w:rsidRPr="00E278A7">
              <w:rPr>
                <w:rFonts w:eastAsia="Times New Roman" w:cs="Arial"/>
                <w:sz w:val="22"/>
                <w:lang w:eastAsia="pt-BR"/>
              </w:rPr>
              <w:t>136,67</w:t>
            </w:r>
          </w:p>
        </w:tc>
        <w:tc>
          <w:tcPr>
            <w:tcW w:w="0" w:type="auto"/>
            <w:tcBorders>
              <w:top w:val="nil"/>
              <w:left w:val="nil"/>
              <w:bottom w:val="single" w:sz="4" w:space="0" w:color="auto"/>
              <w:right w:val="single" w:sz="8" w:space="0" w:color="auto"/>
            </w:tcBorders>
            <w:shd w:val="clear" w:color="000000" w:fill="FFFFFF"/>
            <w:vAlign w:val="center"/>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80</w:t>
            </w:r>
          </w:p>
        </w:tc>
      </w:tr>
      <w:tr w:rsidR="00E278A7" w:rsidRPr="00E278A7" w:rsidTr="002F5CED">
        <w:trPr>
          <w:trHeight w:val="340"/>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2025</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1.891</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340,12</w:t>
            </w:r>
          </w:p>
        </w:tc>
        <w:tc>
          <w:tcPr>
            <w:tcW w:w="0" w:type="auto"/>
            <w:tcBorders>
              <w:top w:val="nil"/>
              <w:left w:val="nil"/>
              <w:bottom w:val="single" w:sz="4" w:space="0" w:color="auto"/>
              <w:right w:val="single" w:sz="8"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113,48</w:t>
            </w:r>
          </w:p>
        </w:tc>
        <w:tc>
          <w:tcPr>
            <w:tcW w:w="0" w:type="auto"/>
            <w:tcBorders>
              <w:top w:val="nil"/>
              <w:left w:val="nil"/>
              <w:bottom w:val="single" w:sz="4" w:space="0" w:color="auto"/>
              <w:right w:val="single" w:sz="8" w:space="0" w:color="auto"/>
            </w:tcBorders>
            <w:shd w:val="clear" w:color="000000" w:fill="FFFFFF"/>
            <w:vAlign w:val="center"/>
          </w:tcPr>
          <w:p w:rsidR="002F5CED" w:rsidRPr="00E278A7" w:rsidRDefault="002F5CED" w:rsidP="00106CB4">
            <w:pPr>
              <w:spacing w:line="240" w:lineRule="auto"/>
              <w:jc w:val="center"/>
              <w:rPr>
                <w:rFonts w:eastAsia="Times New Roman" w:cs="Arial"/>
                <w:sz w:val="22"/>
                <w:lang w:eastAsia="pt-BR"/>
              </w:rPr>
            </w:pPr>
            <w:r w:rsidRPr="00E278A7">
              <w:rPr>
                <w:rFonts w:eastAsia="Times New Roman" w:cs="Arial"/>
                <w:sz w:val="22"/>
                <w:lang w:eastAsia="pt-BR"/>
              </w:rPr>
              <w:t>136,05</w:t>
            </w:r>
          </w:p>
        </w:tc>
        <w:tc>
          <w:tcPr>
            <w:tcW w:w="0" w:type="auto"/>
            <w:tcBorders>
              <w:top w:val="nil"/>
              <w:left w:val="nil"/>
              <w:bottom w:val="single" w:sz="4" w:space="0" w:color="auto"/>
              <w:right w:val="single" w:sz="8" w:space="0" w:color="auto"/>
            </w:tcBorders>
            <w:shd w:val="clear" w:color="000000" w:fill="FFFFFF"/>
            <w:vAlign w:val="center"/>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80</w:t>
            </w:r>
          </w:p>
        </w:tc>
      </w:tr>
      <w:tr w:rsidR="00E278A7" w:rsidRPr="00E278A7" w:rsidTr="002F5CED">
        <w:trPr>
          <w:trHeight w:val="340"/>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2026</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1.881</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339,44</w:t>
            </w:r>
          </w:p>
        </w:tc>
        <w:tc>
          <w:tcPr>
            <w:tcW w:w="0" w:type="auto"/>
            <w:tcBorders>
              <w:top w:val="nil"/>
              <w:left w:val="nil"/>
              <w:bottom w:val="single" w:sz="4" w:space="0" w:color="auto"/>
              <w:right w:val="single" w:sz="8"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114,16</w:t>
            </w:r>
          </w:p>
        </w:tc>
        <w:tc>
          <w:tcPr>
            <w:tcW w:w="0" w:type="auto"/>
            <w:tcBorders>
              <w:top w:val="nil"/>
              <w:left w:val="nil"/>
              <w:bottom w:val="single" w:sz="4" w:space="0" w:color="auto"/>
              <w:right w:val="single" w:sz="8" w:space="0" w:color="auto"/>
            </w:tcBorders>
            <w:shd w:val="clear" w:color="000000" w:fill="FFFFFF"/>
            <w:vAlign w:val="center"/>
          </w:tcPr>
          <w:p w:rsidR="002F5CED" w:rsidRPr="00E278A7" w:rsidRDefault="002F5CED" w:rsidP="00106CB4">
            <w:pPr>
              <w:spacing w:line="240" w:lineRule="auto"/>
              <w:jc w:val="center"/>
              <w:rPr>
                <w:rFonts w:eastAsia="Times New Roman" w:cs="Arial"/>
                <w:sz w:val="22"/>
                <w:lang w:eastAsia="pt-BR"/>
              </w:rPr>
            </w:pPr>
            <w:r w:rsidRPr="00E278A7">
              <w:rPr>
                <w:rFonts w:eastAsia="Times New Roman" w:cs="Arial"/>
                <w:sz w:val="22"/>
                <w:lang w:eastAsia="pt-BR"/>
              </w:rPr>
              <w:t>135,78</w:t>
            </w:r>
          </w:p>
        </w:tc>
        <w:tc>
          <w:tcPr>
            <w:tcW w:w="0" w:type="auto"/>
            <w:tcBorders>
              <w:top w:val="nil"/>
              <w:left w:val="nil"/>
              <w:bottom w:val="single" w:sz="4" w:space="0" w:color="auto"/>
              <w:right w:val="single" w:sz="8" w:space="0" w:color="auto"/>
            </w:tcBorders>
            <w:shd w:val="clear" w:color="000000" w:fill="FFFFFF"/>
            <w:vAlign w:val="center"/>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80</w:t>
            </w:r>
          </w:p>
        </w:tc>
      </w:tr>
      <w:tr w:rsidR="00E278A7" w:rsidRPr="00E278A7" w:rsidTr="002F5CED">
        <w:trPr>
          <w:trHeight w:val="340"/>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2027</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1.862</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337,12</w:t>
            </w:r>
          </w:p>
        </w:tc>
        <w:tc>
          <w:tcPr>
            <w:tcW w:w="0" w:type="auto"/>
            <w:tcBorders>
              <w:top w:val="nil"/>
              <w:left w:val="nil"/>
              <w:bottom w:val="single" w:sz="4" w:space="0" w:color="auto"/>
              <w:right w:val="single" w:sz="8"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116,48</w:t>
            </w:r>
          </w:p>
        </w:tc>
        <w:tc>
          <w:tcPr>
            <w:tcW w:w="0" w:type="auto"/>
            <w:tcBorders>
              <w:top w:val="nil"/>
              <w:left w:val="nil"/>
              <w:bottom w:val="single" w:sz="4" w:space="0" w:color="auto"/>
              <w:right w:val="single" w:sz="8" w:space="0" w:color="auto"/>
            </w:tcBorders>
            <w:shd w:val="clear" w:color="000000" w:fill="FFFFFF"/>
            <w:vAlign w:val="center"/>
          </w:tcPr>
          <w:p w:rsidR="002F5CED" w:rsidRPr="00E278A7" w:rsidRDefault="002F5CED" w:rsidP="00106CB4">
            <w:pPr>
              <w:spacing w:line="240" w:lineRule="auto"/>
              <w:jc w:val="center"/>
              <w:rPr>
                <w:rFonts w:eastAsia="Times New Roman" w:cs="Arial"/>
                <w:sz w:val="22"/>
                <w:lang w:eastAsia="pt-BR"/>
              </w:rPr>
            </w:pPr>
            <w:r w:rsidRPr="00E278A7">
              <w:rPr>
                <w:rFonts w:eastAsia="Times New Roman" w:cs="Arial"/>
                <w:sz w:val="22"/>
                <w:lang w:eastAsia="pt-BR"/>
              </w:rPr>
              <w:t>134,85</w:t>
            </w:r>
          </w:p>
        </w:tc>
        <w:tc>
          <w:tcPr>
            <w:tcW w:w="0" w:type="auto"/>
            <w:tcBorders>
              <w:top w:val="nil"/>
              <w:left w:val="nil"/>
              <w:bottom w:val="single" w:sz="4" w:space="0" w:color="auto"/>
              <w:right w:val="single" w:sz="8" w:space="0" w:color="auto"/>
            </w:tcBorders>
            <w:shd w:val="clear" w:color="000000" w:fill="FFFFFF"/>
            <w:vAlign w:val="center"/>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80</w:t>
            </w:r>
          </w:p>
        </w:tc>
      </w:tr>
      <w:tr w:rsidR="00E278A7" w:rsidRPr="00E278A7" w:rsidTr="002F5CED">
        <w:trPr>
          <w:trHeight w:val="340"/>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2028</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1.851</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336,23</w:t>
            </w:r>
          </w:p>
        </w:tc>
        <w:tc>
          <w:tcPr>
            <w:tcW w:w="0" w:type="auto"/>
            <w:tcBorders>
              <w:top w:val="nil"/>
              <w:left w:val="nil"/>
              <w:bottom w:val="single" w:sz="4" w:space="0" w:color="auto"/>
              <w:right w:val="single" w:sz="8"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117,37</w:t>
            </w:r>
          </w:p>
        </w:tc>
        <w:tc>
          <w:tcPr>
            <w:tcW w:w="0" w:type="auto"/>
            <w:tcBorders>
              <w:top w:val="nil"/>
              <w:left w:val="nil"/>
              <w:bottom w:val="single" w:sz="4" w:space="0" w:color="auto"/>
              <w:right w:val="single" w:sz="8" w:space="0" w:color="auto"/>
            </w:tcBorders>
            <w:shd w:val="clear" w:color="000000" w:fill="FFFFFF"/>
            <w:vAlign w:val="center"/>
          </w:tcPr>
          <w:p w:rsidR="002F5CED" w:rsidRPr="00E278A7" w:rsidRDefault="002F5CED" w:rsidP="00106CB4">
            <w:pPr>
              <w:spacing w:line="240" w:lineRule="auto"/>
              <w:jc w:val="center"/>
              <w:rPr>
                <w:rFonts w:eastAsia="Times New Roman" w:cs="Arial"/>
                <w:sz w:val="22"/>
                <w:lang w:eastAsia="pt-BR"/>
              </w:rPr>
            </w:pPr>
            <w:r w:rsidRPr="00E278A7">
              <w:rPr>
                <w:rFonts w:eastAsia="Times New Roman" w:cs="Arial"/>
                <w:sz w:val="22"/>
                <w:lang w:eastAsia="pt-BR"/>
              </w:rPr>
              <w:t>134,49</w:t>
            </w:r>
          </w:p>
        </w:tc>
        <w:tc>
          <w:tcPr>
            <w:tcW w:w="0" w:type="auto"/>
            <w:tcBorders>
              <w:top w:val="nil"/>
              <w:left w:val="nil"/>
              <w:bottom w:val="single" w:sz="4" w:space="0" w:color="auto"/>
              <w:right w:val="single" w:sz="8" w:space="0" w:color="auto"/>
            </w:tcBorders>
            <w:shd w:val="clear" w:color="000000" w:fill="FFFFFF"/>
            <w:vAlign w:val="center"/>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80</w:t>
            </w:r>
          </w:p>
        </w:tc>
      </w:tr>
      <w:tr w:rsidR="00E278A7" w:rsidRPr="00E278A7" w:rsidTr="002F5CED">
        <w:trPr>
          <w:trHeight w:val="340"/>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2029</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1.836</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334,59</w:t>
            </w:r>
          </w:p>
        </w:tc>
        <w:tc>
          <w:tcPr>
            <w:tcW w:w="0" w:type="auto"/>
            <w:tcBorders>
              <w:top w:val="nil"/>
              <w:left w:val="nil"/>
              <w:bottom w:val="single" w:sz="4" w:space="0" w:color="auto"/>
              <w:right w:val="single" w:sz="8"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119,01</w:t>
            </w:r>
          </w:p>
        </w:tc>
        <w:tc>
          <w:tcPr>
            <w:tcW w:w="0" w:type="auto"/>
            <w:tcBorders>
              <w:top w:val="nil"/>
              <w:left w:val="nil"/>
              <w:bottom w:val="single" w:sz="4" w:space="0" w:color="auto"/>
              <w:right w:val="single" w:sz="8" w:space="0" w:color="auto"/>
            </w:tcBorders>
            <w:shd w:val="clear" w:color="000000" w:fill="FFFFFF"/>
            <w:vAlign w:val="center"/>
          </w:tcPr>
          <w:p w:rsidR="002F5CED" w:rsidRPr="00E278A7" w:rsidRDefault="002F5CED" w:rsidP="00106CB4">
            <w:pPr>
              <w:spacing w:line="240" w:lineRule="auto"/>
              <w:jc w:val="center"/>
              <w:rPr>
                <w:rFonts w:eastAsia="Times New Roman" w:cs="Arial"/>
                <w:sz w:val="22"/>
                <w:lang w:eastAsia="pt-BR"/>
              </w:rPr>
            </w:pPr>
            <w:r w:rsidRPr="00E278A7">
              <w:rPr>
                <w:rFonts w:eastAsia="Times New Roman" w:cs="Arial"/>
                <w:sz w:val="22"/>
                <w:lang w:eastAsia="pt-BR"/>
              </w:rPr>
              <w:t>133,84</w:t>
            </w:r>
          </w:p>
        </w:tc>
        <w:tc>
          <w:tcPr>
            <w:tcW w:w="0" w:type="auto"/>
            <w:tcBorders>
              <w:top w:val="nil"/>
              <w:left w:val="nil"/>
              <w:bottom w:val="single" w:sz="4" w:space="0" w:color="auto"/>
              <w:right w:val="single" w:sz="8" w:space="0" w:color="auto"/>
            </w:tcBorders>
            <w:shd w:val="clear" w:color="000000" w:fill="FFFFFF"/>
            <w:vAlign w:val="center"/>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80</w:t>
            </w:r>
          </w:p>
        </w:tc>
      </w:tr>
      <w:tr w:rsidR="00E278A7" w:rsidRPr="00E278A7" w:rsidTr="002F5CED">
        <w:trPr>
          <w:trHeight w:val="340"/>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2030</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1.813</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331,47</w:t>
            </w:r>
          </w:p>
        </w:tc>
        <w:tc>
          <w:tcPr>
            <w:tcW w:w="0" w:type="auto"/>
            <w:tcBorders>
              <w:top w:val="nil"/>
              <w:left w:val="nil"/>
              <w:bottom w:val="single" w:sz="4" w:space="0" w:color="auto"/>
              <w:right w:val="single" w:sz="8"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122,13</w:t>
            </w:r>
          </w:p>
        </w:tc>
        <w:tc>
          <w:tcPr>
            <w:tcW w:w="0" w:type="auto"/>
            <w:tcBorders>
              <w:top w:val="nil"/>
              <w:left w:val="nil"/>
              <w:bottom w:val="single" w:sz="4" w:space="0" w:color="auto"/>
              <w:right w:val="single" w:sz="8" w:space="0" w:color="auto"/>
            </w:tcBorders>
            <w:shd w:val="clear" w:color="000000" w:fill="FFFFFF"/>
            <w:vAlign w:val="center"/>
          </w:tcPr>
          <w:p w:rsidR="002F5CED" w:rsidRPr="00E278A7" w:rsidRDefault="002F5CED" w:rsidP="00106CB4">
            <w:pPr>
              <w:spacing w:line="240" w:lineRule="auto"/>
              <w:jc w:val="center"/>
              <w:rPr>
                <w:rFonts w:eastAsia="Times New Roman" w:cs="Arial"/>
                <w:sz w:val="22"/>
                <w:lang w:eastAsia="pt-BR"/>
              </w:rPr>
            </w:pPr>
            <w:r w:rsidRPr="00E278A7">
              <w:rPr>
                <w:rFonts w:eastAsia="Times New Roman" w:cs="Arial"/>
                <w:sz w:val="22"/>
                <w:lang w:eastAsia="pt-BR"/>
              </w:rPr>
              <w:t>132,59</w:t>
            </w:r>
          </w:p>
        </w:tc>
        <w:tc>
          <w:tcPr>
            <w:tcW w:w="0" w:type="auto"/>
            <w:tcBorders>
              <w:top w:val="nil"/>
              <w:left w:val="nil"/>
              <w:bottom w:val="single" w:sz="4" w:space="0" w:color="auto"/>
              <w:right w:val="single" w:sz="8" w:space="0" w:color="auto"/>
            </w:tcBorders>
            <w:shd w:val="clear" w:color="000000" w:fill="FFFFFF"/>
            <w:vAlign w:val="center"/>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80</w:t>
            </w:r>
          </w:p>
        </w:tc>
      </w:tr>
      <w:tr w:rsidR="00E278A7" w:rsidRPr="00E278A7" w:rsidTr="002F5CED">
        <w:trPr>
          <w:trHeight w:val="340"/>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2031</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1.795</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329,23</w:t>
            </w:r>
          </w:p>
        </w:tc>
        <w:tc>
          <w:tcPr>
            <w:tcW w:w="0" w:type="auto"/>
            <w:tcBorders>
              <w:top w:val="nil"/>
              <w:left w:val="nil"/>
              <w:bottom w:val="single" w:sz="4" w:space="0" w:color="auto"/>
              <w:right w:val="single" w:sz="8"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124,37</w:t>
            </w:r>
          </w:p>
        </w:tc>
        <w:tc>
          <w:tcPr>
            <w:tcW w:w="0" w:type="auto"/>
            <w:tcBorders>
              <w:top w:val="nil"/>
              <w:left w:val="nil"/>
              <w:bottom w:val="single" w:sz="4" w:space="0" w:color="auto"/>
              <w:right w:val="single" w:sz="8" w:space="0" w:color="auto"/>
            </w:tcBorders>
            <w:shd w:val="clear" w:color="000000" w:fill="FFFFFF"/>
            <w:vAlign w:val="center"/>
          </w:tcPr>
          <w:p w:rsidR="002F5CED" w:rsidRPr="00E278A7" w:rsidRDefault="002F5CED" w:rsidP="00106CB4">
            <w:pPr>
              <w:spacing w:line="240" w:lineRule="auto"/>
              <w:jc w:val="center"/>
              <w:rPr>
                <w:rFonts w:eastAsia="Times New Roman" w:cs="Arial"/>
                <w:sz w:val="22"/>
                <w:lang w:eastAsia="pt-BR"/>
              </w:rPr>
            </w:pPr>
            <w:r w:rsidRPr="00E278A7">
              <w:rPr>
                <w:rFonts w:eastAsia="Times New Roman" w:cs="Arial"/>
                <w:sz w:val="22"/>
                <w:lang w:eastAsia="pt-BR"/>
              </w:rPr>
              <w:t>131,69</w:t>
            </w:r>
          </w:p>
        </w:tc>
        <w:tc>
          <w:tcPr>
            <w:tcW w:w="0" w:type="auto"/>
            <w:tcBorders>
              <w:top w:val="nil"/>
              <w:left w:val="nil"/>
              <w:bottom w:val="single" w:sz="4" w:space="0" w:color="auto"/>
              <w:right w:val="single" w:sz="8" w:space="0" w:color="auto"/>
            </w:tcBorders>
            <w:shd w:val="clear" w:color="000000" w:fill="FFFFFF"/>
            <w:vAlign w:val="center"/>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80</w:t>
            </w:r>
          </w:p>
        </w:tc>
      </w:tr>
      <w:tr w:rsidR="00E278A7" w:rsidRPr="00E278A7" w:rsidTr="002F5CED">
        <w:trPr>
          <w:trHeight w:val="340"/>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2032</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1.779</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327,34</w:t>
            </w:r>
          </w:p>
        </w:tc>
        <w:tc>
          <w:tcPr>
            <w:tcW w:w="0" w:type="auto"/>
            <w:tcBorders>
              <w:top w:val="nil"/>
              <w:left w:val="nil"/>
              <w:bottom w:val="single" w:sz="4" w:space="0" w:color="auto"/>
              <w:right w:val="single" w:sz="8"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126,26</w:t>
            </w:r>
          </w:p>
        </w:tc>
        <w:tc>
          <w:tcPr>
            <w:tcW w:w="0" w:type="auto"/>
            <w:tcBorders>
              <w:top w:val="nil"/>
              <w:left w:val="nil"/>
              <w:bottom w:val="single" w:sz="4" w:space="0" w:color="auto"/>
              <w:right w:val="single" w:sz="8" w:space="0" w:color="auto"/>
            </w:tcBorders>
            <w:shd w:val="clear" w:color="000000" w:fill="FFFFFF"/>
            <w:vAlign w:val="center"/>
          </w:tcPr>
          <w:p w:rsidR="002F5CED" w:rsidRPr="00E278A7" w:rsidRDefault="002F5CED" w:rsidP="00106CB4">
            <w:pPr>
              <w:spacing w:line="240" w:lineRule="auto"/>
              <w:jc w:val="center"/>
              <w:rPr>
                <w:rFonts w:eastAsia="Times New Roman" w:cs="Arial"/>
                <w:sz w:val="22"/>
                <w:lang w:eastAsia="pt-BR"/>
              </w:rPr>
            </w:pPr>
            <w:r w:rsidRPr="00E278A7">
              <w:rPr>
                <w:rFonts w:eastAsia="Times New Roman" w:cs="Arial"/>
                <w:sz w:val="22"/>
                <w:lang w:eastAsia="pt-BR"/>
              </w:rPr>
              <w:t>130,94</w:t>
            </w:r>
          </w:p>
        </w:tc>
        <w:tc>
          <w:tcPr>
            <w:tcW w:w="0" w:type="auto"/>
            <w:tcBorders>
              <w:top w:val="nil"/>
              <w:left w:val="nil"/>
              <w:bottom w:val="single" w:sz="4" w:space="0" w:color="auto"/>
              <w:right w:val="single" w:sz="8" w:space="0" w:color="auto"/>
            </w:tcBorders>
            <w:shd w:val="clear" w:color="000000" w:fill="FFFFFF"/>
            <w:vAlign w:val="center"/>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80</w:t>
            </w:r>
          </w:p>
        </w:tc>
      </w:tr>
      <w:tr w:rsidR="00E278A7" w:rsidRPr="00E278A7" w:rsidTr="002F5CED">
        <w:trPr>
          <w:trHeight w:val="340"/>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2033</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1.770</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326,73</w:t>
            </w:r>
          </w:p>
        </w:tc>
        <w:tc>
          <w:tcPr>
            <w:tcW w:w="0" w:type="auto"/>
            <w:tcBorders>
              <w:top w:val="nil"/>
              <w:left w:val="nil"/>
              <w:bottom w:val="single" w:sz="4" w:space="0" w:color="auto"/>
              <w:right w:val="single" w:sz="8"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126,87</w:t>
            </w:r>
          </w:p>
        </w:tc>
        <w:tc>
          <w:tcPr>
            <w:tcW w:w="0" w:type="auto"/>
            <w:tcBorders>
              <w:top w:val="nil"/>
              <w:left w:val="nil"/>
              <w:bottom w:val="single" w:sz="4" w:space="0" w:color="auto"/>
              <w:right w:val="single" w:sz="8" w:space="0" w:color="auto"/>
            </w:tcBorders>
            <w:shd w:val="clear" w:color="000000" w:fill="FFFFFF"/>
            <w:vAlign w:val="center"/>
          </w:tcPr>
          <w:p w:rsidR="002F5CED" w:rsidRPr="00E278A7" w:rsidRDefault="002F5CED" w:rsidP="00106CB4">
            <w:pPr>
              <w:spacing w:line="240" w:lineRule="auto"/>
              <w:jc w:val="center"/>
              <w:rPr>
                <w:rFonts w:eastAsia="Times New Roman" w:cs="Arial"/>
                <w:sz w:val="22"/>
                <w:lang w:eastAsia="pt-BR"/>
              </w:rPr>
            </w:pPr>
            <w:r w:rsidRPr="00E278A7">
              <w:rPr>
                <w:rFonts w:eastAsia="Times New Roman" w:cs="Arial"/>
                <w:sz w:val="22"/>
                <w:lang w:eastAsia="pt-BR"/>
              </w:rPr>
              <w:t>130,69</w:t>
            </w:r>
          </w:p>
        </w:tc>
        <w:tc>
          <w:tcPr>
            <w:tcW w:w="0" w:type="auto"/>
            <w:tcBorders>
              <w:top w:val="nil"/>
              <w:left w:val="nil"/>
              <w:bottom w:val="single" w:sz="4" w:space="0" w:color="auto"/>
              <w:right w:val="single" w:sz="8" w:space="0" w:color="auto"/>
            </w:tcBorders>
            <w:shd w:val="clear" w:color="000000" w:fill="FFFFFF"/>
            <w:vAlign w:val="center"/>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80</w:t>
            </w:r>
          </w:p>
        </w:tc>
      </w:tr>
      <w:tr w:rsidR="00E278A7" w:rsidRPr="00E278A7" w:rsidTr="002F5CED">
        <w:trPr>
          <w:trHeight w:val="340"/>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2034</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1.751</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324,24</w:t>
            </w:r>
          </w:p>
        </w:tc>
        <w:tc>
          <w:tcPr>
            <w:tcW w:w="0" w:type="auto"/>
            <w:tcBorders>
              <w:top w:val="nil"/>
              <w:left w:val="nil"/>
              <w:bottom w:val="single" w:sz="4" w:space="0" w:color="auto"/>
              <w:right w:val="single" w:sz="8"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129,36</w:t>
            </w:r>
          </w:p>
        </w:tc>
        <w:tc>
          <w:tcPr>
            <w:tcW w:w="0" w:type="auto"/>
            <w:tcBorders>
              <w:top w:val="nil"/>
              <w:left w:val="nil"/>
              <w:bottom w:val="single" w:sz="4" w:space="0" w:color="auto"/>
              <w:right w:val="single" w:sz="8" w:space="0" w:color="auto"/>
            </w:tcBorders>
            <w:shd w:val="clear" w:color="000000" w:fill="FFFFFF"/>
            <w:vAlign w:val="center"/>
          </w:tcPr>
          <w:p w:rsidR="002F5CED" w:rsidRPr="00E278A7" w:rsidRDefault="002F5CED" w:rsidP="00106CB4">
            <w:pPr>
              <w:spacing w:line="240" w:lineRule="auto"/>
              <w:jc w:val="center"/>
              <w:rPr>
                <w:rFonts w:eastAsia="Times New Roman" w:cs="Arial"/>
                <w:sz w:val="22"/>
                <w:lang w:eastAsia="pt-BR"/>
              </w:rPr>
            </w:pPr>
            <w:r w:rsidRPr="00E278A7">
              <w:rPr>
                <w:rFonts w:eastAsia="Times New Roman" w:cs="Arial"/>
                <w:sz w:val="22"/>
                <w:lang w:eastAsia="pt-BR"/>
              </w:rPr>
              <w:t>129,70</w:t>
            </w:r>
          </w:p>
        </w:tc>
        <w:tc>
          <w:tcPr>
            <w:tcW w:w="0" w:type="auto"/>
            <w:tcBorders>
              <w:top w:val="nil"/>
              <w:left w:val="nil"/>
              <w:bottom w:val="single" w:sz="4" w:space="0" w:color="auto"/>
              <w:right w:val="single" w:sz="8" w:space="0" w:color="auto"/>
            </w:tcBorders>
            <w:shd w:val="clear" w:color="000000" w:fill="FFFFFF"/>
            <w:vAlign w:val="center"/>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80</w:t>
            </w:r>
          </w:p>
        </w:tc>
      </w:tr>
      <w:tr w:rsidR="00E278A7" w:rsidRPr="00E278A7" w:rsidTr="002F5CED">
        <w:trPr>
          <w:trHeight w:val="340"/>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2035</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1.730</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321,36</w:t>
            </w:r>
          </w:p>
        </w:tc>
        <w:tc>
          <w:tcPr>
            <w:tcW w:w="0" w:type="auto"/>
            <w:tcBorders>
              <w:top w:val="nil"/>
              <w:left w:val="nil"/>
              <w:bottom w:val="single" w:sz="4" w:space="0" w:color="auto"/>
              <w:right w:val="single" w:sz="8"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132,24</w:t>
            </w:r>
          </w:p>
        </w:tc>
        <w:tc>
          <w:tcPr>
            <w:tcW w:w="0" w:type="auto"/>
            <w:tcBorders>
              <w:top w:val="nil"/>
              <w:left w:val="nil"/>
              <w:bottom w:val="single" w:sz="4" w:space="0" w:color="auto"/>
              <w:right w:val="single" w:sz="8" w:space="0" w:color="auto"/>
            </w:tcBorders>
            <w:shd w:val="clear" w:color="000000" w:fill="FFFFFF"/>
            <w:vAlign w:val="center"/>
          </w:tcPr>
          <w:p w:rsidR="002F5CED" w:rsidRPr="00E278A7" w:rsidRDefault="002F5CED" w:rsidP="00106CB4">
            <w:pPr>
              <w:spacing w:line="240" w:lineRule="auto"/>
              <w:jc w:val="center"/>
              <w:rPr>
                <w:rFonts w:eastAsia="Times New Roman" w:cs="Arial"/>
                <w:sz w:val="22"/>
                <w:lang w:eastAsia="pt-BR"/>
              </w:rPr>
            </w:pPr>
            <w:r w:rsidRPr="00E278A7">
              <w:rPr>
                <w:rFonts w:eastAsia="Times New Roman" w:cs="Arial"/>
                <w:sz w:val="22"/>
                <w:lang w:eastAsia="pt-BR"/>
              </w:rPr>
              <w:t>128,55</w:t>
            </w:r>
          </w:p>
        </w:tc>
        <w:tc>
          <w:tcPr>
            <w:tcW w:w="0" w:type="auto"/>
            <w:tcBorders>
              <w:top w:val="nil"/>
              <w:left w:val="nil"/>
              <w:bottom w:val="single" w:sz="4" w:space="0" w:color="auto"/>
              <w:right w:val="single" w:sz="8" w:space="0" w:color="auto"/>
            </w:tcBorders>
            <w:shd w:val="clear" w:color="000000" w:fill="FFFFFF"/>
            <w:vAlign w:val="center"/>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80</w:t>
            </w:r>
          </w:p>
        </w:tc>
      </w:tr>
      <w:tr w:rsidR="00E278A7" w:rsidRPr="00E278A7" w:rsidTr="002F5CED">
        <w:trPr>
          <w:trHeight w:val="340"/>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2036</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1.711</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318,83</w:t>
            </w:r>
          </w:p>
        </w:tc>
        <w:tc>
          <w:tcPr>
            <w:tcW w:w="0" w:type="auto"/>
            <w:tcBorders>
              <w:top w:val="nil"/>
              <w:left w:val="nil"/>
              <w:bottom w:val="single" w:sz="4" w:space="0" w:color="auto"/>
              <w:right w:val="single" w:sz="8"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134,77</w:t>
            </w:r>
          </w:p>
        </w:tc>
        <w:tc>
          <w:tcPr>
            <w:tcW w:w="0" w:type="auto"/>
            <w:tcBorders>
              <w:top w:val="nil"/>
              <w:left w:val="nil"/>
              <w:bottom w:val="single" w:sz="4" w:space="0" w:color="auto"/>
              <w:right w:val="single" w:sz="8" w:space="0" w:color="auto"/>
            </w:tcBorders>
            <w:shd w:val="clear" w:color="000000" w:fill="FFFFFF"/>
            <w:vAlign w:val="center"/>
          </w:tcPr>
          <w:p w:rsidR="002F5CED" w:rsidRPr="00E278A7" w:rsidRDefault="002F5CED" w:rsidP="00106CB4">
            <w:pPr>
              <w:spacing w:line="240" w:lineRule="auto"/>
              <w:jc w:val="center"/>
              <w:rPr>
                <w:rFonts w:eastAsia="Times New Roman" w:cs="Arial"/>
                <w:sz w:val="22"/>
                <w:lang w:eastAsia="pt-BR"/>
              </w:rPr>
            </w:pPr>
            <w:r w:rsidRPr="00E278A7">
              <w:rPr>
                <w:rFonts w:eastAsia="Times New Roman" w:cs="Arial"/>
                <w:sz w:val="22"/>
                <w:lang w:eastAsia="pt-BR"/>
              </w:rPr>
              <w:t>127,53</w:t>
            </w:r>
          </w:p>
        </w:tc>
        <w:tc>
          <w:tcPr>
            <w:tcW w:w="0" w:type="auto"/>
            <w:tcBorders>
              <w:top w:val="nil"/>
              <w:left w:val="nil"/>
              <w:bottom w:val="single" w:sz="4" w:space="0" w:color="auto"/>
              <w:right w:val="single" w:sz="8" w:space="0" w:color="auto"/>
            </w:tcBorders>
            <w:shd w:val="clear" w:color="000000" w:fill="FFFFFF"/>
            <w:vAlign w:val="center"/>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80</w:t>
            </w:r>
          </w:p>
        </w:tc>
      </w:tr>
      <w:tr w:rsidR="00E278A7" w:rsidRPr="00E278A7" w:rsidTr="002F5CED">
        <w:trPr>
          <w:trHeight w:val="340"/>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2037</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1.702</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453,60</w:t>
            </w:r>
          </w:p>
        </w:tc>
        <w:tc>
          <w:tcPr>
            <w:tcW w:w="0" w:type="auto"/>
            <w:tcBorders>
              <w:top w:val="nil"/>
              <w:left w:val="nil"/>
              <w:bottom w:val="single" w:sz="4" w:space="0" w:color="auto"/>
              <w:right w:val="single" w:sz="4"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318,14</w:t>
            </w:r>
          </w:p>
        </w:tc>
        <w:tc>
          <w:tcPr>
            <w:tcW w:w="0" w:type="auto"/>
            <w:tcBorders>
              <w:top w:val="nil"/>
              <w:left w:val="nil"/>
              <w:bottom w:val="single" w:sz="4" w:space="0" w:color="auto"/>
              <w:right w:val="single" w:sz="8"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135,46</w:t>
            </w:r>
          </w:p>
        </w:tc>
        <w:tc>
          <w:tcPr>
            <w:tcW w:w="0" w:type="auto"/>
            <w:tcBorders>
              <w:top w:val="nil"/>
              <w:left w:val="nil"/>
              <w:bottom w:val="single" w:sz="4" w:space="0" w:color="auto"/>
              <w:right w:val="single" w:sz="8" w:space="0" w:color="auto"/>
            </w:tcBorders>
            <w:shd w:val="clear" w:color="000000" w:fill="FFFFFF"/>
            <w:vAlign w:val="center"/>
          </w:tcPr>
          <w:p w:rsidR="002F5CED" w:rsidRPr="00E278A7" w:rsidRDefault="002F5CED" w:rsidP="00106CB4">
            <w:pPr>
              <w:spacing w:line="240" w:lineRule="auto"/>
              <w:jc w:val="center"/>
              <w:rPr>
                <w:rFonts w:eastAsia="Times New Roman" w:cs="Arial"/>
                <w:sz w:val="22"/>
                <w:lang w:eastAsia="pt-BR"/>
              </w:rPr>
            </w:pPr>
            <w:r w:rsidRPr="00E278A7">
              <w:rPr>
                <w:rFonts w:eastAsia="Times New Roman" w:cs="Arial"/>
                <w:sz w:val="22"/>
                <w:lang w:eastAsia="pt-BR"/>
              </w:rPr>
              <w:t>127,26</w:t>
            </w:r>
          </w:p>
        </w:tc>
        <w:tc>
          <w:tcPr>
            <w:tcW w:w="0" w:type="auto"/>
            <w:tcBorders>
              <w:top w:val="nil"/>
              <w:left w:val="nil"/>
              <w:bottom w:val="single" w:sz="4" w:space="0" w:color="auto"/>
              <w:right w:val="single" w:sz="8" w:space="0" w:color="auto"/>
            </w:tcBorders>
            <w:shd w:val="clear" w:color="000000" w:fill="FFFFFF"/>
            <w:vAlign w:val="center"/>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80</w:t>
            </w:r>
          </w:p>
        </w:tc>
      </w:tr>
      <w:tr w:rsidR="00E278A7" w:rsidRPr="00E278A7" w:rsidTr="002F5CED">
        <w:trPr>
          <w:trHeight w:val="340"/>
        </w:trPr>
        <w:tc>
          <w:tcPr>
            <w:tcW w:w="0" w:type="auto"/>
            <w:tcBorders>
              <w:top w:val="nil"/>
              <w:left w:val="single" w:sz="8" w:space="0" w:color="auto"/>
              <w:bottom w:val="single" w:sz="8" w:space="0" w:color="auto"/>
              <w:right w:val="single" w:sz="4" w:space="0" w:color="auto"/>
            </w:tcBorders>
            <w:shd w:val="clear" w:color="auto" w:fill="auto"/>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2038</w:t>
            </w:r>
          </w:p>
        </w:tc>
        <w:tc>
          <w:tcPr>
            <w:tcW w:w="0" w:type="auto"/>
            <w:tcBorders>
              <w:top w:val="nil"/>
              <w:left w:val="nil"/>
              <w:bottom w:val="single" w:sz="8" w:space="0" w:color="auto"/>
              <w:right w:val="single" w:sz="4" w:space="0" w:color="auto"/>
            </w:tcBorders>
            <w:shd w:val="clear" w:color="000000" w:fill="FFFFFF"/>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1.691</w:t>
            </w:r>
          </w:p>
        </w:tc>
        <w:tc>
          <w:tcPr>
            <w:tcW w:w="0" w:type="auto"/>
            <w:tcBorders>
              <w:top w:val="nil"/>
              <w:left w:val="nil"/>
              <w:bottom w:val="single" w:sz="8" w:space="0" w:color="auto"/>
              <w:right w:val="single" w:sz="4" w:space="0" w:color="auto"/>
            </w:tcBorders>
            <w:shd w:val="clear" w:color="000000" w:fill="FFFFFF"/>
            <w:noWrap/>
            <w:vAlign w:val="center"/>
            <w:hideMark/>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453,60</w:t>
            </w:r>
          </w:p>
        </w:tc>
        <w:tc>
          <w:tcPr>
            <w:tcW w:w="0" w:type="auto"/>
            <w:tcBorders>
              <w:top w:val="nil"/>
              <w:left w:val="nil"/>
              <w:bottom w:val="single" w:sz="8" w:space="0" w:color="auto"/>
              <w:right w:val="single" w:sz="4"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317,06</w:t>
            </w:r>
          </w:p>
        </w:tc>
        <w:tc>
          <w:tcPr>
            <w:tcW w:w="0" w:type="auto"/>
            <w:tcBorders>
              <w:top w:val="nil"/>
              <w:left w:val="nil"/>
              <w:bottom w:val="single" w:sz="8" w:space="0" w:color="auto"/>
              <w:right w:val="single" w:sz="8" w:space="0" w:color="auto"/>
            </w:tcBorders>
            <w:shd w:val="clear" w:color="000000" w:fill="FFFFFF"/>
            <w:noWrap/>
            <w:vAlign w:val="center"/>
            <w:hideMark/>
          </w:tcPr>
          <w:p w:rsidR="002F5CED" w:rsidRPr="00E278A7" w:rsidRDefault="002F5CED" w:rsidP="002F5CED">
            <w:pPr>
              <w:spacing w:line="240" w:lineRule="auto"/>
              <w:jc w:val="center"/>
              <w:rPr>
                <w:rFonts w:eastAsia="Times New Roman" w:cs="Arial"/>
                <w:sz w:val="22"/>
                <w:lang w:eastAsia="pt-BR"/>
              </w:rPr>
            </w:pPr>
            <w:r w:rsidRPr="00E278A7">
              <w:rPr>
                <w:rFonts w:eastAsia="Times New Roman" w:cs="Arial"/>
                <w:sz w:val="22"/>
                <w:lang w:eastAsia="pt-BR"/>
              </w:rPr>
              <w:t>136,54</w:t>
            </w:r>
          </w:p>
        </w:tc>
        <w:tc>
          <w:tcPr>
            <w:tcW w:w="0" w:type="auto"/>
            <w:tcBorders>
              <w:top w:val="nil"/>
              <w:left w:val="nil"/>
              <w:bottom w:val="single" w:sz="8" w:space="0" w:color="auto"/>
              <w:right w:val="single" w:sz="8" w:space="0" w:color="auto"/>
            </w:tcBorders>
            <w:shd w:val="clear" w:color="000000" w:fill="FFFFFF"/>
            <w:vAlign w:val="center"/>
          </w:tcPr>
          <w:p w:rsidR="002F5CED" w:rsidRPr="00E278A7" w:rsidRDefault="002F5CED" w:rsidP="00106CB4">
            <w:pPr>
              <w:spacing w:line="240" w:lineRule="auto"/>
              <w:jc w:val="center"/>
              <w:rPr>
                <w:rFonts w:eastAsia="Times New Roman" w:cs="Arial"/>
                <w:sz w:val="22"/>
                <w:lang w:eastAsia="pt-BR"/>
              </w:rPr>
            </w:pPr>
            <w:r w:rsidRPr="00E278A7">
              <w:rPr>
                <w:rFonts w:eastAsia="Times New Roman" w:cs="Arial"/>
                <w:sz w:val="22"/>
                <w:lang w:eastAsia="pt-BR"/>
              </w:rPr>
              <w:t>126,83</w:t>
            </w:r>
          </w:p>
        </w:tc>
        <w:tc>
          <w:tcPr>
            <w:tcW w:w="0" w:type="auto"/>
            <w:tcBorders>
              <w:top w:val="nil"/>
              <w:left w:val="nil"/>
              <w:bottom w:val="single" w:sz="8" w:space="0" w:color="auto"/>
              <w:right w:val="single" w:sz="8" w:space="0" w:color="auto"/>
            </w:tcBorders>
            <w:shd w:val="clear" w:color="000000" w:fill="FFFFFF"/>
            <w:vAlign w:val="center"/>
          </w:tcPr>
          <w:p w:rsidR="002F5CED" w:rsidRPr="00E278A7" w:rsidRDefault="002F5CED" w:rsidP="00852088">
            <w:pPr>
              <w:spacing w:line="240" w:lineRule="auto"/>
              <w:jc w:val="center"/>
              <w:rPr>
                <w:rFonts w:eastAsia="Times New Roman" w:cs="Arial"/>
                <w:sz w:val="22"/>
                <w:lang w:eastAsia="pt-BR"/>
              </w:rPr>
            </w:pPr>
            <w:r w:rsidRPr="00E278A7">
              <w:rPr>
                <w:rFonts w:eastAsia="Times New Roman" w:cs="Arial"/>
                <w:sz w:val="22"/>
                <w:lang w:eastAsia="pt-BR"/>
              </w:rPr>
              <w:t>80</w:t>
            </w:r>
          </w:p>
        </w:tc>
      </w:tr>
    </w:tbl>
    <w:p w:rsidR="00193B74" w:rsidRPr="0068600A" w:rsidRDefault="00193B74" w:rsidP="00193B74">
      <w:pPr>
        <w:pStyle w:val="Fonte"/>
      </w:pPr>
      <w:r w:rsidRPr="0068600A">
        <w:t>Fonte: SHS, 2017.</w:t>
      </w:r>
    </w:p>
    <w:p w:rsidR="009F16FC" w:rsidRPr="0068600A" w:rsidRDefault="00193B74" w:rsidP="009F16FC">
      <w:pPr>
        <w:ind w:firstLine="708"/>
        <w:rPr>
          <w:lang w:eastAsia="pt-BR"/>
        </w:rPr>
      </w:pPr>
      <w:r w:rsidRPr="0068600A">
        <w:rPr>
          <w:lang w:eastAsia="pt-BR"/>
        </w:rPr>
        <w:t>Neste novo cenário, foi verificad</w:t>
      </w:r>
      <w:r w:rsidR="00AD2E69" w:rsidRPr="0068600A">
        <w:rPr>
          <w:lang w:eastAsia="pt-BR"/>
        </w:rPr>
        <w:t xml:space="preserve">a semelhança com o cenário anterior, tanto </w:t>
      </w:r>
      <w:r w:rsidRPr="0068600A">
        <w:rPr>
          <w:lang w:eastAsia="pt-BR"/>
        </w:rPr>
        <w:t>no saldo entre a oferta e a demanda de água</w:t>
      </w:r>
      <w:r w:rsidR="00AD2E69" w:rsidRPr="0068600A">
        <w:rPr>
          <w:lang w:eastAsia="pt-BR"/>
        </w:rPr>
        <w:t>, quanto na demanda por reservaç</w:t>
      </w:r>
      <w:r w:rsidR="0068600A" w:rsidRPr="0068600A">
        <w:rPr>
          <w:lang w:eastAsia="pt-BR"/>
        </w:rPr>
        <w:t>ão</w:t>
      </w:r>
      <w:r w:rsidR="00AD2E69" w:rsidRPr="0068600A">
        <w:rPr>
          <w:lang w:eastAsia="pt-BR"/>
        </w:rPr>
        <w:t>.</w:t>
      </w:r>
      <w:r w:rsidR="00B755B9" w:rsidRPr="0068600A">
        <w:rPr>
          <w:lang w:eastAsia="pt-BR"/>
        </w:rPr>
        <w:t xml:space="preserve"> </w:t>
      </w:r>
      <w:r w:rsidR="009F16FC" w:rsidRPr="0068600A">
        <w:rPr>
          <w:lang w:eastAsia="pt-BR"/>
        </w:rPr>
        <w:t xml:space="preserve">Os resultados </w:t>
      </w:r>
      <w:r w:rsidR="00AD2E69" w:rsidRPr="0068600A">
        <w:rPr>
          <w:lang w:eastAsia="pt-BR"/>
        </w:rPr>
        <w:t xml:space="preserve">continuam indicando </w:t>
      </w:r>
      <w:r w:rsidR="0068600A" w:rsidRPr="0068600A">
        <w:rPr>
          <w:lang w:eastAsia="pt-BR"/>
        </w:rPr>
        <w:t>que é necessári</w:t>
      </w:r>
      <w:r w:rsidR="00AD2E69" w:rsidRPr="0068600A">
        <w:rPr>
          <w:lang w:eastAsia="pt-BR"/>
        </w:rPr>
        <w:t>a</w:t>
      </w:r>
      <w:r w:rsidR="0068600A" w:rsidRPr="0068600A">
        <w:rPr>
          <w:lang w:eastAsia="pt-BR"/>
        </w:rPr>
        <w:t xml:space="preserve"> a </w:t>
      </w:r>
      <w:r w:rsidR="00AD2E69" w:rsidRPr="0068600A">
        <w:rPr>
          <w:lang w:eastAsia="pt-BR"/>
        </w:rPr>
        <w:t>ampliação da capacidade de reservação e</w:t>
      </w:r>
      <w:r w:rsidR="009F16FC" w:rsidRPr="0068600A">
        <w:rPr>
          <w:lang w:eastAsia="pt-BR"/>
        </w:rPr>
        <w:t xml:space="preserve"> que a ETA e poços em funcionamento na sede apresentam capacidade suficiente para atender tanto às demandas atuais</w:t>
      </w:r>
      <w:r w:rsidR="002B6FDE" w:rsidRPr="0068600A">
        <w:rPr>
          <w:lang w:eastAsia="pt-BR"/>
        </w:rPr>
        <w:t>,</w:t>
      </w:r>
      <w:r w:rsidR="009F16FC" w:rsidRPr="0068600A">
        <w:rPr>
          <w:lang w:eastAsia="pt-BR"/>
        </w:rPr>
        <w:t xml:space="preserve"> quanto às futuras. </w:t>
      </w:r>
    </w:p>
    <w:p w:rsidR="00C57ADC" w:rsidRPr="00B94A15" w:rsidRDefault="00C57ADC" w:rsidP="002828C8">
      <w:pPr>
        <w:pStyle w:val="Ttulo3"/>
      </w:pPr>
      <w:bookmarkStart w:id="39" w:name="_Ref438113394"/>
      <w:bookmarkStart w:id="40" w:name="_Toc497468988"/>
      <w:r w:rsidRPr="00B94A15">
        <w:lastRenderedPageBreak/>
        <w:t xml:space="preserve">Descrição dos principais mananciais e definição de alternativas técnicas de </w:t>
      </w:r>
      <w:r w:rsidR="00E37245">
        <w:t>e</w:t>
      </w:r>
      <w:r w:rsidRPr="00B94A15">
        <w:t>ngenharia para atendimento da demanda</w:t>
      </w:r>
      <w:bookmarkEnd w:id="39"/>
      <w:bookmarkEnd w:id="40"/>
    </w:p>
    <w:p w:rsidR="00193B74" w:rsidRPr="00B94A15" w:rsidRDefault="00193B74" w:rsidP="002828C8">
      <w:pPr>
        <w:pStyle w:val="Ttulo4"/>
      </w:pPr>
      <w:bookmarkStart w:id="41" w:name="_Ref438486871"/>
      <w:bookmarkStart w:id="42" w:name="_Toc461701603"/>
      <w:bookmarkStart w:id="43" w:name="_Toc497468989"/>
      <w:r w:rsidRPr="00B94A15">
        <w:t>Sede</w:t>
      </w:r>
      <w:bookmarkEnd w:id="41"/>
      <w:bookmarkEnd w:id="42"/>
      <w:bookmarkEnd w:id="43"/>
      <w:r w:rsidRPr="00B94A15">
        <w:t xml:space="preserve"> </w:t>
      </w:r>
    </w:p>
    <w:p w:rsidR="00193B74" w:rsidRPr="00B94A15" w:rsidRDefault="00193B74" w:rsidP="00193B74">
      <w:pPr>
        <w:ind w:firstLine="708"/>
      </w:pPr>
      <w:r w:rsidRPr="00B94A15">
        <w:rPr>
          <w:lang w:eastAsia="pt-BR"/>
        </w:rPr>
        <w:t xml:space="preserve">Atualmente, a captação de água da sede é realizada </w:t>
      </w:r>
      <w:r w:rsidR="009F16FC" w:rsidRPr="00B94A15">
        <w:rPr>
          <w:lang w:eastAsia="pt-BR"/>
        </w:rPr>
        <w:t xml:space="preserve">em </w:t>
      </w:r>
      <w:r w:rsidR="002B6FDE" w:rsidRPr="00B94A15">
        <w:rPr>
          <w:lang w:eastAsia="pt-BR"/>
        </w:rPr>
        <w:t>três</w:t>
      </w:r>
      <w:r w:rsidR="00B755B9" w:rsidRPr="00B94A15">
        <w:rPr>
          <w:lang w:eastAsia="pt-BR"/>
        </w:rPr>
        <w:t xml:space="preserve"> captações subterrâneas</w:t>
      </w:r>
      <w:r w:rsidRPr="00B94A15">
        <w:rPr>
          <w:lang w:eastAsia="pt-BR"/>
        </w:rPr>
        <w:t xml:space="preserve">. </w:t>
      </w:r>
      <w:r w:rsidRPr="00B94A15">
        <w:t>Quanto a mananciais alternativos, ao se avaliar, de forma preliminar, as condições de viabilidade econômico-financeira e de segurança no que concerne à qualidade da água, a melhor solução para a captação de água visando ao abastecimento público seria o manancial subterrâneo, visto que seu empreendimento, via de regra, é menos oneroso ao município que a captação superficial feita em locais ermos e distantes dos pontos de tratamento e distribuição.</w:t>
      </w:r>
    </w:p>
    <w:p w:rsidR="00193B74" w:rsidRPr="00B94A15" w:rsidRDefault="00193B74" w:rsidP="00193B74">
      <w:pPr>
        <w:ind w:firstLine="708"/>
      </w:pPr>
      <w:r w:rsidRPr="00B94A15">
        <w:t>Também é comum que a qualidade da água do manancial subterrâneo supere a do manancial superficial. Nesse sentido, propõe-se que sejam perfurados poços próximos à ETA ou à captação atual, com o intuito de verificar duas possibilidades:</w:t>
      </w:r>
    </w:p>
    <w:p w:rsidR="00193B74" w:rsidRPr="00B94A15" w:rsidRDefault="00193B74" w:rsidP="00193B74">
      <w:pPr>
        <w:ind w:firstLine="708"/>
      </w:pPr>
      <w:r w:rsidRPr="00B94A15">
        <w:t xml:space="preserve">- a de se manter a captação subterrânea como reserva da superficial, para ser utilizada em casos de emergência ou de contingência (reparos, etc.). </w:t>
      </w:r>
    </w:p>
    <w:p w:rsidR="00193B74" w:rsidRPr="00B94A15" w:rsidRDefault="00193B74" w:rsidP="00193B74">
      <w:pPr>
        <w:ind w:firstLine="708"/>
      </w:pPr>
      <w:r w:rsidRPr="00B94A15">
        <w:t>- a de substituição do atual manancial, caso os testes de qualidade e quantidade forem favoráveis.</w:t>
      </w:r>
    </w:p>
    <w:p w:rsidR="00193B74" w:rsidRPr="00B94A15" w:rsidRDefault="00193B74" w:rsidP="00B94A15">
      <w:pPr>
        <w:widowControl w:val="0"/>
        <w:autoSpaceDE w:val="0"/>
        <w:autoSpaceDN w:val="0"/>
        <w:adjustRightInd w:val="0"/>
        <w:spacing w:before="120" w:after="120"/>
        <w:ind w:firstLine="709"/>
        <w:contextualSpacing/>
        <w:rPr>
          <w:rFonts w:cs="Arial"/>
          <w:szCs w:val="24"/>
        </w:rPr>
      </w:pPr>
      <w:r w:rsidRPr="00B94A15">
        <w:t xml:space="preserve">Além disso, </w:t>
      </w:r>
      <w:r w:rsidRPr="00B94A15">
        <w:rPr>
          <w:rFonts w:cs="Arial"/>
          <w:szCs w:val="24"/>
        </w:rPr>
        <w:t>o presente PMSB propõe um manancial superficial alternativo para a captação que seja adequado para o abastecimento público da sede. Para tanto, foram considerados os seguintes critérios:</w:t>
      </w:r>
    </w:p>
    <w:p w:rsidR="00193B74" w:rsidRPr="00B94A15" w:rsidRDefault="00193B74" w:rsidP="00A87269">
      <w:pPr>
        <w:pStyle w:val="PargrafodaLista"/>
        <w:widowControl w:val="0"/>
        <w:numPr>
          <w:ilvl w:val="0"/>
          <w:numId w:val="41"/>
        </w:numPr>
        <w:autoSpaceDE w:val="0"/>
        <w:autoSpaceDN w:val="0"/>
        <w:adjustRightInd w:val="0"/>
        <w:spacing w:before="120" w:after="120"/>
        <w:rPr>
          <w:szCs w:val="24"/>
        </w:rPr>
      </w:pPr>
      <w:r w:rsidRPr="00B94A15">
        <w:rPr>
          <w:szCs w:val="24"/>
        </w:rPr>
        <w:t>Proximidade com a sede: o manancial deve se localizar próximo ao município para se reduzir o gasto no sistema de adução, além de diminuir a perda de água durante esse processo.</w:t>
      </w:r>
    </w:p>
    <w:p w:rsidR="00193B74" w:rsidRPr="00B94A15" w:rsidRDefault="00193B74" w:rsidP="00A87269">
      <w:pPr>
        <w:pStyle w:val="PargrafodaLista"/>
        <w:widowControl w:val="0"/>
        <w:numPr>
          <w:ilvl w:val="0"/>
          <w:numId w:val="41"/>
        </w:numPr>
        <w:autoSpaceDE w:val="0"/>
        <w:autoSpaceDN w:val="0"/>
        <w:adjustRightInd w:val="0"/>
        <w:spacing w:before="120" w:after="120"/>
        <w:rPr>
          <w:szCs w:val="24"/>
        </w:rPr>
      </w:pPr>
      <w:r w:rsidRPr="00B94A15">
        <w:rPr>
          <w:szCs w:val="24"/>
        </w:rPr>
        <w:t>Disponibilidade hídrica: a vazão outorgável calculada a partir da Q</w:t>
      </w:r>
      <w:r w:rsidRPr="00B94A15">
        <w:rPr>
          <w:szCs w:val="24"/>
          <w:vertAlign w:val="subscript"/>
        </w:rPr>
        <w:t>7,10</w:t>
      </w:r>
      <w:r w:rsidRPr="00B94A15">
        <w:rPr>
          <w:szCs w:val="24"/>
        </w:rPr>
        <w:t xml:space="preserve"> do manancial deve atender à demanda da população.</w:t>
      </w:r>
    </w:p>
    <w:p w:rsidR="00193B74" w:rsidRPr="00B94A15" w:rsidRDefault="00193B74" w:rsidP="00A87269">
      <w:pPr>
        <w:pStyle w:val="PargrafodaLista"/>
        <w:widowControl w:val="0"/>
        <w:numPr>
          <w:ilvl w:val="0"/>
          <w:numId w:val="41"/>
        </w:numPr>
        <w:autoSpaceDE w:val="0"/>
        <w:autoSpaceDN w:val="0"/>
        <w:adjustRightInd w:val="0"/>
        <w:spacing w:before="120" w:after="120"/>
        <w:rPr>
          <w:szCs w:val="24"/>
        </w:rPr>
      </w:pPr>
      <w:r w:rsidRPr="00B94A15">
        <w:rPr>
          <w:szCs w:val="24"/>
        </w:rPr>
        <w:t>Qualidade da água: a água do manancial deve apresentar qualidade adequada para ser destinada ao consumo humano ainda que demande tratamento, assim, considerou-se:</w:t>
      </w:r>
    </w:p>
    <w:p w:rsidR="00193B74" w:rsidRPr="00B94A15" w:rsidRDefault="00193B74" w:rsidP="00A87269">
      <w:pPr>
        <w:pStyle w:val="PargrafodaLista"/>
        <w:widowControl w:val="0"/>
        <w:numPr>
          <w:ilvl w:val="1"/>
          <w:numId w:val="41"/>
        </w:numPr>
        <w:autoSpaceDE w:val="0"/>
        <w:autoSpaceDN w:val="0"/>
        <w:adjustRightInd w:val="0"/>
        <w:spacing w:before="120" w:after="120"/>
        <w:rPr>
          <w:szCs w:val="24"/>
        </w:rPr>
      </w:pPr>
      <w:r w:rsidRPr="00B94A15">
        <w:rPr>
          <w:szCs w:val="24"/>
        </w:rPr>
        <w:t>As condições da mata ciliar, que deve estar bem conservada para garantir uma melhor qualidade da água do manancial.</w:t>
      </w:r>
    </w:p>
    <w:p w:rsidR="00193B74" w:rsidRPr="006346A1" w:rsidRDefault="00193B74" w:rsidP="00A87269">
      <w:pPr>
        <w:pStyle w:val="PargrafodaLista"/>
        <w:widowControl w:val="0"/>
        <w:numPr>
          <w:ilvl w:val="1"/>
          <w:numId w:val="41"/>
        </w:numPr>
        <w:autoSpaceDE w:val="0"/>
        <w:autoSpaceDN w:val="0"/>
        <w:adjustRightInd w:val="0"/>
        <w:spacing w:before="120" w:after="120"/>
        <w:rPr>
          <w:szCs w:val="24"/>
        </w:rPr>
      </w:pPr>
      <w:r w:rsidRPr="00B94A15">
        <w:rPr>
          <w:szCs w:val="24"/>
        </w:rPr>
        <w:t xml:space="preserve">O ponto de captação no manancial alternativo, que não deve receber </w:t>
      </w:r>
      <w:r w:rsidRPr="006346A1">
        <w:rPr>
          <w:szCs w:val="24"/>
        </w:rPr>
        <w:lastRenderedPageBreak/>
        <w:t>esgotos ou efluentes de indústrias.</w:t>
      </w:r>
    </w:p>
    <w:p w:rsidR="00193B74" w:rsidRPr="006346A1" w:rsidRDefault="00193B74" w:rsidP="00193B74">
      <w:pPr>
        <w:widowControl w:val="0"/>
        <w:autoSpaceDE w:val="0"/>
        <w:autoSpaceDN w:val="0"/>
        <w:adjustRightInd w:val="0"/>
        <w:spacing w:before="120" w:after="120"/>
        <w:ind w:firstLine="708"/>
        <w:rPr>
          <w:szCs w:val="24"/>
        </w:rPr>
      </w:pPr>
      <w:r w:rsidRPr="006346A1">
        <w:rPr>
          <w:szCs w:val="24"/>
        </w:rPr>
        <w:t xml:space="preserve">Considerando-se esses critérios, foi selecionado um ponto de captação no </w:t>
      </w:r>
      <w:r w:rsidR="00B21D40" w:rsidRPr="006346A1">
        <w:rPr>
          <w:szCs w:val="24"/>
        </w:rPr>
        <w:t xml:space="preserve">córrego </w:t>
      </w:r>
      <w:r w:rsidR="006346A1" w:rsidRPr="006346A1">
        <w:rPr>
          <w:szCs w:val="24"/>
        </w:rPr>
        <w:t>da Ferrugem</w:t>
      </w:r>
      <w:r w:rsidRPr="006346A1">
        <w:rPr>
          <w:szCs w:val="24"/>
        </w:rPr>
        <w:t xml:space="preserve">. A localização do ponto de captação sugerido é mostrada na </w:t>
      </w:r>
      <w:r w:rsidRPr="006346A1">
        <w:rPr>
          <w:szCs w:val="24"/>
        </w:rPr>
        <w:fldChar w:fldCharType="begin"/>
      </w:r>
      <w:r w:rsidRPr="006346A1">
        <w:rPr>
          <w:szCs w:val="24"/>
        </w:rPr>
        <w:instrText xml:space="preserve"> REF _Ref446584154 \h  \* MERGEFORMAT </w:instrText>
      </w:r>
      <w:r w:rsidRPr="006346A1">
        <w:rPr>
          <w:szCs w:val="24"/>
        </w:rPr>
      </w:r>
      <w:r w:rsidRPr="006346A1">
        <w:rPr>
          <w:szCs w:val="24"/>
        </w:rPr>
        <w:fldChar w:fldCharType="separate"/>
      </w:r>
      <w:r w:rsidR="004D1D76" w:rsidRPr="006346A1">
        <w:t xml:space="preserve">Figura </w:t>
      </w:r>
      <w:r w:rsidR="004D1D76">
        <w:rPr>
          <w:noProof/>
        </w:rPr>
        <w:t>1</w:t>
      </w:r>
      <w:r w:rsidRPr="006346A1">
        <w:rPr>
          <w:szCs w:val="24"/>
        </w:rPr>
        <w:fldChar w:fldCharType="end"/>
      </w:r>
      <w:r w:rsidRPr="006346A1">
        <w:rPr>
          <w:szCs w:val="24"/>
        </w:rPr>
        <w:t xml:space="preserve"> e na </w:t>
      </w:r>
      <w:r w:rsidRPr="006346A1">
        <w:rPr>
          <w:szCs w:val="24"/>
        </w:rPr>
        <w:fldChar w:fldCharType="begin"/>
      </w:r>
      <w:r w:rsidRPr="006346A1">
        <w:rPr>
          <w:szCs w:val="24"/>
        </w:rPr>
        <w:instrText xml:space="preserve"> REF _Ref437963650 \h  \* MERGEFORMAT </w:instrText>
      </w:r>
      <w:r w:rsidRPr="006346A1">
        <w:rPr>
          <w:szCs w:val="24"/>
        </w:rPr>
      </w:r>
      <w:r w:rsidRPr="006346A1">
        <w:rPr>
          <w:szCs w:val="24"/>
        </w:rPr>
        <w:fldChar w:fldCharType="separate"/>
      </w:r>
      <w:r w:rsidR="004D1D76" w:rsidRPr="004D1D76">
        <w:rPr>
          <w:szCs w:val="24"/>
        </w:rPr>
        <w:t>Figura 2</w:t>
      </w:r>
      <w:r w:rsidRPr="006346A1">
        <w:rPr>
          <w:szCs w:val="24"/>
        </w:rPr>
        <w:fldChar w:fldCharType="end"/>
      </w:r>
      <w:r w:rsidRPr="006346A1">
        <w:rPr>
          <w:szCs w:val="24"/>
        </w:rPr>
        <w:t>.</w:t>
      </w:r>
    </w:p>
    <w:p w:rsidR="00193B74" w:rsidRPr="006346A1" w:rsidRDefault="00193B74" w:rsidP="00193B74">
      <w:pPr>
        <w:pStyle w:val="Legenda"/>
        <w:rPr>
          <w:lang w:val="pt-BR"/>
        </w:rPr>
      </w:pPr>
      <w:bookmarkStart w:id="44" w:name="_Ref446584154"/>
      <w:bookmarkStart w:id="45" w:name="_Toc447025469"/>
      <w:bookmarkStart w:id="46" w:name="_Toc444763530"/>
      <w:bookmarkStart w:id="47" w:name="_Toc446339964"/>
      <w:bookmarkStart w:id="48" w:name="_Toc461701790"/>
      <w:bookmarkStart w:id="49" w:name="_Toc497469097"/>
      <w:r w:rsidRPr="006346A1">
        <w:t xml:space="preserve">Figura </w:t>
      </w:r>
      <w:r w:rsidR="00D71C43">
        <w:fldChar w:fldCharType="begin"/>
      </w:r>
      <w:r w:rsidR="00D71C43">
        <w:instrText xml:space="preserve"> SEQ Figura \* ARABIC </w:instrText>
      </w:r>
      <w:r w:rsidR="00D71C43">
        <w:fldChar w:fldCharType="separate"/>
      </w:r>
      <w:r w:rsidR="004D1D76">
        <w:rPr>
          <w:noProof/>
        </w:rPr>
        <w:t>1</w:t>
      </w:r>
      <w:r w:rsidR="00D71C43">
        <w:rPr>
          <w:noProof/>
        </w:rPr>
        <w:fldChar w:fldCharType="end"/>
      </w:r>
      <w:bookmarkEnd w:id="44"/>
      <w:r w:rsidRPr="006346A1">
        <w:t xml:space="preserve"> - Localização do antigo ponto de captação e o novo ponto proposto</w:t>
      </w:r>
      <w:bookmarkEnd w:id="45"/>
      <w:bookmarkEnd w:id="46"/>
      <w:bookmarkEnd w:id="47"/>
      <w:r w:rsidRPr="006346A1">
        <w:rPr>
          <w:lang w:val="pt-BR"/>
        </w:rPr>
        <w:t xml:space="preserve"> para a sede</w:t>
      </w:r>
      <w:bookmarkEnd w:id="48"/>
      <w:bookmarkEnd w:id="49"/>
    </w:p>
    <w:p w:rsidR="00193B74" w:rsidRPr="006346A1" w:rsidRDefault="006346A1" w:rsidP="00193B74">
      <w:pPr>
        <w:pStyle w:val="figura"/>
      </w:pPr>
      <w:r w:rsidRPr="006346A1">
        <w:rPr>
          <w:noProof/>
        </w:rPr>
        <w:drawing>
          <wp:inline distT="0" distB="0" distL="0" distR="0" wp14:anchorId="6072E245" wp14:editId="325F5CD0">
            <wp:extent cx="4320000" cy="2900873"/>
            <wp:effectExtent l="0" t="0" r="4445" b="0"/>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cstate="screen">
                      <a:extLst>
                        <a:ext uri="{28A0092B-C50C-407E-A947-70E740481C1C}">
                          <a14:useLocalDpi xmlns:a14="http://schemas.microsoft.com/office/drawing/2010/main"/>
                        </a:ext>
                      </a:extLst>
                    </a:blip>
                    <a:srcRect/>
                    <a:stretch/>
                  </pic:blipFill>
                  <pic:spPr bwMode="auto">
                    <a:xfrm>
                      <a:off x="0" y="0"/>
                      <a:ext cx="4320000" cy="2900873"/>
                    </a:xfrm>
                    <a:prstGeom prst="rect">
                      <a:avLst/>
                    </a:prstGeom>
                    <a:ln>
                      <a:noFill/>
                    </a:ln>
                    <a:extLst>
                      <a:ext uri="{53640926-AAD7-44D8-BBD7-CCE9431645EC}">
                        <a14:shadowObscured xmlns:a14="http://schemas.microsoft.com/office/drawing/2010/main"/>
                      </a:ext>
                    </a:extLst>
                  </pic:spPr>
                </pic:pic>
              </a:graphicData>
            </a:graphic>
          </wp:inline>
        </w:drawing>
      </w:r>
    </w:p>
    <w:p w:rsidR="00193B74" w:rsidRPr="006346A1" w:rsidRDefault="00193B74" w:rsidP="00193B74">
      <w:pPr>
        <w:pStyle w:val="Fonte"/>
      </w:pPr>
      <w:r w:rsidRPr="006346A1">
        <w:t>Fonte: Adaptado de Google Earth, 2017.</w:t>
      </w:r>
    </w:p>
    <w:p w:rsidR="00193B74" w:rsidRPr="006346A1" w:rsidRDefault="00193B74" w:rsidP="00193B74">
      <w:pPr>
        <w:pStyle w:val="Legenda"/>
        <w:rPr>
          <w:lang w:val="pt-BR"/>
        </w:rPr>
      </w:pPr>
      <w:bookmarkStart w:id="50" w:name="_Ref437963650"/>
      <w:bookmarkStart w:id="51" w:name="_Toc447025470"/>
      <w:bookmarkStart w:id="52" w:name="_Toc444763531"/>
      <w:bookmarkStart w:id="53" w:name="_Toc446339965"/>
      <w:bookmarkStart w:id="54" w:name="_Toc461701791"/>
      <w:bookmarkStart w:id="55" w:name="_Toc497469098"/>
      <w:r w:rsidRPr="006346A1">
        <w:t xml:space="preserve">Figura </w:t>
      </w:r>
      <w:r w:rsidR="00D71C43">
        <w:fldChar w:fldCharType="begin"/>
      </w:r>
      <w:r w:rsidR="00D71C43">
        <w:instrText xml:space="preserve"> SEQ Figura \* ARABIC </w:instrText>
      </w:r>
      <w:r w:rsidR="00D71C43">
        <w:fldChar w:fldCharType="separate"/>
      </w:r>
      <w:r w:rsidR="004D1D76">
        <w:rPr>
          <w:noProof/>
        </w:rPr>
        <w:t>2</w:t>
      </w:r>
      <w:r w:rsidR="00D71C43">
        <w:rPr>
          <w:noProof/>
        </w:rPr>
        <w:fldChar w:fldCharType="end"/>
      </w:r>
      <w:bookmarkEnd w:id="50"/>
      <w:r w:rsidRPr="006346A1">
        <w:t xml:space="preserve"> - Visão panorâmica do local proposto</w:t>
      </w:r>
      <w:bookmarkEnd w:id="51"/>
      <w:bookmarkEnd w:id="52"/>
      <w:bookmarkEnd w:id="53"/>
      <w:r w:rsidRPr="006346A1">
        <w:rPr>
          <w:lang w:val="pt-BR"/>
        </w:rPr>
        <w:t xml:space="preserve"> para a sede</w:t>
      </w:r>
      <w:bookmarkEnd w:id="54"/>
      <w:bookmarkEnd w:id="55"/>
    </w:p>
    <w:p w:rsidR="00193B74" w:rsidRPr="006346A1" w:rsidRDefault="006346A1" w:rsidP="00193B74">
      <w:pPr>
        <w:pStyle w:val="figura"/>
      </w:pPr>
      <w:r w:rsidRPr="006346A1">
        <w:rPr>
          <w:noProof/>
        </w:rPr>
        <w:drawing>
          <wp:inline distT="0" distB="0" distL="0" distR="0" wp14:anchorId="0F78790C" wp14:editId="1BC880E7">
            <wp:extent cx="3600000" cy="3006832"/>
            <wp:effectExtent l="0" t="0" r="635" b="3175"/>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cstate="screen">
                      <a:extLst>
                        <a:ext uri="{28A0092B-C50C-407E-A947-70E740481C1C}">
                          <a14:useLocalDpi xmlns:a14="http://schemas.microsoft.com/office/drawing/2010/main"/>
                        </a:ext>
                      </a:extLst>
                    </a:blip>
                    <a:srcRect/>
                    <a:stretch/>
                  </pic:blipFill>
                  <pic:spPr bwMode="auto">
                    <a:xfrm>
                      <a:off x="0" y="0"/>
                      <a:ext cx="3600000" cy="3006832"/>
                    </a:xfrm>
                    <a:prstGeom prst="rect">
                      <a:avLst/>
                    </a:prstGeom>
                    <a:ln>
                      <a:noFill/>
                    </a:ln>
                    <a:extLst>
                      <a:ext uri="{53640926-AAD7-44D8-BBD7-CCE9431645EC}">
                        <a14:shadowObscured xmlns:a14="http://schemas.microsoft.com/office/drawing/2010/main"/>
                      </a:ext>
                    </a:extLst>
                  </pic:spPr>
                </pic:pic>
              </a:graphicData>
            </a:graphic>
          </wp:inline>
        </w:drawing>
      </w:r>
    </w:p>
    <w:p w:rsidR="00193B74" w:rsidRPr="006346A1" w:rsidRDefault="00193B74" w:rsidP="00193B74">
      <w:pPr>
        <w:pStyle w:val="Fonte"/>
      </w:pPr>
      <w:r w:rsidRPr="006346A1">
        <w:t>Fonte: Adaptado de Google Earth, 2015.</w:t>
      </w:r>
    </w:p>
    <w:p w:rsidR="00193B74" w:rsidRPr="006346A1" w:rsidRDefault="00193B74" w:rsidP="00193B74">
      <w:pPr>
        <w:widowControl w:val="0"/>
        <w:autoSpaceDE w:val="0"/>
        <w:autoSpaceDN w:val="0"/>
        <w:adjustRightInd w:val="0"/>
        <w:spacing w:before="120" w:after="120"/>
        <w:ind w:firstLine="708"/>
        <w:contextualSpacing/>
        <w:rPr>
          <w:rFonts w:cs="Arial"/>
          <w:szCs w:val="24"/>
        </w:rPr>
      </w:pPr>
      <w:r w:rsidRPr="006346A1">
        <w:rPr>
          <w:rFonts w:cs="Arial"/>
          <w:szCs w:val="24"/>
        </w:rPr>
        <w:lastRenderedPageBreak/>
        <w:t xml:space="preserve">O local mostrado nas figuras fica a </w:t>
      </w:r>
      <w:r w:rsidR="006346A1" w:rsidRPr="006346A1">
        <w:rPr>
          <w:rFonts w:cs="Arial"/>
          <w:szCs w:val="24"/>
        </w:rPr>
        <w:t>2,5k</w:t>
      </w:r>
      <w:r w:rsidRPr="006346A1">
        <w:rPr>
          <w:rFonts w:cs="Arial"/>
          <w:szCs w:val="24"/>
        </w:rPr>
        <w:t xml:space="preserve">m de distância da ETA em linha reta. Assim, será preciso verificar </w:t>
      </w:r>
      <w:r w:rsidR="00ED29A1" w:rsidRPr="006346A1">
        <w:rPr>
          <w:rFonts w:cs="Arial"/>
          <w:szCs w:val="24"/>
        </w:rPr>
        <w:t xml:space="preserve">as possibilidades de adução de </w:t>
      </w:r>
      <w:r w:rsidR="006346A1" w:rsidRPr="006346A1">
        <w:rPr>
          <w:rFonts w:cs="Arial"/>
          <w:szCs w:val="24"/>
        </w:rPr>
        <w:t>2,5</w:t>
      </w:r>
      <w:r w:rsidRPr="006346A1">
        <w:rPr>
          <w:rFonts w:cs="Arial"/>
          <w:szCs w:val="24"/>
        </w:rPr>
        <w:t>km até a ETA</w:t>
      </w:r>
      <w:r w:rsidR="006346A1" w:rsidRPr="006346A1">
        <w:rPr>
          <w:rFonts w:cs="Arial"/>
          <w:szCs w:val="24"/>
        </w:rPr>
        <w:t xml:space="preserve"> e ampliação desta para ter tratamento convencional</w:t>
      </w:r>
      <w:r w:rsidRPr="006346A1">
        <w:rPr>
          <w:rFonts w:cs="Arial"/>
          <w:szCs w:val="24"/>
        </w:rPr>
        <w:t xml:space="preserve">. </w:t>
      </w:r>
    </w:p>
    <w:p w:rsidR="00193B74" w:rsidRPr="006346A1" w:rsidRDefault="00193B74" w:rsidP="00193B74">
      <w:pPr>
        <w:widowControl w:val="0"/>
        <w:autoSpaceDE w:val="0"/>
        <w:autoSpaceDN w:val="0"/>
        <w:adjustRightInd w:val="0"/>
        <w:spacing w:before="120" w:after="120"/>
        <w:ind w:firstLine="708"/>
        <w:contextualSpacing/>
        <w:rPr>
          <w:rFonts w:cs="Arial"/>
          <w:szCs w:val="24"/>
        </w:rPr>
      </w:pPr>
      <w:r w:rsidRPr="006346A1">
        <w:rPr>
          <w:szCs w:val="24"/>
        </w:rPr>
        <w:t xml:space="preserve">O </w:t>
      </w:r>
      <w:r w:rsidRPr="006346A1">
        <w:rPr>
          <w:szCs w:val="24"/>
        </w:rPr>
        <w:fldChar w:fldCharType="begin"/>
      </w:r>
      <w:r w:rsidRPr="006346A1">
        <w:rPr>
          <w:szCs w:val="24"/>
        </w:rPr>
        <w:instrText xml:space="preserve"> REF _Ref446584155 \h  \* MERGEFORMAT </w:instrText>
      </w:r>
      <w:r w:rsidRPr="006346A1">
        <w:rPr>
          <w:szCs w:val="24"/>
        </w:rPr>
      </w:r>
      <w:r w:rsidRPr="006346A1">
        <w:rPr>
          <w:szCs w:val="24"/>
        </w:rPr>
        <w:fldChar w:fldCharType="separate"/>
      </w:r>
      <w:r w:rsidR="004D1D76" w:rsidRPr="006346A1">
        <w:t xml:space="preserve">Quadro </w:t>
      </w:r>
      <w:r w:rsidR="004D1D76">
        <w:rPr>
          <w:noProof/>
        </w:rPr>
        <w:t>5</w:t>
      </w:r>
      <w:r w:rsidRPr="006346A1">
        <w:rPr>
          <w:szCs w:val="24"/>
        </w:rPr>
        <w:fldChar w:fldCharType="end"/>
      </w:r>
      <w:r w:rsidRPr="006346A1">
        <w:rPr>
          <w:szCs w:val="24"/>
        </w:rPr>
        <w:t xml:space="preserve"> apresenta os dados referentes ao manancial, os quais foram obtidos no Atlas Digital das Águas de Minas e com o uso da ferramenta AutoCAD. Com base na vazão outorgável do corpo hídrico, foi feita a comparação entre esta e a demanda futura, como é mostrado no </w:t>
      </w:r>
      <w:r w:rsidRPr="006346A1">
        <w:rPr>
          <w:szCs w:val="24"/>
        </w:rPr>
        <w:fldChar w:fldCharType="begin"/>
      </w:r>
      <w:r w:rsidRPr="006346A1">
        <w:rPr>
          <w:szCs w:val="24"/>
        </w:rPr>
        <w:instrText xml:space="preserve"> REF _Ref446584156 \h  \* MERGEFORMAT </w:instrText>
      </w:r>
      <w:r w:rsidRPr="006346A1">
        <w:rPr>
          <w:szCs w:val="24"/>
        </w:rPr>
      </w:r>
      <w:r w:rsidRPr="006346A1">
        <w:rPr>
          <w:szCs w:val="24"/>
        </w:rPr>
        <w:fldChar w:fldCharType="separate"/>
      </w:r>
      <w:r w:rsidR="004D1D76" w:rsidRPr="006346A1">
        <w:t xml:space="preserve">Quadro </w:t>
      </w:r>
      <w:r w:rsidR="004D1D76">
        <w:rPr>
          <w:noProof/>
        </w:rPr>
        <w:t>6</w:t>
      </w:r>
      <w:r w:rsidRPr="006346A1">
        <w:rPr>
          <w:szCs w:val="24"/>
        </w:rPr>
        <w:fldChar w:fldCharType="end"/>
      </w:r>
      <w:r w:rsidRPr="006346A1">
        <w:rPr>
          <w:szCs w:val="24"/>
        </w:rPr>
        <w:t>.</w:t>
      </w:r>
    </w:p>
    <w:p w:rsidR="00193B74" w:rsidRPr="006346A1" w:rsidRDefault="00193B74" w:rsidP="00193B74">
      <w:pPr>
        <w:pStyle w:val="Legenda"/>
        <w:rPr>
          <w:lang w:val="pt-BR"/>
        </w:rPr>
      </w:pPr>
      <w:bookmarkStart w:id="56" w:name="_Ref446584155"/>
      <w:bookmarkStart w:id="57" w:name="_Toc447025504"/>
      <w:bookmarkStart w:id="58" w:name="_Toc444763561"/>
      <w:bookmarkStart w:id="59" w:name="_Toc446340005"/>
      <w:bookmarkStart w:id="60" w:name="_Toc461701908"/>
      <w:bookmarkStart w:id="61" w:name="_Toc497469126"/>
      <w:r w:rsidRPr="006346A1">
        <w:t xml:space="preserve">Quadro </w:t>
      </w:r>
      <w:r w:rsidR="00D71C43">
        <w:fldChar w:fldCharType="begin"/>
      </w:r>
      <w:r w:rsidR="00D71C43">
        <w:instrText xml:space="preserve"> SEQ Quadro \* ARABIC </w:instrText>
      </w:r>
      <w:r w:rsidR="00D71C43">
        <w:fldChar w:fldCharType="separate"/>
      </w:r>
      <w:r w:rsidR="004D1D76">
        <w:rPr>
          <w:noProof/>
        </w:rPr>
        <w:t>5</w:t>
      </w:r>
      <w:r w:rsidR="00D71C43">
        <w:rPr>
          <w:noProof/>
        </w:rPr>
        <w:fldChar w:fldCharType="end"/>
      </w:r>
      <w:bookmarkEnd w:id="56"/>
      <w:r w:rsidRPr="006346A1">
        <w:t xml:space="preserve"> - Dados referentes ao manancial de captação proposto</w:t>
      </w:r>
      <w:bookmarkEnd w:id="57"/>
      <w:bookmarkEnd w:id="58"/>
      <w:bookmarkEnd w:id="59"/>
      <w:r w:rsidRPr="006346A1">
        <w:rPr>
          <w:lang w:val="pt-BR"/>
        </w:rPr>
        <w:t xml:space="preserve"> para a sede</w:t>
      </w:r>
      <w:bookmarkEnd w:id="60"/>
      <w:bookmarkEnd w:id="61"/>
    </w:p>
    <w:tbl>
      <w:tblPr>
        <w:tblW w:w="10099" w:type="dxa"/>
        <w:jc w:val="center"/>
        <w:tblCellMar>
          <w:left w:w="70" w:type="dxa"/>
          <w:right w:w="70" w:type="dxa"/>
        </w:tblCellMar>
        <w:tblLook w:val="04A0" w:firstRow="1" w:lastRow="0" w:firstColumn="1" w:lastColumn="0" w:noHBand="0" w:noVBand="1"/>
      </w:tblPr>
      <w:tblGrid>
        <w:gridCol w:w="2140"/>
        <w:gridCol w:w="2157"/>
        <w:gridCol w:w="1963"/>
        <w:gridCol w:w="2100"/>
        <w:gridCol w:w="778"/>
        <w:gridCol w:w="961"/>
      </w:tblGrid>
      <w:tr w:rsidR="00193B74" w:rsidRPr="006346A1" w:rsidTr="0081207B">
        <w:trPr>
          <w:trHeight w:val="283"/>
          <w:jc w:val="center"/>
        </w:trPr>
        <w:tc>
          <w:tcPr>
            <w:tcW w:w="2140" w:type="dxa"/>
            <w:vMerge w:val="restart"/>
            <w:tcBorders>
              <w:top w:val="single" w:sz="4" w:space="0" w:color="auto"/>
              <w:left w:val="single" w:sz="4" w:space="0" w:color="auto"/>
              <w:bottom w:val="single" w:sz="4" w:space="0" w:color="000000"/>
              <w:right w:val="single" w:sz="4" w:space="0" w:color="auto"/>
            </w:tcBorders>
            <w:noWrap/>
            <w:vAlign w:val="center"/>
            <w:hideMark/>
          </w:tcPr>
          <w:p w:rsidR="00193B74" w:rsidRPr="006346A1" w:rsidRDefault="00193B74" w:rsidP="00193B74">
            <w:pPr>
              <w:spacing w:line="240" w:lineRule="auto"/>
              <w:jc w:val="center"/>
              <w:rPr>
                <w:rFonts w:eastAsia="Times New Roman" w:cs="Arial"/>
                <w:b/>
                <w:bCs/>
                <w:sz w:val="20"/>
                <w:szCs w:val="20"/>
                <w:lang w:eastAsia="pt-BR"/>
              </w:rPr>
            </w:pPr>
            <w:r w:rsidRPr="006346A1">
              <w:rPr>
                <w:rFonts w:eastAsia="Times New Roman" w:cs="Arial"/>
                <w:b/>
                <w:bCs/>
                <w:sz w:val="20"/>
                <w:szCs w:val="20"/>
                <w:lang w:eastAsia="pt-BR"/>
              </w:rPr>
              <w:t>Manancial</w:t>
            </w:r>
          </w:p>
        </w:tc>
        <w:tc>
          <w:tcPr>
            <w:tcW w:w="4120" w:type="dxa"/>
            <w:gridSpan w:val="2"/>
            <w:tcBorders>
              <w:top w:val="single" w:sz="4" w:space="0" w:color="auto"/>
              <w:left w:val="nil"/>
              <w:bottom w:val="single" w:sz="4" w:space="0" w:color="auto"/>
              <w:right w:val="single" w:sz="4" w:space="0" w:color="auto"/>
            </w:tcBorders>
            <w:noWrap/>
            <w:vAlign w:val="center"/>
            <w:hideMark/>
          </w:tcPr>
          <w:p w:rsidR="00193B74" w:rsidRPr="006346A1" w:rsidRDefault="00193B74" w:rsidP="00193B74">
            <w:pPr>
              <w:spacing w:line="240" w:lineRule="auto"/>
              <w:jc w:val="center"/>
              <w:rPr>
                <w:rFonts w:eastAsia="Times New Roman" w:cs="Arial"/>
                <w:b/>
                <w:bCs/>
                <w:sz w:val="20"/>
                <w:szCs w:val="20"/>
                <w:lang w:eastAsia="pt-BR"/>
              </w:rPr>
            </w:pPr>
            <w:r w:rsidRPr="006346A1">
              <w:rPr>
                <w:rFonts w:eastAsia="Times New Roman" w:cs="Arial"/>
                <w:b/>
                <w:bCs/>
                <w:sz w:val="20"/>
                <w:szCs w:val="20"/>
                <w:lang w:eastAsia="pt-BR"/>
              </w:rPr>
              <w:t>Coordenadas UTM - Pontos avaliados</w:t>
            </w:r>
          </w:p>
        </w:tc>
        <w:tc>
          <w:tcPr>
            <w:tcW w:w="2100" w:type="dxa"/>
            <w:vMerge w:val="restart"/>
            <w:tcBorders>
              <w:top w:val="single" w:sz="4" w:space="0" w:color="auto"/>
              <w:left w:val="single" w:sz="4" w:space="0" w:color="auto"/>
              <w:bottom w:val="single" w:sz="4" w:space="0" w:color="000000"/>
              <w:right w:val="single" w:sz="4" w:space="0" w:color="auto"/>
            </w:tcBorders>
            <w:vAlign w:val="center"/>
            <w:hideMark/>
          </w:tcPr>
          <w:p w:rsidR="00193B74" w:rsidRPr="006346A1" w:rsidRDefault="00193B74" w:rsidP="00193B74">
            <w:pPr>
              <w:spacing w:line="240" w:lineRule="auto"/>
              <w:jc w:val="center"/>
              <w:rPr>
                <w:rFonts w:eastAsia="Times New Roman" w:cs="Arial"/>
                <w:b/>
                <w:bCs/>
                <w:sz w:val="20"/>
                <w:szCs w:val="20"/>
                <w:lang w:eastAsia="pt-BR"/>
              </w:rPr>
            </w:pPr>
            <w:r w:rsidRPr="006346A1">
              <w:rPr>
                <w:rFonts w:eastAsia="Times New Roman" w:cs="Arial"/>
                <w:b/>
                <w:bCs/>
                <w:sz w:val="20"/>
                <w:szCs w:val="20"/>
                <w:lang w:eastAsia="pt-BR"/>
              </w:rPr>
              <w:t>Área da bacia de contribuição (km²)</w:t>
            </w:r>
          </w:p>
        </w:tc>
        <w:tc>
          <w:tcPr>
            <w:tcW w:w="1739" w:type="dxa"/>
            <w:gridSpan w:val="2"/>
            <w:tcBorders>
              <w:top w:val="single" w:sz="4" w:space="0" w:color="auto"/>
              <w:left w:val="nil"/>
              <w:bottom w:val="single" w:sz="4" w:space="0" w:color="auto"/>
              <w:right w:val="single" w:sz="4" w:space="0" w:color="auto"/>
            </w:tcBorders>
            <w:noWrap/>
            <w:vAlign w:val="center"/>
            <w:hideMark/>
          </w:tcPr>
          <w:p w:rsidR="00193B74" w:rsidRPr="006346A1" w:rsidRDefault="00193B74" w:rsidP="00193B74">
            <w:pPr>
              <w:spacing w:line="240" w:lineRule="auto"/>
              <w:jc w:val="center"/>
              <w:rPr>
                <w:rFonts w:eastAsia="Times New Roman" w:cs="Arial"/>
                <w:b/>
                <w:bCs/>
                <w:sz w:val="20"/>
                <w:szCs w:val="20"/>
                <w:lang w:eastAsia="pt-BR"/>
              </w:rPr>
            </w:pPr>
            <w:r w:rsidRPr="006346A1">
              <w:rPr>
                <w:rFonts w:eastAsia="Times New Roman" w:cs="Arial"/>
                <w:b/>
                <w:bCs/>
                <w:sz w:val="20"/>
                <w:szCs w:val="20"/>
                <w:lang w:eastAsia="pt-BR"/>
              </w:rPr>
              <w:t>Vazões (L/s)</w:t>
            </w:r>
          </w:p>
        </w:tc>
      </w:tr>
      <w:tr w:rsidR="00193B74" w:rsidRPr="006346A1" w:rsidTr="0081207B">
        <w:trPr>
          <w:trHeight w:val="283"/>
          <w:jc w:val="center"/>
        </w:trPr>
        <w:tc>
          <w:tcPr>
            <w:tcW w:w="0" w:type="auto"/>
            <w:vMerge/>
            <w:tcBorders>
              <w:top w:val="single" w:sz="4" w:space="0" w:color="auto"/>
              <w:left w:val="single" w:sz="4" w:space="0" w:color="auto"/>
              <w:bottom w:val="single" w:sz="4" w:space="0" w:color="000000"/>
              <w:right w:val="single" w:sz="4" w:space="0" w:color="auto"/>
            </w:tcBorders>
            <w:vAlign w:val="center"/>
            <w:hideMark/>
          </w:tcPr>
          <w:p w:rsidR="00193B74" w:rsidRPr="006346A1" w:rsidRDefault="00193B74" w:rsidP="00193B74">
            <w:pPr>
              <w:spacing w:line="240" w:lineRule="auto"/>
              <w:rPr>
                <w:rFonts w:eastAsia="Times New Roman" w:cs="Arial"/>
                <w:b/>
                <w:bCs/>
                <w:sz w:val="20"/>
                <w:szCs w:val="20"/>
                <w:lang w:eastAsia="pt-BR"/>
              </w:rPr>
            </w:pPr>
          </w:p>
        </w:tc>
        <w:tc>
          <w:tcPr>
            <w:tcW w:w="2157" w:type="dxa"/>
            <w:tcBorders>
              <w:top w:val="nil"/>
              <w:left w:val="nil"/>
              <w:bottom w:val="single" w:sz="4" w:space="0" w:color="auto"/>
              <w:right w:val="single" w:sz="4" w:space="0" w:color="auto"/>
            </w:tcBorders>
            <w:noWrap/>
            <w:vAlign w:val="center"/>
            <w:hideMark/>
          </w:tcPr>
          <w:p w:rsidR="00193B74" w:rsidRPr="006346A1" w:rsidRDefault="00193B74" w:rsidP="00193B74">
            <w:pPr>
              <w:spacing w:line="240" w:lineRule="auto"/>
              <w:jc w:val="center"/>
              <w:rPr>
                <w:rFonts w:eastAsia="Times New Roman" w:cs="Arial"/>
                <w:b/>
                <w:bCs/>
                <w:sz w:val="20"/>
                <w:szCs w:val="20"/>
                <w:lang w:eastAsia="pt-BR"/>
              </w:rPr>
            </w:pPr>
            <w:r w:rsidRPr="006346A1">
              <w:rPr>
                <w:rFonts w:eastAsia="Times New Roman" w:cs="Arial"/>
                <w:b/>
                <w:bCs/>
                <w:sz w:val="20"/>
                <w:szCs w:val="20"/>
                <w:lang w:eastAsia="pt-BR"/>
              </w:rPr>
              <w:t>Sul</w:t>
            </w:r>
          </w:p>
        </w:tc>
        <w:tc>
          <w:tcPr>
            <w:tcW w:w="1963" w:type="dxa"/>
            <w:tcBorders>
              <w:top w:val="nil"/>
              <w:left w:val="nil"/>
              <w:bottom w:val="single" w:sz="4" w:space="0" w:color="auto"/>
              <w:right w:val="single" w:sz="4" w:space="0" w:color="auto"/>
            </w:tcBorders>
            <w:noWrap/>
            <w:vAlign w:val="center"/>
            <w:hideMark/>
          </w:tcPr>
          <w:p w:rsidR="00193B74" w:rsidRPr="006346A1" w:rsidRDefault="00193B74" w:rsidP="00193B74">
            <w:pPr>
              <w:spacing w:line="240" w:lineRule="auto"/>
              <w:jc w:val="center"/>
              <w:rPr>
                <w:rFonts w:eastAsia="Times New Roman" w:cs="Arial"/>
                <w:b/>
                <w:bCs/>
                <w:sz w:val="20"/>
                <w:szCs w:val="20"/>
                <w:lang w:eastAsia="pt-BR"/>
              </w:rPr>
            </w:pPr>
            <w:r w:rsidRPr="006346A1">
              <w:rPr>
                <w:rFonts w:eastAsia="Times New Roman" w:cs="Arial"/>
                <w:b/>
                <w:bCs/>
                <w:sz w:val="20"/>
                <w:szCs w:val="20"/>
                <w:lang w:eastAsia="pt-BR"/>
              </w:rPr>
              <w:t>Leste</w:t>
            </w: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193B74" w:rsidRPr="006346A1" w:rsidRDefault="00193B74" w:rsidP="00193B74">
            <w:pPr>
              <w:spacing w:line="240" w:lineRule="auto"/>
              <w:rPr>
                <w:rFonts w:eastAsia="Times New Roman" w:cs="Arial"/>
                <w:b/>
                <w:bCs/>
                <w:sz w:val="20"/>
                <w:szCs w:val="20"/>
                <w:lang w:eastAsia="pt-BR"/>
              </w:rPr>
            </w:pPr>
          </w:p>
        </w:tc>
        <w:tc>
          <w:tcPr>
            <w:tcW w:w="778" w:type="dxa"/>
            <w:tcBorders>
              <w:top w:val="nil"/>
              <w:left w:val="nil"/>
              <w:bottom w:val="single" w:sz="4" w:space="0" w:color="auto"/>
              <w:right w:val="single" w:sz="4" w:space="0" w:color="auto"/>
            </w:tcBorders>
            <w:noWrap/>
            <w:vAlign w:val="center"/>
            <w:hideMark/>
          </w:tcPr>
          <w:p w:rsidR="00193B74" w:rsidRPr="006346A1" w:rsidRDefault="00193B74" w:rsidP="00193B74">
            <w:pPr>
              <w:spacing w:line="240" w:lineRule="auto"/>
              <w:jc w:val="center"/>
              <w:rPr>
                <w:rFonts w:eastAsia="Times New Roman" w:cs="Arial"/>
                <w:b/>
                <w:bCs/>
                <w:sz w:val="20"/>
                <w:szCs w:val="20"/>
                <w:lang w:eastAsia="pt-BR"/>
              </w:rPr>
            </w:pPr>
            <w:r w:rsidRPr="006346A1">
              <w:rPr>
                <w:rFonts w:eastAsia="Times New Roman" w:cs="Arial"/>
                <w:b/>
                <w:bCs/>
                <w:sz w:val="20"/>
                <w:szCs w:val="20"/>
                <w:lang w:eastAsia="pt-BR"/>
              </w:rPr>
              <w:t>Q</w:t>
            </w:r>
            <w:r w:rsidRPr="006346A1">
              <w:rPr>
                <w:rFonts w:eastAsia="Times New Roman" w:cs="Arial"/>
                <w:b/>
                <w:bCs/>
                <w:sz w:val="20"/>
                <w:szCs w:val="20"/>
                <w:vertAlign w:val="subscript"/>
                <w:lang w:eastAsia="pt-BR"/>
              </w:rPr>
              <w:t>7,10</w:t>
            </w:r>
          </w:p>
        </w:tc>
        <w:tc>
          <w:tcPr>
            <w:tcW w:w="961" w:type="dxa"/>
            <w:tcBorders>
              <w:top w:val="nil"/>
              <w:left w:val="nil"/>
              <w:bottom w:val="single" w:sz="4" w:space="0" w:color="auto"/>
              <w:right w:val="single" w:sz="4" w:space="0" w:color="auto"/>
            </w:tcBorders>
            <w:noWrap/>
            <w:vAlign w:val="center"/>
            <w:hideMark/>
          </w:tcPr>
          <w:p w:rsidR="00193B74" w:rsidRPr="006346A1" w:rsidRDefault="00193B74" w:rsidP="00193B74">
            <w:pPr>
              <w:spacing w:line="240" w:lineRule="auto"/>
              <w:jc w:val="center"/>
              <w:rPr>
                <w:rFonts w:eastAsia="Times New Roman" w:cs="Arial"/>
                <w:b/>
                <w:bCs/>
                <w:sz w:val="20"/>
                <w:szCs w:val="20"/>
                <w:lang w:eastAsia="pt-BR"/>
              </w:rPr>
            </w:pPr>
            <w:r w:rsidRPr="006346A1">
              <w:rPr>
                <w:rFonts w:eastAsia="Times New Roman" w:cs="Arial"/>
                <w:b/>
                <w:bCs/>
                <w:sz w:val="20"/>
                <w:szCs w:val="20"/>
                <w:lang w:eastAsia="pt-BR"/>
              </w:rPr>
              <w:t>Q</w:t>
            </w:r>
            <w:r w:rsidRPr="006346A1">
              <w:rPr>
                <w:rFonts w:eastAsia="Times New Roman" w:cs="Arial"/>
                <w:b/>
                <w:bCs/>
                <w:sz w:val="20"/>
                <w:szCs w:val="20"/>
                <w:vertAlign w:val="subscript"/>
                <w:lang w:eastAsia="pt-BR"/>
              </w:rPr>
              <w:t>outorgável</w:t>
            </w:r>
          </w:p>
        </w:tc>
      </w:tr>
      <w:tr w:rsidR="00193B74" w:rsidRPr="007A2B6D" w:rsidTr="0081207B">
        <w:trPr>
          <w:trHeight w:val="283"/>
          <w:jc w:val="center"/>
        </w:trPr>
        <w:tc>
          <w:tcPr>
            <w:tcW w:w="2140" w:type="dxa"/>
            <w:tcBorders>
              <w:top w:val="nil"/>
              <w:left w:val="single" w:sz="4" w:space="0" w:color="auto"/>
              <w:bottom w:val="single" w:sz="4" w:space="0" w:color="auto"/>
              <w:right w:val="single" w:sz="4" w:space="0" w:color="auto"/>
            </w:tcBorders>
            <w:noWrap/>
            <w:vAlign w:val="center"/>
            <w:hideMark/>
          </w:tcPr>
          <w:p w:rsidR="00193B74" w:rsidRPr="006346A1" w:rsidRDefault="006346A1" w:rsidP="00193B74">
            <w:pPr>
              <w:spacing w:line="240" w:lineRule="auto"/>
              <w:rPr>
                <w:rFonts w:eastAsia="Times New Roman" w:cs="Arial"/>
                <w:sz w:val="20"/>
                <w:szCs w:val="20"/>
                <w:lang w:eastAsia="pt-BR"/>
              </w:rPr>
            </w:pPr>
            <w:r w:rsidRPr="006346A1">
              <w:rPr>
                <w:rFonts w:eastAsia="Times New Roman" w:cs="Arial"/>
                <w:sz w:val="20"/>
                <w:szCs w:val="20"/>
                <w:lang w:eastAsia="pt-BR"/>
              </w:rPr>
              <w:t>Córrego da Ferrugem</w:t>
            </w:r>
          </w:p>
        </w:tc>
        <w:tc>
          <w:tcPr>
            <w:tcW w:w="2157" w:type="dxa"/>
            <w:tcBorders>
              <w:top w:val="nil"/>
              <w:left w:val="nil"/>
              <w:bottom w:val="single" w:sz="4" w:space="0" w:color="auto"/>
              <w:right w:val="single" w:sz="4" w:space="0" w:color="auto"/>
            </w:tcBorders>
            <w:noWrap/>
            <w:vAlign w:val="center"/>
            <w:hideMark/>
          </w:tcPr>
          <w:p w:rsidR="00193B74" w:rsidRPr="006346A1" w:rsidRDefault="006346A1" w:rsidP="004C0BF6">
            <w:pPr>
              <w:spacing w:line="240" w:lineRule="auto"/>
              <w:jc w:val="right"/>
              <w:rPr>
                <w:rFonts w:eastAsia="Times New Roman" w:cs="Arial"/>
                <w:sz w:val="20"/>
                <w:szCs w:val="20"/>
                <w:lang w:eastAsia="pt-BR"/>
              </w:rPr>
            </w:pPr>
            <w:r w:rsidRPr="006346A1">
              <w:rPr>
                <w:rFonts w:eastAsia="Times New Roman" w:cs="Arial"/>
                <w:sz w:val="20"/>
                <w:szCs w:val="20"/>
                <w:lang w:eastAsia="pt-BR"/>
              </w:rPr>
              <w:t xml:space="preserve">7.803.686 </w:t>
            </w:r>
            <w:r w:rsidR="00193B74" w:rsidRPr="006346A1">
              <w:rPr>
                <w:rFonts w:eastAsia="Times New Roman" w:cs="Arial"/>
                <w:sz w:val="20"/>
                <w:szCs w:val="20"/>
                <w:lang w:eastAsia="pt-BR"/>
              </w:rPr>
              <w:t>m</w:t>
            </w:r>
          </w:p>
        </w:tc>
        <w:tc>
          <w:tcPr>
            <w:tcW w:w="1963" w:type="dxa"/>
            <w:tcBorders>
              <w:top w:val="nil"/>
              <w:left w:val="nil"/>
              <w:bottom w:val="single" w:sz="4" w:space="0" w:color="auto"/>
              <w:right w:val="single" w:sz="4" w:space="0" w:color="auto"/>
            </w:tcBorders>
            <w:noWrap/>
            <w:vAlign w:val="center"/>
            <w:hideMark/>
          </w:tcPr>
          <w:p w:rsidR="00193B74" w:rsidRPr="006346A1" w:rsidRDefault="006346A1" w:rsidP="004C0BF6">
            <w:pPr>
              <w:spacing w:line="240" w:lineRule="auto"/>
              <w:jc w:val="right"/>
              <w:rPr>
                <w:rFonts w:eastAsia="Times New Roman" w:cs="Arial"/>
                <w:sz w:val="20"/>
                <w:szCs w:val="20"/>
                <w:lang w:eastAsia="pt-BR"/>
              </w:rPr>
            </w:pPr>
            <w:r w:rsidRPr="006346A1">
              <w:rPr>
                <w:rFonts w:eastAsia="Times New Roman" w:cs="Arial"/>
                <w:sz w:val="20"/>
                <w:szCs w:val="20"/>
                <w:lang w:eastAsia="pt-BR"/>
              </w:rPr>
              <w:t>769.607</w:t>
            </w:r>
            <w:r w:rsidR="004C0BF6" w:rsidRPr="006346A1">
              <w:rPr>
                <w:rFonts w:eastAsia="Times New Roman" w:cs="Arial"/>
                <w:sz w:val="20"/>
                <w:szCs w:val="20"/>
                <w:lang w:eastAsia="pt-BR"/>
              </w:rPr>
              <w:t xml:space="preserve"> </w:t>
            </w:r>
            <w:r w:rsidR="00193B74" w:rsidRPr="006346A1">
              <w:rPr>
                <w:rFonts w:eastAsia="Times New Roman" w:cs="Arial"/>
                <w:sz w:val="20"/>
                <w:szCs w:val="20"/>
                <w:lang w:eastAsia="pt-BR"/>
              </w:rPr>
              <w:t>m</w:t>
            </w:r>
          </w:p>
        </w:tc>
        <w:tc>
          <w:tcPr>
            <w:tcW w:w="2100" w:type="dxa"/>
            <w:tcBorders>
              <w:top w:val="nil"/>
              <w:left w:val="nil"/>
              <w:bottom w:val="single" w:sz="4" w:space="0" w:color="auto"/>
              <w:right w:val="single" w:sz="4" w:space="0" w:color="auto"/>
            </w:tcBorders>
            <w:noWrap/>
            <w:vAlign w:val="center"/>
            <w:hideMark/>
          </w:tcPr>
          <w:p w:rsidR="00193B74" w:rsidRPr="006346A1" w:rsidRDefault="006346A1" w:rsidP="00ED29A1">
            <w:pPr>
              <w:spacing w:line="240" w:lineRule="auto"/>
              <w:jc w:val="right"/>
              <w:rPr>
                <w:rFonts w:eastAsia="Times New Roman" w:cs="Arial"/>
                <w:sz w:val="20"/>
                <w:szCs w:val="20"/>
                <w:lang w:eastAsia="pt-BR"/>
              </w:rPr>
            </w:pPr>
            <w:r w:rsidRPr="006346A1">
              <w:rPr>
                <w:rFonts w:eastAsia="Times New Roman" w:cs="Arial"/>
                <w:sz w:val="20"/>
                <w:szCs w:val="20"/>
                <w:lang w:eastAsia="pt-BR"/>
              </w:rPr>
              <w:t>5,6052</w:t>
            </w:r>
          </w:p>
        </w:tc>
        <w:tc>
          <w:tcPr>
            <w:tcW w:w="778" w:type="dxa"/>
            <w:tcBorders>
              <w:top w:val="nil"/>
              <w:left w:val="nil"/>
              <w:bottom w:val="single" w:sz="4" w:space="0" w:color="auto"/>
              <w:right w:val="single" w:sz="4" w:space="0" w:color="auto"/>
            </w:tcBorders>
            <w:noWrap/>
            <w:vAlign w:val="center"/>
            <w:hideMark/>
          </w:tcPr>
          <w:p w:rsidR="00193B74" w:rsidRPr="006346A1" w:rsidRDefault="006346A1" w:rsidP="006346A1">
            <w:pPr>
              <w:spacing w:line="240" w:lineRule="auto"/>
              <w:jc w:val="right"/>
              <w:rPr>
                <w:rFonts w:eastAsia="Times New Roman" w:cs="Arial"/>
                <w:sz w:val="20"/>
                <w:szCs w:val="20"/>
                <w:lang w:eastAsia="pt-BR"/>
              </w:rPr>
            </w:pPr>
            <w:r w:rsidRPr="006346A1">
              <w:rPr>
                <w:rFonts w:eastAsia="Times New Roman" w:cs="Arial"/>
                <w:sz w:val="20"/>
                <w:szCs w:val="20"/>
                <w:lang w:eastAsia="pt-BR"/>
              </w:rPr>
              <w:t>21</w:t>
            </w:r>
            <w:r w:rsidR="00193B74" w:rsidRPr="006346A1">
              <w:rPr>
                <w:rFonts w:eastAsia="Times New Roman" w:cs="Arial"/>
                <w:sz w:val="20"/>
                <w:szCs w:val="20"/>
                <w:lang w:eastAsia="pt-BR"/>
              </w:rPr>
              <w:t>,</w:t>
            </w:r>
            <w:r w:rsidRPr="006346A1">
              <w:rPr>
                <w:rFonts w:eastAsia="Times New Roman" w:cs="Arial"/>
                <w:sz w:val="20"/>
                <w:szCs w:val="20"/>
                <w:lang w:eastAsia="pt-BR"/>
              </w:rPr>
              <w:t>78</w:t>
            </w:r>
          </w:p>
        </w:tc>
        <w:tc>
          <w:tcPr>
            <w:tcW w:w="961" w:type="dxa"/>
            <w:tcBorders>
              <w:top w:val="nil"/>
              <w:left w:val="nil"/>
              <w:bottom w:val="single" w:sz="4" w:space="0" w:color="auto"/>
              <w:right w:val="single" w:sz="4" w:space="0" w:color="auto"/>
            </w:tcBorders>
            <w:noWrap/>
            <w:vAlign w:val="center"/>
            <w:hideMark/>
          </w:tcPr>
          <w:p w:rsidR="00193B74" w:rsidRPr="006346A1" w:rsidRDefault="006346A1" w:rsidP="006346A1">
            <w:pPr>
              <w:spacing w:line="240" w:lineRule="auto"/>
              <w:jc w:val="right"/>
              <w:rPr>
                <w:rFonts w:eastAsia="Times New Roman" w:cs="Arial"/>
                <w:sz w:val="20"/>
                <w:szCs w:val="20"/>
                <w:lang w:eastAsia="pt-BR"/>
              </w:rPr>
            </w:pPr>
            <w:r w:rsidRPr="006346A1">
              <w:rPr>
                <w:rFonts w:eastAsia="Times New Roman" w:cs="Arial"/>
                <w:sz w:val="20"/>
                <w:szCs w:val="20"/>
                <w:lang w:eastAsia="pt-BR"/>
              </w:rPr>
              <w:t>10</w:t>
            </w:r>
            <w:r w:rsidR="00B21D40" w:rsidRPr="006346A1">
              <w:rPr>
                <w:rFonts w:eastAsia="Times New Roman" w:cs="Arial"/>
                <w:sz w:val="20"/>
                <w:szCs w:val="20"/>
                <w:lang w:eastAsia="pt-BR"/>
              </w:rPr>
              <w:t>,</w:t>
            </w:r>
            <w:r w:rsidRPr="006346A1">
              <w:rPr>
                <w:rFonts w:eastAsia="Times New Roman" w:cs="Arial"/>
                <w:sz w:val="20"/>
                <w:szCs w:val="20"/>
                <w:lang w:eastAsia="pt-BR"/>
              </w:rPr>
              <w:t>89</w:t>
            </w:r>
          </w:p>
        </w:tc>
      </w:tr>
    </w:tbl>
    <w:p w:rsidR="00193B74" w:rsidRPr="006346A1" w:rsidRDefault="00193B74" w:rsidP="00193B74">
      <w:pPr>
        <w:pStyle w:val="Fonte"/>
      </w:pPr>
      <w:r w:rsidRPr="006346A1">
        <w:t>Fonte: SHS, 2017.</w:t>
      </w:r>
    </w:p>
    <w:p w:rsidR="00193B74" w:rsidRPr="006346A1" w:rsidRDefault="00193B74" w:rsidP="00193B74">
      <w:pPr>
        <w:pStyle w:val="Legenda"/>
      </w:pPr>
      <w:bookmarkStart w:id="62" w:name="_Ref446584156"/>
      <w:bookmarkStart w:id="63" w:name="_Toc447025505"/>
      <w:bookmarkStart w:id="64" w:name="_Toc444763562"/>
      <w:bookmarkStart w:id="65" w:name="_Toc446340006"/>
      <w:bookmarkStart w:id="66" w:name="_Toc461701909"/>
      <w:bookmarkStart w:id="67" w:name="_Toc497469127"/>
      <w:r w:rsidRPr="006346A1">
        <w:t xml:space="preserve">Quadro </w:t>
      </w:r>
      <w:r w:rsidR="00D71C43">
        <w:fldChar w:fldCharType="begin"/>
      </w:r>
      <w:r w:rsidR="00D71C43">
        <w:instrText xml:space="preserve"> SEQ Quadro \* ARABIC </w:instrText>
      </w:r>
      <w:r w:rsidR="00D71C43">
        <w:fldChar w:fldCharType="separate"/>
      </w:r>
      <w:r w:rsidR="004D1D76">
        <w:rPr>
          <w:noProof/>
        </w:rPr>
        <w:t>6</w:t>
      </w:r>
      <w:r w:rsidR="00D71C43">
        <w:rPr>
          <w:noProof/>
        </w:rPr>
        <w:fldChar w:fldCharType="end"/>
      </w:r>
      <w:bookmarkEnd w:id="62"/>
      <w:r w:rsidRPr="006346A1">
        <w:t xml:space="preserve"> - Balanço entre a vazão outorgável no manancial recomendado</w:t>
      </w:r>
      <w:r w:rsidRPr="006346A1">
        <w:rPr>
          <w:lang w:val="pt-BR"/>
        </w:rPr>
        <w:t xml:space="preserve"> para a sede</w:t>
      </w:r>
      <w:r w:rsidRPr="006346A1">
        <w:t xml:space="preserve"> e a demanda futura</w:t>
      </w:r>
      <w:bookmarkEnd w:id="63"/>
      <w:bookmarkEnd w:id="64"/>
      <w:bookmarkEnd w:id="65"/>
      <w:bookmarkEnd w:id="66"/>
      <w:bookmarkEnd w:id="67"/>
    </w:p>
    <w:tbl>
      <w:tblPr>
        <w:tblW w:w="7660" w:type="dxa"/>
        <w:jc w:val="center"/>
        <w:tblCellMar>
          <w:left w:w="70" w:type="dxa"/>
          <w:right w:w="70" w:type="dxa"/>
        </w:tblCellMar>
        <w:tblLook w:val="04A0" w:firstRow="1" w:lastRow="0" w:firstColumn="1" w:lastColumn="0" w:noHBand="0" w:noVBand="1"/>
      </w:tblPr>
      <w:tblGrid>
        <w:gridCol w:w="820"/>
        <w:gridCol w:w="2280"/>
        <w:gridCol w:w="2280"/>
        <w:gridCol w:w="2280"/>
      </w:tblGrid>
      <w:tr w:rsidR="0092438C" w:rsidRPr="0092438C" w:rsidTr="00852088">
        <w:trPr>
          <w:trHeight w:val="283"/>
          <w:tblHeader/>
          <w:jc w:val="center"/>
        </w:trPr>
        <w:tc>
          <w:tcPr>
            <w:tcW w:w="8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D2E69" w:rsidRPr="0092438C" w:rsidRDefault="00AD2E69" w:rsidP="00852088">
            <w:pPr>
              <w:spacing w:line="240" w:lineRule="auto"/>
              <w:jc w:val="center"/>
              <w:rPr>
                <w:rFonts w:eastAsia="Times New Roman" w:cs="Arial"/>
                <w:b/>
                <w:bCs/>
                <w:sz w:val="20"/>
                <w:szCs w:val="20"/>
                <w:lang w:eastAsia="pt-BR"/>
              </w:rPr>
            </w:pPr>
            <w:r w:rsidRPr="0092438C">
              <w:rPr>
                <w:rFonts w:eastAsia="Times New Roman" w:cs="Arial"/>
                <w:b/>
                <w:bCs/>
                <w:sz w:val="20"/>
                <w:szCs w:val="20"/>
                <w:lang w:eastAsia="pt-BR"/>
              </w:rPr>
              <w:t>Ano</w:t>
            </w:r>
          </w:p>
        </w:tc>
        <w:tc>
          <w:tcPr>
            <w:tcW w:w="2280" w:type="dxa"/>
            <w:tcBorders>
              <w:top w:val="single" w:sz="4" w:space="0" w:color="auto"/>
              <w:left w:val="nil"/>
              <w:bottom w:val="single" w:sz="4" w:space="0" w:color="auto"/>
              <w:right w:val="nil"/>
            </w:tcBorders>
            <w:shd w:val="clear" w:color="auto" w:fill="auto"/>
            <w:noWrap/>
            <w:vAlign w:val="center"/>
            <w:hideMark/>
          </w:tcPr>
          <w:p w:rsidR="00AD2E69" w:rsidRPr="0092438C" w:rsidRDefault="00AD2E69" w:rsidP="00852088">
            <w:pPr>
              <w:spacing w:line="240" w:lineRule="auto"/>
              <w:jc w:val="center"/>
              <w:rPr>
                <w:rFonts w:eastAsia="Times New Roman" w:cs="Arial"/>
                <w:b/>
                <w:bCs/>
                <w:sz w:val="20"/>
                <w:szCs w:val="20"/>
                <w:lang w:eastAsia="pt-BR"/>
              </w:rPr>
            </w:pPr>
            <w:r w:rsidRPr="0092438C">
              <w:rPr>
                <w:rFonts w:eastAsia="Times New Roman" w:cs="Arial"/>
                <w:b/>
                <w:bCs/>
                <w:sz w:val="20"/>
                <w:szCs w:val="20"/>
                <w:lang w:eastAsia="pt-BR"/>
              </w:rPr>
              <w:t>Vazão outorgável (L/s)</w:t>
            </w:r>
          </w:p>
        </w:tc>
        <w:tc>
          <w:tcPr>
            <w:tcW w:w="228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D2E69" w:rsidRPr="0092438C" w:rsidRDefault="00AD2E69" w:rsidP="00852088">
            <w:pPr>
              <w:spacing w:line="240" w:lineRule="auto"/>
              <w:jc w:val="center"/>
              <w:rPr>
                <w:rFonts w:eastAsia="Times New Roman" w:cs="Arial"/>
                <w:b/>
                <w:bCs/>
                <w:sz w:val="20"/>
                <w:szCs w:val="20"/>
                <w:lang w:eastAsia="pt-BR"/>
              </w:rPr>
            </w:pPr>
            <w:r w:rsidRPr="0092438C">
              <w:rPr>
                <w:rFonts w:eastAsia="Times New Roman" w:cs="Arial"/>
                <w:b/>
                <w:bCs/>
                <w:sz w:val="20"/>
                <w:szCs w:val="20"/>
                <w:lang w:eastAsia="pt-BR"/>
              </w:rPr>
              <w:t>Demanda - Cenário Previsível (L/s)</w:t>
            </w:r>
          </w:p>
        </w:tc>
        <w:tc>
          <w:tcPr>
            <w:tcW w:w="2280" w:type="dxa"/>
            <w:vMerge w:val="restart"/>
            <w:tcBorders>
              <w:top w:val="single" w:sz="4" w:space="0" w:color="auto"/>
              <w:left w:val="single" w:sz="4" w:space="0" w:color="auto"/>
              <w:right w:val="single" w:sz="4" w:space="0" w:color="auto"/>
            </w:tcBorders>
            <w:vAlign w:val="center"/>
          </w:tcPr>
          <w:p w:rsidR="00AD2E69" w:rsidRPr="0092438C" w:rsidRDefault="00AD2E69" w:rsidP="00852088">
            <w:pPr>
              <w:spacing w:line="240" w:lineRule="auto"/>
              <w:jc w:val="center"/>
              <w:rPr>
                <w:rFonts w:eastAsia="Times New Roman" w:cs="Arial"/>
                <w:b/>
                <w:bCs/>
                <w:sz w:val="20"/>
                <w:szCs w:val="20"/>
                <w:lang w:eastAsia="pt-BR"/>
              </w:rPr>
            </w:pPr>
            <w:r w:rsidRPr="0092438C">
              <w:rPr>
                <w:rFonts w:eastAsia="Times New Roman" w:cs="Arial"/>
                <w:b/>
                <w:bCs/>
                <w:sz w:val="20"/>
                <w:szCs w:val="20"/>
                <w:lang w:eastAsia="pt-BR"/>
              </w:rPr>
              <w:t xml:space="preserve">Demanda </w:t>
            </w:r>
            <w:r w:rsidR="00852088" w:rsidRPr="0092438C">
              <w:rPr>
                <w:rFonts w:eastAsia="Times New Roman" w:cs="Arial"/>
                <w:b/>
                <w:bCs/>
                <w:sz w:val="20"/>
                <w:szCs w:val="20"/>
                <w:lang w:eastAsia="pt-BR"/>
              </w:rPr>
              <w:t>-</w:t>
            </w:r>
            <w:r w:rsidRPr="0092438C">
              <w:rPr>
                <w:rFonts w:eastAsia="Times New Roman" w:cs="Arial"/>
                <w:b/>
                <w:bCs/>
                <w:sz w:val="20"/>
                <w:szCs w:val="20"/>
                <w:lang w:eastAsia="pt-BR"/>
              </w:rPr>
              <w:t xml:space="preserve"> Cenário Normativo (L/s)</w:t>
            </w:r>
          </w:p>
        </w:tc>
      </w:tr>
      <w:tr w:rsidR="0092438C" w:rsidRPr="0092438C" w:rsidTr="00852088">
        <w:trPr>
          <w:trHeight w:val="283"/>
          <w:tblHeader/>
          <w:jc w:val="center"/>
        </w:trPr>
        <w:tc>
          <w:tcPr>
            <w:tcW w:w="820" w:type="dxa"/>
            <w:vMerge/>
            <w:tcBorders>
              <w:top w:val="single" w:sz="4" w:space="0" w:color="auto"/>
              <w:left w:val="single" w:sz="4" w:space="0" w:color="auto"/>
              <w:bottom w:val="single" w:sz="4" w:space="0" w:color="auto"/>
              <w:right w:val="single" w:sz="4" w:space="0" w:color="auto"/>
            </w:tcBorders>
            <w:vAlign w:val="center"/>
            <w:hideMark/>
          </w:tcPr>
          <w:p w:rsidR="00AD2E69" w:rsidRPr="0092438C" w:rsidRDefault="00AD2E69" w:rsidP="00852088">
            <w:pPr>
              <w:spacing w:line="240" w:lineRule="auto"/>
              <w:jc w:val="center"/>
              <w:rPr>
                <w:rFonts w:eastAsia="Times New Roman" w:cs="Arial"/>
                <w:b/>
                <w:bCs/>
                <w:sz w:val="20"/>
                <w:szCs w:val="20"/>
                <w:lang w:eastAsia="pt-BR"/>
              </w:rPr>
            </w:pPr>
          </w:p>
        </w:tc>
        <w:tc>
          <w:tcPr>
            <w:tcW w:w="2280" w:type="dxa"/>
            <w:tcBorders>
              <w:top w:val="nil"/>
              <w:left w:val="nil"/>
              <w:bottom w:val="single" w:sz="4" w:space="0" w:color="auto"/>
              <w:right w:val="single" w:sz="4" w:space="0" w:color="auto"/>
            </w:tcBorders>
            <w:shd w:val="clear" w:color="auto" w:fill="auto"/>
            <w:noWrap/>
            <w:vAlign w:val="center"/>
            <w:hideMark/>
          </w:tcPr>
          <w:p w:rsidR="00AD2E69" w:rsidRPr="0092438C" w:rsidRDefault="00AD2E69"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Córrego da Ferrugem</w:t>
            </w:r>
          </w:p>
        </w:tc>
        <w:tc>
          <w:tcPr>
            <w:tcW w:w="2280" w:type="dxa"/>
            <w:vMerge/>
            <w:tcBorders>
              <w:top w:val="single" w:sz="4" w:space="0" w:color="auto"/>
              <w:left w:val="single" w:sz="4" w:space="0" w:color="auto"/>
              <w:bottom w:val="single" w:sz="4" w:space="0" w:color="auto"/>
              <w:right w:val="single" w:sz="4" w:space="0" w:color="auto"/>
            </w:tcBorders>
            <w:vAlign w:val="center"/>
            <w:hideMark/>
          </w:tcPr>
          <w:p w:rsidR="00AD2E69" w:rsidRPr="0092438C" w:rsidRDefault="00AD2E69" w:rsidP="00852088">
            <w:pPr>
              <w:spacing w:line="240" w:lineRule="auto"/>
              <w:jc w:val="center"/>
              <w:rPr>
                <w:rFonts w:eastAsia="Times New Roman" w:cs="Arial"/>
                <w:b/>
                <w:bCs/>
                <w:sz w:val="20"/>
                <w:szCs w:val="20"/>
                <w:highlight w:val="yellow"/>
                <w:lang w:eastAsia="pt-BR"/>
              </w:rPr>
            </w:pPr>
          </w:p>
        </w:tc>
        <w:tc>
          <w:tcPr>
            <w:tcW w:w="2280" w:type="dxa"/>
            <w:vMerge/>
            <w:tcBorders>
              <w:left w:val="single" w:sz="4" w:space="0" w:color="auto"/>
              <w:bottom w:val="single" w:sz="4" w:space="0" w:color="auto"/>
              <w:right w:val="single" w:sz="4" w:space="0" w:color="auto"/>
            </w:tcBorders>
            <w:vAlign w:val="center"/>
          </w:tcPr>
          <w:p w:rsidR="00AD2E69" w:rsidRPr="0092438C" w:rsidRDefault="00AD2E69" w:rsidP="00852088">
            <w:pPr>
              <w:spacing w:line="240" w:lineRule="auto"/>
              <w:jc w:val="center"/>
              <w:rPr>
                <w:rFonts w:eastAsia="Times New Roman" w:cs="Arial"/>
                <w:b/>
                <w:bCs/>
                <w:sz w:val="20"/>
                <w:szCs w:val="20"/>
                <w:lang w:eastAsia="pt-BR"/>
              </w:rPr>
            </w:pPr>
          </w:p>
        </w:tc>
      </w:tr>
      <w:tr w:rsidR="0092438C" w:rsidRPr="0092438C" w:rsidTr="00D66713">
        <w:trPr>
          <w:trHeight w:val="283"/>
          <w:jc w:val="center"/>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2017</w:t>
            </w:r>
          </w:p>
        </w:tc>
        <w:tc>
          <w:tcPr>
            <w:tcW w:w="2280" w:type="dxa"/>
            <w:tcBorders>
              <w:top w:val="nil"/>
              <w:left w:val="nil"/>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10,89</w:t>
            </w:r>
          </w:p>
        </w:tc>
        <w:tc>
          <w:tcPr>
            <w:tcW w:w="2280" w:type="dxa"/>
            <w:tcBorders>
              <w:top w:val="nil"/>
              <w:left w:val="nil"/>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4,0</w:t>
            </w:r>
          </w:p>
        </w:tc>
        <w:tc>
          <w:tcPr>
            <w:tcW w:w="2280" w:type="dxa"/>
            <w:tcBorders>
              <w:top w:val="nil"/>
              <w:left w:val="nil"/>
              <w:bottom w:val="single" w:sz="4" w:space="0" w:color="auto"/>
              <w:right w:val="single" w:sz="4" w:space="0" w:color="auto"/>
            </w:tcBorders>
            <w:vAlign w:val="center"/>
          </w:tcPr>
          <w:p w:rsidR="00D66713" w:rsidRPr="0092438C" w:rsidRDefault="00D66713" w:rsidP="00D66713">
            <w:pPr>
              <w:spacing w:line="240" w:lineRule="auto"/>
              <w:jc w:val="center"/>
              <w:rPr>
                <w:rFonts w:eastAsia="Times New Roman" w:cs="Arial"/>
                <w:sz w:val="20"/>
                <w:szCs w:val="20"/>
                <w:lang w:eastAsia="pt-BR"/>
              </w:rPr>
            </w:pPr>
            <w:r w:rsidRPr="0092438C">
              <w:rPr>
                <w:rFonts w:eastAsia="Times New Roman" w:cs="Arial"/>
                <w:sz w:val="20"/>
                <w:szCs w:val="20"/>
                <w:lang w:eastAsia="pt-BR"/>
              </w:rPr>
              <w:t>4,0</w:t>
            </w:r>
          </w:p>
        </w:tc>
      </w:tr>
      <w:tr w:rsidR="0092438C" w:rsidRPr="0092438C" w:rsidTr="00D66713">
        <w:trPr>
          <w:trHeight w:val="283"/>
          <w:jc w:val="center"/>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2018</w:t>
            </w:r>
          </w:p>
        </w:tc>
        <w:tc>
          <w:tcPr>
            <w:tcW w:w="2280" w:type="dxa"/>
            <w:tcBorders>
              <w:top w:val="nil"/>
              <w:left w:val="nil"/>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10,89</w:t>
            </w:r>
          </w:p>
        </w:tc>
        <w:tc>
          <w:tcPr>
            <w:tcW w:w="2280" w:type="dxa"/>
            <w:tcBorders>
              <w:top w:val="nil"/>
              <w:left w:val="nil"/>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4,0</w:t>
            </w:r>
          </w:p>
        </w:tc>
        <w:tc>
          <w:tcPr>
            <w:tcW w:w="2280" w:type="dxa"/>
            <w:tcBorders>
              <w:top w:val="nil"/>
              <w:left w:val="nil"/>
              <w:bottom w:val="single" w:sz="4" w:space="0" w:color="auto"/>
              <w:right w:val="single" w:sz="4" w:space="0" w:color="auto"/>
            </w:tcBorders>
            <w:vAlign w:val="center"/>
          </w:tcPr>
          <w:p w:rsidR="00D66713" w:rsidRPr="0092438C" w:rsidRDefault="00D66713" w:rsidP="00D66713">
            <w:pPr>
              <w:spacing w:line="240" w:lineRule="auto"/>
              <w:jc w:val="center"/>
              <w:rPr>
                <w:rFonts w:eastAsia="Times New Roman" w:cs="Arial"/>
                <w:sz w:val="20"/>
                <w:szCs w:val="20"/>
                <w:lang w:eastAsia="pt-BR"/>
              </w:rPr>
            </w:pPr>
            <w:r w:rsidRPr="0092438C">
              <w:rPr>
                <w:rFonts w:eastAsia="Times New Roman" w:cs="Arial"/>
                <w:sz w:val="20"/>
                <w:szCs w:val="20"/>
                <w:lang w:eastAsia="pt-BR"/>
              </w:rPr>
              <w:t>4,0</w:t>
            </w:r>
          </w:p>
        </w:tc>
      </w:tr>
      <w:tr w:rsidR="0092438C" w:rsidRPr="0092438C" w:rsidTr="00D66713">
        <w:trPr>
          <w:trHeight w:val="283"/>
          <w:jc w:val="center"/>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2019</w:t>
            </w:r>
          </w:p>
        </w:tc>
        <w:tc>
          <w:tcPr>
            <w:tcW w:w="2280" w:type="dxa"/>
            <w:tcBorders>
              <w:top w:val="nil"/>
              <w:left w:val="nil"/>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10,89</w:t>
            </w:r>
          </w:p>
        </w:tc>
        <w:tc>
          <w:tcPr>
            <w:tcW w:w="2280" w:type="dxa"/>
            <w:tcBorders>
              <w:top w:val="nil"/>
              <w:left w:val="nil"/>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4,0</w:t>
            </w:r>
          </w:p>
        </w:tc>
        <w:tc>
          <w:tcPr>
            <w:tcW w:w="2280" w:type="dxa"/>
            <w:tcBorders>
              <w:top w:val="nil"/>
              <w:left w:val="nil"/>
              <w:bottom w:val="single" w:sz="4" w:space="0" w:color="auto"/>
              <w:right w:val="single" w:sz="4" w:space="0" w:color="auto"/>
            </w:tcBorders>
            <w:vAlign w:val="center"/>
          </w:tcPr>
          <w:p w:rsidR="00D66713" w:rsidRPr="0092438C" w:rsidRDefault="00D66713" w:rsidP="00D66713">
            <w:pPr>
              <w:spacing w:line="240" w:lineRule="auto"/>
              <w:jc w:val="center"/>
              <w:rPr>
                <w:rFonts w:eastAsia="Times New Roman" w:cs="Arial"/>
                <w:sz w:val="20"/>
                <w:szCs w:val="20"/>
                <w:lang w:eastAsia="pt-BR"/>
              </w:rPr>
            </w:pPr>
            <w:r w:rsidRPr="0092438C">
              <w:rPr>
                <w:rFonts w:eastAsia="Times New Roman" w:cs="Arial"/>
                <w:sz w:val="20"/>
                <w:szCs w:val="20"/>
                <w:lang w:eastAsia="pt-BR"/>
              </w:rPr>
              <w:t>4,0</w:t>
            </w:r>
          </w:p>
        </w:tc>
      </w:tr>
      <w:tr w:rsidR="0092438C" w:rsidRPr="0092438C" w:rsidTr="00D66713">
        <w:trPr>
          <w:trHeight w:val="283"/>
          <w:jc w:val="center"/>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2020</w:t>
            </w:r>
          </w:p>
        </w:tc>
        <w:tc>
          <w:tcPr>
            <w:tcW w:w="2280" w:type="dxa"/>
            <w:tcBorders>
              <w:top w:val="nil"/>
              <w:left w:val="nil"/>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10,89</w:t>
            </w:r>
          </w:p>
        </w:tc>
        <w:tc>
          <w:tcPr>
            <w:tcW w:w="2280" w:type="dxa"/>
            <w:tcBorders>
              <w:top w:val="nil"/>
              <w:left w:val="nil"/>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4,0</w:t>
            </w:r>
          </w:p>
        </w:tc>
        <w:tc>
          <w:tcPr>
            <w:tcW w:w="2280" w:type="dxa"/>
            <w:tcBorders>
              <w:top w:val="nil"/>
              <w:left w:val="nil"/>
              <w:bottom w:val="single" w:sz="4" w:space="0" w:color="auto"/>
              <w:right w:val="single" w:sz="4" w:space="0" w:color="auto"/>
            </w:tcBorders>
            <w:vAlign w:val="center"/>
          </w:tcPr>
          <w:p w:rsidR="00D66713" w:rsidRPr="0092438C" w:rsidRDefault="00D66713" w:rsidP="00D66713">
            <w:pPr>
              <w:spacing w:line="240" w:lineRule="auto"/>
              <w:jc w:val="center"/>
              <w:rPr>
                <w:rFonts w:eastAsia="Times New Roman" w:cs="Arial"/>
                <w:sz w:val="20"/>
                <w:szCs w:val="20"/>
                <w:lang w:eastAsia="pt-BR"/>
              </w:rPr>
            </w:pPr>
            <w:r w:rsidRPr="0092438C">
              <w:rPr>
                <w:rFonts w:eastAsia="Times New Roman" w:cs="Arial"/>
                <w:sz w:val="20"/>
                <w:szCs w:val="20"/>
                <w:lang w:eastAsia="pt-BR"/>
              </w:rPr>
              <w:t>4,0</w:t>
            </w:r>
          </w:p>
        </w:tc>
      </w:tr>
      <w:tr w:rsidR="0092438C" w:rsidRPr="0092438C" w:rsidTr="00D66713">
        <w:trPr>
          <w:trHeight w:val="283"/>
          <w:jc w:val="center"/>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2021</w:t>
            </w:r>
          </w:p>
        </w:tc>
        <w:tc>
          <w:tcPr>
            <w:tcW w:w="2280" w:type="dxa"/>
            <w:tcBorders>
              <w:top w:val="nil"/>
              <w:left w:val="nil"/>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10,89</w:t>
            </w:r>
          </w:p>
        </w:tc>
        <w:tc>
          <w:tcPr>
            <w:tcW w:w="2280" w:type="dxa"/>
            <w:tcBorders>
              <w:top w:val="nil"/>
              <w:left w:val="nil"/>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3,9</w:t>
            </w:r>
          </w:p>
        </w:tc>
        <w:tc>
          <w:tcPr>
            <w:tcW w:w="2280" w:type="dxa"/>
            <w:tcBorders>
              <w:top w:val="nil"/>
              <w:left w:val="nil"/>
              <w:bottom w:val="single" w:sz="4" w:space="0" w:color="auto"/>
              <w:right w:val="single" w:sz="4" w:space="0" w:color="auto"/>
            </w:tcBorders>
            <w:vAlign w:val="center"/>
          </w:tcPr>
          <w:p w:rsidR="00D66713" w:rsidRPr="0092438C" w:rsidRDefault="00D66713" w:rsidP="00D66713">
            <w:pPr>
              <w:spacing w:line="240" w:lineRule="auto"/>
              <w:jc w:val="center"/>
              <w:rPr>
                <w:rFonts w:eastAsia="Times New Roman" w:cs="Arial"/>
                <w:sz w:val="20"/>
                <w:szCs w:val="20"/>
                <w:lang w:eastAsia="pt-BR"/>
              </w:rPr>
            </w:pPr>
            <w:r w:rsidRPr="0092438C">
              <w:rPr>
                <w:rFonts w:eastAsia="Times New Roman" w:cs="Arial"/>
                <w:sz w:val="20"/>
                <w:szCs w:val="20"/>
                <w:lang w:eastAsia="pt-BR"/>
              </w:rPr>
              <w:t>4,0</w:t>
            </w:r>
          </w:p>
        </w:tc>
      </w:tr>
      <w:tr w:rsidR="0092438C" w:rsidRPr="0092438C" w:rsidTr="00D66713">
        <w:trPr>
          <w:trHeight w:val="283"/>
          <w:jc w:val="center"/>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2022</w:t>
            </w:r>
          </w:p>
        </w:tc>
        <w:tc>
          <w:tcPr>
            <w:tcW w:w="2280" w:type="dxa"/>
            <w:tcBorders>
              <w:top w:val="nil"/>
              <w:left w:val="nil"/>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10,89</w:t>
            </w:r>
          </w:p>
        </w:tc>
        <w:tc>
          <w:tcPr>
            <w:tcW w:w="2280" w:type="dxa"/>
            <w:tcBorders>
              <w:top w:val="nil"/>
              <w:left w:val="nil"/>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3,9</w:t>
            </w:r>
          </w:p>
        </w:tc>
        <w:tc>
          <w:tcPr>
            <w:tcW w:w="2280" w:type="dxa"/>
            <w:tcBorders>
              <w:top w:val="nil"/>
              <w:left w:val="nil"/>
              <w:bottom w:val="single" w:sz="4" w:space="0" w:color="auto"/>
              <w:right w:val="single" w:sz="4" w:space="0" w:color="auto"/>
            </w:tcBorders>
            <w:vAlign w:val="center"/>
          </w:tcPr>
          <w:p w:rsidR="00D66713" w:rsidRPr="0092438C" w:rsidRDefault="00D66713" w:rsidP="00D66713">
            <w:pPr>
              <w:spacing w:line="240" w:lineRule="auto"/>
              <w:jc w:val="center"/>
              <w:rPr>
                <w:rFonts w:eastAsia="Times New Roman" w:cs="Arial"/>
                <w:sz w:val="20"/>
                <w:szCs w:val="20"/>
                <w:lang w:eastAsia="pt-BR"/>
              </w:rPr>
            </w:pPr>
            <w:r w:rsidRPr="0092438C">
              <w:rPr>
                <w:rFonts w:eastAsia="Times New Roman" w:cs="Arial"/>
                <w:sz w:val="20"/>
                <w:szCs w:val="20"/>
                <w:lang w:eastAsia="pt-BR"/>
              </w:rPr>
              <w:t>4,0</w:t>
            </w:r>
          </w:p>
        </w:tc>
      </w:tr>
      <w:tr w:rsidR="0092438C" w:rsidRPr="0092438C" w:rsidTr="00D66713">
        <w:trPr>
          <w:trHeight w:val="283"/>
          <w:jc w:val="center"/>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2023</w:t>
            </w:r>
          </w:p>
        </w:tc>
        <w:tc>
          <w:tcPr>
            <w:tcW w:w="2280" w:type="dxa"/>
            <w:tcBorders>
              <w:top w:val="nil"/>
              <w:left w:val="nil"/>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10,89</w:t>
            </w:r>
          </w:p>
        </w:tc>
        <w:tc>
          <w:tcPr>
            <w:tcW w:w="2280" w:type="dxa"/>
            <w:tcBorders>
              <w:top w:val="nil"/>
              <w:left w:val="nil"/>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3,9</w:t>
            </w:r>
          </w:p>
        </w:tc>
        <w:tc>
          <w:tcPr>
            <w:tcW w:w="2280" w:type="dxa"/>
            <w:tcBorders>
              <w:top w:val="nil"/>
              <w:left w:val="nil"/>
              <w:bottom w:val="single" w:sz="4" w:space="0" w:color="auto"/>
              <w:right w:val="single" w:sz="4" w:space="0" w:color="auto"/>
            </w:tcBorders>
            <w:vAlign w:val="center"/>
          </w:tcPr>
          <w:p w:rsidR="00D66713" w:rsidRPr="0092438C" w:rsidRDefault="00D66713" w:rsidP="00D66713">
            <w:pPr>
              <w:spacing w:line="240" w:lineRule="auto"/>
              <w:jc w:val="center"/>
              <w:rPr>
                <w:rFonts w:eastAsia="Times New Roman" w:cs="Arial"/>
                <w:sz w:val="20"/>
                <w:szCs w:val="20"/>
                <w:lang w:eastAsia="pt-BR"/>
              </w:rPr>
            </w:pPr>
            <w:r w:rsidRPr="0092438C">
              <w:rPr>
                <w:rFonts w:eastAsia="Times New Roman" w:cs="Arial"/>
                <w:sz w:val="20"/>
                <w:szCs w:val="20"/>
                <w:lang w:eastAsia="pt-BR"/>
              </w:rPr>
              <w:t>3,9</w:t>
            </w:r>
          </w:p>
        </w:tc>
      </w:tr>
      <w:tr w:rsidR="0092438C" w:rsidRPr="0092438C" w:rsidTr="00D66713">
        <w:trPr>
          <w:trHeight w:val="283"/>
          <w:jc w:val="center"/>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2024</w:t>
            </w:r>
          </w:p>
        </w:tc>
        <w:tc>
          <w:tcPr>
            <w:tcW w:w="2280" w:type="dxa"/>
            <w:tcBorders>
              <w:top w:val="nil"/>
              <w:left w:val="nil"/>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10,89</w:t>
            </w:r>
          </w:p>
        </w:tc>
        <w:tc>
          <w:tcPr>
            <w:tcW w:w="2280" w:type="dxa"/>
            <w:tcBorders>
              <w:top w:val="nil"/>
              <w:left w:val="nil"/>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3,9</w:t>
            </w:r>
          </w:p>
        </w:tc>
        <w:tc>
          <w:tcPr>
            <w:tcW w:w="2280" w:type="dxa"/>
            <w:tcBorders>
              <w:top w:val="nil"/>
              <w:left w:val="nil"/>
              <w:bottom w:val="single" w:sz="4" w:space="0" w:color="auto"/>
              <w:right w:val="single" w:sz="4" w:space="0" w:color="auto"/>
            </w:tcBorders>
            <w:vAlign w:val="center"/>
          </w:tcPr>
          <w:p w:rsidR="00D66713" w:rsidRPr="0092438C" w:rsidRDefault="00D66713" w:rsidP="00D66713">
            <w:pPr>
              <w:spacing w:line="240" w:lineRule="auto"/>
              <w:jc w:val="center"/>
              <w:rPr>
                <w:rFonts w:eastAsia="Times New Roman" w:cs="Arial"/>
                <w:sz w:val="20"/>
                <w:szCs w:val="20"/>
                <w:lang w:eastAsia="pt-BR"/>
              </w:rPr>
            </w:pPr>
            <w:r w:rsidRPr="0092438C">
              <w:rPr>
                <w:rFonts w:eastAsia="Times New Roman" w:cs="Arial"/>
                <w:sz w:val="20"/>
                <w:szCs w:val="20"/>
                <w:lang w:eastAsia="pt-BR"/>
              </w:rPr>
              <w:t>4,0</w:t>
            </w:r>
          </w:p>
        </w:tc>
      </w:tr>
      <w:tr w:rsidR="0092438C" w:rsidRPr="0092438C" w:rsidTr="00D66713">
        <w:trPr>
          <w:trHeight w:val="283"/>
          <w:jc w:val="center"/>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2025</w:t>
            </w:r>
          </w:p>
        </w:tc>
        <w:tc>
          <w:tcPr>
            <w:tcW w:w="2280" w:type="dxa"/>
            <w:tcBorders>
              <w:top w:val="nil"/>
              <w:left w:val="nil"/>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10,89</w:t>
            </w:r>
          </w:p>
        </w:tc>
        <w:tc>
          <w:tcPr>
            <w:tcW w:w="2280" w:type="dxa"/>
            <w:tcBorders>
              <w:top w:val="nil"/>
              <w:left w:val="nil"/>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3,8</w:t>
            </w:r>
          </w:p>
        </w:tc>
        <w:tc>
          <w:tcPr>
            <w:tcW w:w="2280" w:type="dxa"/>
            <w:tcBorders>
              <w:top w:val="nil"/>
              <w:left w:val="nil"/>
              <w:bottom w:val="single" w:sz="4" w:space="0" w:color="auto"/>
              <w:right w:val="single" w:sz="4" w:space="0" w:color="auto"/>
            </w:tcBorders>
            <w:vAlign w:val="center"/>
          </w:tcPr>
          <w:p w:rsidR="00D66713" w:rsidRPr="0092438C" w:rsidRDefault="00D66713" w:rsidP="00D66713">
            <w:pPr>
              <w:spacing w:line="240" w:lineRule="auto"/>
              <w:jc w:val="center"/>
              <w:rPr>
                <w:rFonts w:eastAsia="Times New Roman" w:cs="Arial"/>
                <w:sz w:val="20"/>
                <w:szCs w:val="20"/>
                <w:lang w:eastAsia="pt-BR"/>
              </w:rPr>
            </w:pPr>
            <w:r w:rsidRPr="0092438C">
              <w:rPr>
                <w:rFonts w:eastAsia="Times New Roman" w:cs="Arial"/>
                <w:sz w:val="20"/>
                <w:szCs w:val="20"/>
                <w:lang w:eastAsia="pt-BR"/>
              </w:rPr>
              <w:t>3,9</w:t>
            </w:r>
          </w:p>
        </w:tc>
      </w:tr>
      <w:tr w:rsidR="0092438C" w:rsidRPr="0092438C" w:rsidTr="00D66713">
        <w:trPr>
          <w:trHeight w:val="283"/>
          <w:jc w:val="center"/>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2026</w:t>
            </w:r>
          </w:p>
        </w:tc>
        <w:tc>
          <w:tcPr>
            <w:tcW w:w="2280" w:type="dxa"/>
            <w:tcBorders>
              <w:top w:val="nil"/>
              <w:left w:val="nil"/>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10,89</w:t>
            </w:r>
          </w:p>
        </w:tc>
        <w:tc>
          <w:tcPr>
            <w:tcW w:w="2280" w:type="dxa"/>
            <w:tcBorders>
              <w:top w:val="nil"/>
              <w:left w:val="nil"/>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3,8</w:t>
            </w:r>
          </w:p>
        </w:tc>
        <w:tc>
          <w:tcPr>
            <w:tcW w:w="2280" w:type="dxa"/>
            <w:tcBorders>
              <w:top w:val="nil"/>
              <w:left w:val="nil"/>
              <w:bottom w:val="single" w:sz="4" w:space="0" w:color="auto"/>
              <w:right w:val="single" w:sz="4" w:space="0" w:color="auto"/>
            </w:tcBorders>
            <w:vAlign w:val="center"/>
          </w:tcPr>
          <w:p w:rsidR="00D66713" w:rsidRPr="0092438C" w:rsidRDefault="00D66713" w:rsidP="00D66713">
            <w:pPr>
              <w:spacing w:line="240" w:lineRule="auto"/>
              <w:jc w:val="center"/>
              <w:rPr>
                <w:rFonts w:eastAsia="Times New Roman" w:cs="Arial"/>
                <w:sz w:val="20"/>
                <w:szCs w:val="20"/>
                <w:lang w:eastAsia="pt-BR"/>
              </w:rPr>
            </w:pPr>
            <w:r w:rsidRPr="0092438C">
              <w:rPr>
                <w:rFonts w:eastAsia="Times New Roman" w:cs="Arial"/>
                <w:sz w:val="20"/>
                <w:szCs w:val="20"/>
                <w:lang w:eastAsia="pt-BR"/>
              </w:rPr>
              <w:t>3,9</w:t>
            </w:r>
          </w:p>
        </w:tc>
      </w:tr>
      <w:tr w:rsidR="0092438C" w:rsidRPr="0092438C" w:rsidTr="00D66713">
        <w:trPr>
          <w:trHeight w:val="283"/>
          <w:jc w:val="center"/>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2027</w:t>
            </w:r>
          </w:p>
        </w:tc>
        <w:tc>
          <w:tcPr>
            <w:tcW w:w="2280" w:type="dxa"/>
            <w:tcBorders>
              <w:top w:val="nil"/>
              <w:left w:val="nil"/>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10,89</w:t>
            </w:r>
          </w:p>
        </w:tc>
        <w:tc>
          <w:tcPr>
            <w:tcW w:w="2280" w:type="dxa"/>
            <w:tcBorders>
              <w:top w:val="nil"/>
              <w:left w:val="nil"/>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3,8</w:t>
            </w:r>
          </w:p>
        </w:tc>
        <w:tc>
          <w:tcPr>
            <w:tcW w:w="2280" w:type="dxa"/>
            <w:tcBorders>
              <w:top w:val="nil"/>
              <w:left w:val="nil"/>
              <w:bottom w:val="single" w:sz="4" w:space="0" w:color="auto"/>
              <w:right w:val="single" w:sz="4" w:space="0" w:color="auto"/>
            </w:tcBorders>
            <w:vAlign w:val="center"/>
          </w:tcPr>
          <w:p w:rsidR="00D66713" w:rsidRPr="0092438C" w:rsidRDefault="00D66713" w:rsidP="00D66713">
            <w:pPr>
              <w:spacing w:line="240" w:lineRule="auto"/>
              <w:jc w:val="center"/>
              <w:rPr>
                <w:rFonts w:eastAsia="Times New Roman" w:cs="Arial"/>
                <w:sz w:val="20"/>
                <w:szCs w:val="20"/>
                <w:lang w:eastAsia="pt-BR"/>
              </w:rPr>
            </w:pPr>
            <w:r w:rsidRPr="0092438C">
              <w:rPr>
                <w:rFonts w:eastAsia="Times New Roman" w:cs="Arial"/>
                <w:sz w:val="20"/>
                <w:szCs w:val="20"/>
                <w:lang w:eastAsia="pt-BR"/>
              </w:rPr>
              <w:t>3,9</w:t>
            </w:r>
          </w:p>
        </w:tc>
      </w:tr>
      <w:tr w:rsidR="0092438C" w:rsidRPr="0092438C" w:rsidTr="00D66713">
        <w:trPr>
          <w:trHeight w:val="283"/>
          <w:jc w:val="center"/>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2028</w:t>
            </w:r>
          </w:p>
        </w:tc>
        <w:tc>
          <w:tcPr>
            <w:tcW w:w="2280" w:type="dxa"/>
            <w:tcBorders>
              <w:top w:val="nil"/>
              <w:left w:val="nil"/>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10,89</w:t>
            </w:r>
          </w:p>
        </w:tc>
        <w:tc>
          <w:tcPr>
            <w:tcW w:w="2280" w:type="dxa"/>
            <w:tcBorders>
              <w:top w:val="nil"/>
              <w:left w:val="nil"/>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3,8</w:t>
            </w:r>
          </w:p>
        </w:tc>
        <w:tc>
          <w:tcPr>
            <w:tcW w:w="2280" w:type="dxa"/>
            <w:tcBorders>
              <w:top w:val="nil"/>
              <w:left w:val="nil"/>
              <w:bottom w:val="single" w:sz="4" w:space="0" w:color="auto"/>
              <w:right w:val="single" w:sz="4" w:space="0" w:color="auto"/>
            </w:tcBorders>
            <w:vAlign w:val="center"/>
          </w:tcPr>
          <w:p w:rsidR="00D66713" w:rsidRPr="0092438C" w:rsidRDefault="00D66713" w:rsidP="00D66713">
            <w:pPr>
              <w:spacing w:line="240" w:lineRule="auto"/>
              <w:jc w:val="center"/>
              <w:rPr>
                <w:rFonts w:eastAsia="Times New Roman" w:cs="Arial"/>
                <w:sz w:val="20"/>
                <w:szCs w:val="20"/>
                <w:lang w:eastAsia="pt-BR"/>
              </w:rPr>
            </w:pPr>
            <w:r w:rsidRPr="0092438C">
              <w:rPr>
                <w:rFonts w:eastAsia="Times New Roman" w:cs="Arial"/>
                <w:sz w:val="20"/>
                <w:szCs w:val="20"/>
                <w:lang w:eastAsia="pt-BR"/>
              </w:rPr>
              <w:t>3,9</w:t>
            </w:r>
          </w:p>
        </w:tc>
      </w:tr>
      <w:tr w:rsidR="0092438C" w:rsidRPr="0092438C" w:rsidTr="00D66713">
        <w:trPr>
          <w:trHeight w:val="283"/>
          <w:jc w:val="center"/>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2029</w:t>
            </w:r>
          </w:p>
        </w:tc>
        <w:tc>
          <w:tcPr>
            <w:tcW w:w="2280" w:type="dxa"/>
            <w:tcBorders>
              <w:top w:val="nil"/>
              <w:left w:val="nil"/>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10,89</w:t>
            </w:r>
          </w:p>
        </w:tc>
        <w:tc>
          <w:tcPr>
            <w:tcW w:w="2280" w:type="dxa"/>
            <w:tcBorders>
              <w:top w:val="nil"/>
              <w:left w:val="nil"/>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3,7</w:t>
            </w:r>
          </w:p>
        </w:tc>
        <w:tc>
          <w:tcPr>
            <w:tcW w:w="2280" w:type="dxa"/>
            <w:tcBorders>
              <w:top w:val="nil"/>
              <w:left w:val="nil"/>
              <w:bottom w:val="single" w:sz="4" w:space="0" w:color="auto"/>
              <w:right w:val="single" w:sz="4" w:space="0" w:color="auto"/>
            </w:tcBorders>
            <w:vAlign w:val="center"/>
          </w:tcPr>
          <w:p w:rsidR="00D66713" w:rsidRPr="0092438C" w:rsidRDefault="00D66713" w:rsidP="00D66713">
            <w:pPr>
              <w:spacing w:line="240" w:lineRule="auto"/>
              <w:jc w:val="center"/>
              <w:rPr>
                <w:rFonts w:eastAsia="Times New Roman" w:cs="Arial"/>
                <w:sz w:val="20"/>
                <w:szCs w:val="20"/>
                <w:lang w:eastAsia="pt-BR"/>
              </w:rPr>
            </w:pPr>
            <w:r w:rsidRPr="0092438C">
              <w:rPr>
                <w:rFonts w:eastAsia="Times New Roman" w:cs="Arial"/>
                <w:sz w:val="20"/>
                <w:szCs w:val="20"/>
                <w:lang w:eastAsia="pt-BR"/>
              </w:rPr>
              <w:t>3,9</w:t>
            </w:r>
          </w:p>
        </w:tc>
      </w:tr>
      <w:tr w:rsidR="0092438C" w:rsidRPr="0092438C" w:rsidTr="00D66713">
        <w:trPr>
          <w:trHeight w:val="283"/>
          <w:jc w:val="center"/>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2030</w:t>
            </w:r>
          </w:p>
        </w:tc>
        <w:tc>
          <w:tcPr>
            <w:tcW w:w="2280" w:type="dxa"/>
            <w:tcBorders>
              <w:top w:val="nil"/>
              <w:left w:val="nil"/>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10,89</w:t>
            </w:r>
          </w:p>
        </w:tc>
        <w:tc>
          <w:tcPr>
            <w:tcW w:w="2280" w:type="dxa"/>
            <w:tcBorders>
              <w:top w:val="nil"/>
              <w:left w:val="nil"/>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3,7</w:t>
            </w:r>
          </w:p>
        </w:tc>
        <w:tc>
          <w:tcPr>
            <w:tcW w:w="2280" w:type="dxa"/>
            <w:tcBorders>
              <w:top w:val="nil"/>
              <w:left w:val="nil"/>
              <w:bottom w:val="single" w:sz="4" w:space="0" w:color="auto"/>
              <w:right w:val="single" w:sz="4" w:space="0" w:color="auto"/>
            </w:tcBorders>
            <w:vAlign w:val="center"/>
          </w:tcPr>
          <w:p w:rsidR="00D66713" w:rsidRPr="0092438C" w:rsidRDefault="00D66713" w:rsidP="00D66713">
            <w:pPr>
              <w:spacing w:line="240" w:lineRule="auto"/>
              <w:jc w:val="center"/>
              <w:rPr>
                <w:rFonts w:eastAsia="Times New Roman" w:cs="Arial"/>
                <w:sz w:val="20"/>
                <w:szCs w:val="20"/>
                <w:lang w:eastAsia="pt-BR"/>
              </w:rPr>
            </w:pPr>
            <w:r w:rsidRPr="0092438C">
              <w:rPr>
                <w:rFonts w:eastAsia="Times New Roman" w:cs="Arial"/>
                <w:sz w:val="20"/>
                <w:szCs w:val="20"/>
                <w:lang w:eastAsia="pt-BR"/>
              </w:rPr>
              <w:t>3,8</w:t>
            </w:r>
          </w:p>
        </w:tc>
      </w:tr>
      <w:tr w:rsidR="0092438C" w:rsidRPr="0092438C" w:rsidTr="00D66713">
        <w:trPr>
          <w:trHeight w:val="283"/>
          <w:jc w:val="center"/>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2031</w:t>
            </w:r>
          </w:p>
        </w:tc>
        <w:tc>
          <w:tcPr>
            <w:tcW w:w="2280" w:type="dxa"/>
            <w:tcBorders>
              <w:top w:val="nil"/>
              <w:left w:val="nil"/>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10,89</w:t>
            </w:r>
          </w:p>
        </w:tc>
        <w:tc>
          <w:tcPr>
            <w:tcW w:w="2280" w:type="dxa"/>
            <w:tcBorders>
              <w:top w:val="nil"/>
              <w:left w:val="nil"/>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3,6</w:t>
            </w:r>
          </w:p>
        </w:tc>
        <w:tc>
          <w:tcPr>
            <w:tcW w:w="2280" w:type="dxa"/>
            <w:tcBorders>
              <w:top w:val="nil"/>
              <w:left w:val="nil"/>
              <w:bottom w:val="single" w:sz="4" w:space="0" w:color="auto"/>
              <w:right w:val="single" w:sz="4" w:space="0" w:color="auto"/>
            </w:tcBorders>
            <w:vAlign w:val="center"/>
          </w:tcPr>
          <w:p w:rsidR="00D66713" w:rsidRPr="0092438C" w:rsidRDefault="00D66713" w:rsidP="00D66713">
            <w:pPr>
              <w:spacing w:line="240" w:lineRule="auto"/>
              <w:jc w:val="center"/>
              <w:rPr>
                <w:rFonts w:eastAsia="Times New Roman" w:cs="Arial"/>
                <w:sz w:val="20"/>
                <w:szCs w:val="20"/>
                <w:lang w:eastAsia="pt-BR"/>
              </w:rPr>
            </w:pPr>
            <w:r w:rsidRPr="0092438C">
              <w:rPr>
                <w:rFonts w:eastAsia="Times New Roman" w:cs="Arial"/>
                <w:sz w:val="20"/>
                <w:szCs w:val="20"/>
                <w:lang w:eastAsia="pt-BR"/>
              </w:rPr>
              <w:t>3,8</w:t>
            </w:r>
          </w:p>
        </w:tc>
      </w:tr>
      <w:tr w:rsidR="0092438C" w:rsidRPr="0092438C" w:rsidTr="00D66713">
        <w:trPr>
          <w:trHeight w:val="283"/>
          <w:jc w:val="center"/>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2032</w:t>
            </w:r>
          </w:p>
        </w:tc>
        <w:tc>
          <w:tcPr>
            <w:tcW w:w="2280" w:type="dxa"/>
            <w:tcBorders>
              <w:top w:val="nil"/>
              <w:left w:val="nil"/>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10,89</w:t>
            </w:r>
          </w:p>
        </w:tc>
        <w:tc>
          <w:tcPr>
            <w:tcW w:w="2280" w:type="dxa"/>
            <w:tcBorders>
              <w:top w:val="nil"/>
              <w:left w:val="nil"/>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3,6</w:t>
            </w:r>
          </w:p>
        </w:tc>
        <w:tc>
          <w:tcPr>
            <w:tcW w:w="2280" w:type="dxa"/>
            <w:tcBorders>
              <w:top w:val="nil"/>
              <w:left w:val="nil"/>
              <w:bottom w:val="single" w:sz="4" w:space="0" w:color="auto"/>
              <w:right w:val="single" w:sz="4" w:space="0" w:color="auto"/>
            </w:tcBorders>
            <w:vAlign w:val="center"/>
          </w:tcPr>
          <w:p w:rsidR="00D66713" w:rsidRPr="0092438C" w:rsidRDefault="00D66713" w:rsidP="00D66713">
            <w:pPr>
              <w:spacing w:line="240" w:lineRule="auto"/>
              <w:jc w:val="center"/>
              <w:rPr>
                <w:rFonts w:eastAsia="Times New Roman" w:cs="Arial"/>
                <w:sz w:val="20"/>
                <w:szCs w:val="20"/>
                <w:lang w:eastAsia="pt-BR"/>
              </w:rPr>
            </w:pPr>
            <w:r w:rsidRPr="0092438C">
              <w:rPr>
                <w:rFonts w:eastAsia="Times New Roman" w:cs="Arial"/>
                <w:sz w:val="20"/>
                <w:szCs w:val="20"/>
                <w:lang w:eastAsia="pt-BR"/>
              </w:rPr>
              <w:t>3,8</w:t>
            </w:r>
          </w:p>
        </w:tc>
      </w:tr>
      <w:tr w:rsidR="0092438C" w:rsidRPr="0092438C" w:rsidTr="00D66713">
        <w:trPr>
          <w:trHeight w:val="283"/>
          <w:jc w:val="center"/>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2033</w:t>
            </w:r>
          </w:p>
        </w:tc>
        <w:tc>
          <w:tcPr>
            <w:tcW w:w="2280" w:type="dxa"/>
            <w:tcBorders>
              <w:top w:val="nil"/>
              <w:left w:val="nil"/>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10,89</w:t>
            </w:r>
          </w:p>
        </w:tc>
        <w:tc>
          <w:tcPr>
            <w:tcW w:w="2280" w:type="dxa"/>
            <w:tcBorders>
              <w:top w:val="nil"/>
              <w:left w:val="nil"/>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3,6</w:t>
            </w:r>
          </w:p>
        </w:tc>
        <w:tc>
          <w:tcPr>
            <w:tcW w:w="2280" w:type="dxa"/>
            <w:tcBorders>
              <w:top w:val="nil"/>
              <w:left w:val="nil"/>
              <w:bottom w:val="single" w:sz="4" w:space="0" w:color="auto"/>
              <w:right w:val="single" w:sz="4" w:space="0" w:color="auto"/>
            </w:tcBorders>
            <w:vAlign w:val="center"/>
          </w:tcPr>
          <w:p w:rsidR="00D66713" w:rsidRPr="0092438C" w:rsidRDefault="00D66713" w:rsidP="00D66713">
            <w:pPr>
              <w:spacing w:line="240" w:lineRule="auto"/>
              <w:jc w:val="center"/>
              <w:rPr>
                <w:rFonts w:eastAsia="Times New Roman" w:cs="Arial"/>
                <w:sz w:val="20"/>
                <w:szCs w:val="20"/>
                <w:lang w:eastAsia="pt-BR"/>
              </w:rPr>
            </w:pPr>
            <w:r w:rsidRPr="0092438C">
              <w:rPr>
                <w:rFonts w:eastAsia="Times New Roman" w:cs="Arial"/>
                <w:sz w:val="20"/>
                <w:szCs w:val="20"/>
                <w:lang w:eastAsia="pt-BR"/>
              </w:rPr>
              <w:t>3,8</w:t>
            </w:r>
          </w:p>
        </w:tc>
      </w:tr>
      <w:tr w:rsidR="0092438C" w:rsidRPr="0092438C" w:rsidTr="00D66713">
        <w:trPr>
          <w:trHeight w:val="283"/>
          <w:jc w:val="center"/>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2034</w:t>
            </w:r>
          </w:p>
        </w:tc>
        <w:tc>
          <w:tcPr>
            <w:tcW w:w="2280" w:type="dxa"/>
            <w:tcBorders>
              <w:top w:val="nil"/>
              <w:left w:val="nil"/>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10,89</w:t>
            </w:r>
          </w:p>
        </w:tc>
        <w:tc>
          <w:tcPr>
            <w:tcW w:w="2280" w:type="dxa"/>
            <w:tcBorders>
              <w:top w:val="nil"/>
              <w:left w:val="nil"/>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3,6</w:t>
            </w:r>
          </w:p>
        </w:tc>
        <w:tc>
          <w:tcPr>
            <w:tcW w:w="2280" w:type="dxa"/>
            <w:tcBorders>
              <w:top w:val="nil"/>
              <w:left w:val="nil"/>
              <w:bottom w:val="single" w:sz="4" w:space="0" w:color="auto"/>
              <w:right w:val="single" w:sz="4" w:space="0" w:color="auto"/>
            </w:tcBorders>
            <w:vAlign w:val="center"/>
          </w:tcPr>
          <w:p w:rsidR="00D66713" w:rsidRPr="0092438C" w:rsidRDefault="00D66713" w:rsidP="00D66713">
            <w:pPr>
              <w:spacing w:line="240" w:lineRule="auto"/>
              <w:jc w:val="center"/>
              <w:rPr>
                <w:rFonts w:eastAsia="Times New Roman" w:cs="Arial"/>
                <w:sz w:val="20"/>
                <w:szCs w:val="20"/>
                <w:lang w:eastAsia="pt-BR"/>
              </w:rPr>
            </w:pPr>
            <w:r w:rsidRPr="0092438C">
              <w:rPr>
                <w:rFonts w:eastAsia="Times New Roman" w:cs="Arial"/>
                <w:sz w:val="20"/>
                <w:szCs w:val="20"/>
                <w:lang w:eastAsia="pt-BR"/>
              </w:rPr>
              <w:t>3,8</w:t>
            </w:r>
          </w:p>
        </w:tc>
      </w:tr>
      <w:tr w:rsidR="0092438C" w:rsidRPr="0092438C" w:rsidTr="00D66713">
        <w:trPr>
          <w:trHeight w:val="283"/>
          <w:jc w:val="center"/>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2035</w:t>
            </w:r>
          </w:p>
        </w:tc>
        <w:tc>
          <w:tcPr>
            <w:tcW w:w="2280" w:type="dxa"/>
            <w:tcBorders>
              <w:top w:val="nil"/>
              <w:left w:val="nil"/>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10,89</w:t>
            </w:r>
          </w:p>
        </w:tc>
        <w:tc>
          <w:tcPr>
            <w:tcW w:w="2280" w:type="dxa"/>
            <w:tcBorders>
              <w:top w:val="nil"/>
              <w:left w:val="nil"/>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3,5</w:t>
            </w:r>
          </w:p>
        </w:tc>
        <w:tc>
          <w:tcPr>
            <w:tcW w:w="2280" w:type="dxa"/>
            <w:tcBorders>
              <w:top w:val="nil"/>
              <w:left w:val="nil"/>
              <w:bottom w:val="single" w:sz="4" w:space="0" w:color="auto"/>
              <w:right w:val="single" w:sz="4" w:space="0" w:color="auto"/>
            </w:tcBorders>
            <w:vAlign w:val="center"/>
          </w:tcPr>
          <w:p w:rsidR="00D66713" w:rsidRPr="0092438C" w:rsidRDefault="00D66713" w:rsidP="00D66713">
            <w:pPr>
              <w:spacing w:line="240" w:lineRule="auto"/>
              <w:jc w:val="center"/>
              <w:rPr>
                <w:rFonts w:eastAsia="Times New Roman" w:cs="Arial"/>
                <w:sz w:val="20"/>
                <w:szCs w:val="20"/>
                <w:lang w:eastAsia="pt-BR"/>
              </w:rPr>
            </w:pPr>
            <w:r w:rsidRPr="0092438C">
              <w:rPr>
                <w:rFonts w:eastAsia="Times New Roman" w:cs="Arial"/>
                <w:sz w:val="20"/>
                <w:szCs w:val="20"/>
                <w:lang w:eastAsia="pt-BR"/>
              </w:rPr>
              <w:t>3,7</w:t>
            </w:r>
          </w:p>
        </w:tc>
      </w:tr>
      <w:tr w:rsidR="0092438C" w:rsidRPr="0092438C" w:rsidTr="00D66713">
        <w:trPr>
          <w:trHeight w:val="283"/>
          <w:jc w:val="center"/>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2036</w:t>
            </w:r>
          </w:p>
        </w:tc>
        <w:tc>
          <w:tcPr>
            <w:tcW w:w="2280" w:type="dxa"/>
            <w:tcBorders>
              <w:top w:val="nil"/>
              <w:left w:val="nil"/>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10,89</w:t>
            </w:r>
          </w:p>
        </w:tc>
        <w:tc>
          <w:tcPr>
            <w:tcW w:w="2280" w:type="dxa"/>
            <w:tcBorders>
              <w:top w:val="nil"/>
              <w:left w:val="nil"/>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3,5</w:t>
            </w:r>
          </w:p>
        </w:tc>
        <w:tc>
          <w:tcPr>
            <w:tcW w:w="2280" w:type="dxa"/>
            <w:tcBorders>
              <w:top w:val="nil"/>
              <w:left w:val="nil"/>
              <w:bottom w:val="single" w:sz="4" w:space="0" w:color="auto"/>
              <w:right w:val="single" w:sz="4" w:space="0" w:color="auto"/>
            </w:tcBorders>
            <w:vAlign w:val="center"/>
          </w:tcPr>
          <w:p w:rsidR="00D66713" w:rsidRPr="0092438C" w:rsidRDefault="00D66713" w:rsidP="00D66713">
            <w:pPr>
              <w:spacing w:line="240" w:lineRule="auto"/>
              <w:jc w:val="center"/>
              <w:rPr>
                <w:rFonts w:eastAsia="Times New Roman" w:cs="Arial"/>
                <w:sz w:val="20"/>
                <w:szCs w:val="20"/>
                <w:lang w:eastAsia="pt-BR"/>
              </w:rPr>
            </w:pPr>
            <w:r w:rsidRPr="0092438C">
              <w:rPr>
                <w:rFonts w:eastAsia="Times New Roman" w:cs="Arial"/>
                <w:sz w:val="20"/>
                <w:szCs w:val="20"/>
                <w:lang w:eastAsia="pt-BR"/>
              </w:rPr>
              <w:t>3,7</w:t>
            </w:r>
          </w:p>
        </w:tc>
      </w:tr>
      <w:tr w:rsidR="0092438C" w:rsidRPr="0092438C" w:rsidTr="00D66713">
        <w:trPr>
          <w:trHeight w:val="283"/>
          <w:jc w:val="center"/>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2037</w:t>
            </w:r>
          </w:p>
        </w:tc>
        <w:tc>
          <w:tcPr>
            <w:tcW w:w="2280" w:type="dxa"/>
            <w:tcBorders>
              <w:top w:val="nil"/>
              <w:left w:val="nil"/>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10,89</w:t>
            </w:r>
          </w:p>
        </w:tc>
        <w:tc>
          <w:tcPr>
            <w:tcW w:w="2280" w:type="dxa"/>
            <w:tcBorders>
              <w:top w:val="nil"/>
              <w:left w:val="nil"/>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3,5</w:t>
            </w:r>
          </w:p>
        </w:tc>
        <w:tc>
          <w:tcPr>
            <w:tcW w:w="2280" w:type="dxa"/>
            <w:tcBorders>
              <w:top w:val="nil"/>
              <w:left w:val="nil"/>
              <w:bottom w:val="single" w:sz="4" w:space="0" w:color="auto"/>
              <w:right w:val="single" w:sz="4" w:space="0" w:color="auto"/>
            </w:tcBorders>
            <w:vAlign w:val="center"/>
          </w:tcPr>
          <w:p w:rsidR="00D66713" w:rsidRPr="0092438C" w:rsidRDefault="00D66713" w:rsidP="00D66713">
            <w:pPr>
              <w:spacing w:line="240" w:lineRule="auto"/>
              <w:jc w:val="center"/>
              <w:rPr>
                <w:rFonts w:eastAsia="Times New Roman" w:cs="Arial"/>
                <w:sz w:val="20"/>
                <w:szCs w:val="20"/>
                <w:lang w:eastAsia="pt-BR"/>
              </w:rPr>
            </w:pPr>
            <w:r w:rsidRPr="0092438C">
              <w:rPr>
                <w:rFonts w:eastAsia="Times New Roman" w:cs="Arial"/>
                <w:sz w:val="20"/>
                <w:szCs w:val="20"/>
                <w:lang w:eastAsia="pt-BR"/>
              </w:rPr>
              <w:t>3,7</w:t>
            </w:r>
          </w:p>
        </w:tc>
      </w:tr>
      <w:tr w:rsidR="0092438C" w:rsidRPr="0092438C" w:rsidTr="00D66713">
        <w:trPr>
          <w:trHeight w:val="283"/>
          <w:jc w:val="center"/>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2038</w:t>
            </w:r>
          </w:p>
        </w:tc>
        <w:tc>
          <w:tcPr>
            <w:tcW w:w="2280" w:type="dxa"/>
            <w:tcBorders>
              <w:top w:val="nil"/>
              <w:left w:val="nil"/>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10,89</w:t>
            </w:r>
          </w:p>
        </w:tc>
        <w:tc>
          <w:tcPr>
            <w:tcW w:w="2280" w:type="dxa"/>
            <w:tcBorders>
              <w:top w:val="nil"/>
              <w:left w:val="nil"/>
              <w:bottom w:val="single" w:sz="4" w:space="0" w:color="auto"/>
              <w:right w:val="single" w:sz="4" w:space="0" w:color="auto"/>
            </w:tcBorders>
            <w:shd w:val="clear" w:color="auto" w:fill="auto"/>
            <w:noWrap/>
            <w:vAlign w:val="center"/>
            <w:hideMark/>
          </w:tcPr>
          <w:p w:rsidR="00D66713" w:rsidRPr="0092438C" w:rsidRDefault="00D66713" w:rsidP="00852088">
            <w:pPr>
              <w:spacing w:line="240" w:lineRule="auto"/>
              <w:jc w:val="center"/>
              <w:rPr>
                <w:rFonts w:eastAsia="Times New Roman" w:cs="Arial"/>
                <w:sz w:val="20"/>
                <w:szCs w:val="20"/>
                <w:lang w:eastAsia="pt-BR"/>
              </w:rPr>
            </w:pPr>
            <w:r w:rsidRPr="0092438C">
              <w:rPr>
                <w:rFonts w:eastAsia="Times New Roman" w:cs="Arial"/>
                <w:sz w:val="20"/>
                <w:szCs w:val="20"/>
                <w:lang w:eastAsia="pt-BR"/>
              </w:rPr>
              <w:t>3,4</w:t>
            </w:r>
          </w:p>
        </w:tc>
        <w:tc>
          <w:tcPr>
            <w:tcW w:w="2280" w:type="dxa"/>
            <w:tcBorders>
              <w:top w:val="nil"/>
              <w:left w:val="nil"/>
              <w:bottom w:val="single" w:sz="4" w:space="0" w:color="auto"/>
              <w:right w:val="single" w:sz="4" w:space="0" w:color="auto"/>
            </w:tcBorders>
            <w:vAlign w:val="center"/>
          </w:tcPr>
          <w:p w:rsidR="00D66713" w:rsidRPr="0092438C" w:rsidRDefault="00D66713" w:rsidP="00D66713">
            <w:pPr>
              <w:spacing w:line="240" w:lineRule="auto"/>
              <w:jc w:val="center"/>
              <w:rPr>
                <w:rFonts w:eastAsia="Times New Roman" w:cs="Arial"/>
                <w:sz w:val="20"/>
                <w:szCs w:val="20"/>
                <w:lang w:eastAsia="pt-BR"/>
              </w:rPr>
            </w:pPr>
            <w:r w:rsidRPr="0092438C">
              <w:rPr>
                <w:rFonts w:eastAsia="Times New Roman" w:cs="Arial"/>
                <w:sz w:val="20"/>
                <w:szCs w:val="20"/>
                <w:lang w:eastAsia="pt-BR"/>
              </w:rPr>
              <w:t>3,7</w:t>
            </w:r>
          </w:p>
        </w:tc>
      </w:tr>
    </w:tbl>
    <w:p w:rsidR="00193B74" w:rsidRPr="006346A1" w:rsidRDefault="00193B74" w:rsidP="00193B74">
      <w:pPr>
        <w:pStyle w:val="Fonte"/>
      </w:pPr>
      <w:r w:rsidRPr="006346A1">
        <w:t>Fonte: SHS, 2017.</w:t>
      </w:r>
    </w:p>
    <w:p w:rsidR="00193B74" w:rsidRPr="006346A1" w:rsidRDefault="00193B74" w:rsidP="00193B74">
      <w:pPr>
        <w:widowControl w:val="0"/>
        <w:autoSpaceDE w:val="0"/>
        <w:autoSpaceDN w:val="0"/>
        <w:adjustRightInd w:val="0"/>
        <w:spacing w:before="120" w:after="120"/>
        <w:ind w:firstLine="708"/>
        <w:contextualSpacing/>
        <w:rPr>
          <w:rFonts w:cs="Arial"/>
          <w:szCs w:val="24"/>
        </w:rPr>
      </w:pPr>
      <w:r w:rsidRPr="006346A1">
        <w:rPr>
          <w:rFonts w:cs="Arial"/>
          <w:szCs w:val="24"/>
        </w:rPr>
        <w:lastRenderedPageBreak/>
        <w:t xml:space="preserve">Como pode ser verificado no quadro apresentado, a vazão outorgável do novo manancial proposto é suficiente para atender às demandas atuais e futuras, mesmo com o aumento das mesmas. </w:t>
      </w:r>
    </w:p>
    <w:p w:rsidR="00193B74" w:rsidRPr="006346A1" w:rsidRDefault="00193B74" w:rsidP="00193B74">
      <w:pPr>
        <w:ind w:firstLine="708"/>
        <w:rPr>
          <w:rFonts w:cs="Arial"/>
          <w:szCs w:val="24"/>
        </w:rPr>
      </w:pPr>
      <w:r w:rsidRPr="006346A1">
        <w:rPr>
          <w:rFonts w:cs="Arial"/>
          <w:szCs w:val="24"/>
        </w:rPr>
        <w:t>A qualidade do rio no ponto em questão é considerada de classe 2</w:t>
      </w:r>
      <w:r w:rsidR="00DE645E" w:rsidRPr="006346A1">
        <w:rPr>
          <w:rFonts w:cs="Arial"/>
          <w:szCs w:val="24"/>
        </w:rPr>
        <w:t>,</w:t>
      </w:r>
      <w:r w:rsidRPr="006346A1">
        <w:rPr>
          <w:rFonts w:cs="Arial"/>
          <w:szCs w:val="24"/>
        </w:rPr>
        <w:t xml:space="preserve"> conforme o PIRH – Bacia do Rio Doce (2010). Todavia, existe a necessidade de aferir novamente a qualidade neste ponto, afinal não há monitoramento do IGAM nos cursos propostos.</w:t>
      </w:r>
    </w:p>
    <w:p w:rsidR="00193B74" w:rsidRPr="006346A1" w:rsidRDefault="00193B74" w:rsidP="002828C8">
      <w:pPr>
        <w:pStyle w:val="Ttulo4"/>
      </w:pPr>
      <w:bookmarkStart w:id="68" w:name="_Toc497468990"/>
      <w:r w:rsidRPr="006346A1">
        <w:t>Áreas rurais</w:t>
      </w:r>
      <w:bookmarkEnd w:id="68"/>
    </w:p>
    <w:p w:rsidR="00193B74" w:rsidRPr="006346A1" w:rsidRDefault="00193B74" w:rsidP="00193B74">
      <w:pPr>
        <w:ind w:firstLine="708"/>
        <w:rPr>
          <w:lang w:eastAsia="pt-BR"/>
        </w:rPr>
      </w:pPr>
      <w:r w:rsidRPr="006346A1">
        <w:rPr>
          <w:lang w:eastAsia="pt-BR"/>
        </w:rPr>
        <w:t>Com relação às alternativas isoladas empregadas nas áreas rurais, como foi levantado no diagnóstico, na maioria dos casos a água é captada em poços e nascentes e é conduzida diretamente para o abastecimento das residências</w:t>
      </w:r>
      <w:r w:rsidR="009F6273" w:rsidRPr="006346A1">
        <w:rPr>
          <w:lang w:eastAsia="pt-BR"/>
        </w:rPr>
        <w:t>,</w:t>
      </w:r>
      <w:r w:rsidRPr="006346A1">
        <w:rPr>
          <w:lang w:eastAsia="pt-BR"/>
        </w:rPr>
        <w:t xml:space="preserve"> sem passar por processos de tratamento antes do seu consumo. Nesse caso, é preciso que sejam implementadas medidas simples de tratamento da água.</w:t>
      </w:r>
    </w:p>
    <w:p w:rsidR="00193B74" w:rsidRPr="006346A1" w:rsidRDefault="00193B74" w:rsidP="00193B74">
      <w:pPr>
        <w:ind w:firstLine="708"/>
        <w:rPr>
          <w:lang w:eastAsia="pt-BR"/>
        </w:rPr>
      </w:pPr>
      <w:r w:rsidRPr="006346A1">
        <w:rPr>
          <w:lang w:eastAsia="pt-BR"/>
        </w:rPr>
        <w:t>Nos casos em que são utilizados os poços de captação, deve-se realizar o tratamento por desinfecção pelo processo de cloração antes do seu consumo.</w:t>
      </w:r>
    </w:p>
    <w:p w:rsidR="00193B74" w:rsidRPr="006346A1" w:rsidRDefault="00193B74" w:rsidP="00193B74">
      <w:pPr>
        <w:tabs>
          <w:tab w:val="left" w:pos="7655"/>
        </w:tabs>
        <w:ind w:firstLine="708"/>
        <w:rPr>
          <w:lang w:eastAsia="pt-BR"/>
        </w:rPr>
      </w:pPr>
      <w:r w:rsidRPr="006346A1">
        <w:rPr>
          <w:lang w:eastAsia="pt-BR"/>
        </w:rPr>
        <w:t>O cloro é um produto de baixo custo e tem a capacidade de eliminar as bactérias patogênicas presentes na água. Para a aplicação na etapa de desinfecção da água, o cloro deve ser dosado em concentrações corretas.</w:t>
      </w:r>
    </w:p>
    <w:p w:rsidR="00193B74" w:rsidRPr="006346A1" w:rsidRDefault="00193B74" w:rsidP="00193B74">
      <w:pPr>
        <w:ind w:firstLine="708"/>
        <w:rPr>
          <w:lang w:eastAsia="pt-BR"/>
        </w:rPr>
      </w:pPr>
      <w:r w:rsidRPr="006346A1">
        <w:rPr>
          <w:lang w:eastAsia="pt-BR"/>
        </w:rPr>
        <w:t xml:space="preserve">Uma das opções de estrutura de tratamento por cloração que pode ser utilizado em áreas rurais é o </w:t>
      </w:r>
      <w:r w:rsidRPr="006346A1">
        <w:rPr>
          <w:i/>
          <w:lang w:eastAsia="pt-BR"/>
        </w:rPr>
        <w:t>Clorador EMBRAPA</w:t>
      </w:r>
      <w:r w:rsidRPr="006346A1">
        <w:rPr>
          <w:lang w:eastAsia="pt-BR"/>
        </w:rPr>
        <w:t xml:space="preserve">. Este equipamento de adição de cloro pode ser construído com baixo custo e utilizando-se materiais de fácil acesso (casas de construção). O funcionamento dá-se pela aplicação diária de 1,5g a 2g de hipoclorito de cálcio a cada metro cúbico de água, atendendo assim à Portaria nº 2.914/2011 do Ministério da Saúde. A </w:t>
      </w:r>
      <w:r w:rsidRPr="006346A1">
        <w:rPr>
          <w:lang w:eastAsia="pt-BR"/>
        </w:rPr>
        <w:fldChar w:fldCharType="begin"/>
      </w:r>
      <w:r w:rsidRPr="006346A1">
        <w:rPr>
          <w:lang w:eastAsia="pt-BR"/>
        </w:rPr>
        <w:instrText xml:space="preserve"> REF _Ref436139518 \h </w:instrText>
      </w:r>
      <w:r w:rsidR="00AB46EA" w:rsidRPr="006346A1">
        <w:rPr>
          <w:lang w:eastAsia="pt-BR"/>
        </w:rPr>
        <w:instrText xml:space="preserve"> \* MERGEFORMAT </w:instrText>
      </w:r>
      <w:r w:rsidRPr="006346A1">
        <w:rPr>
          <w:lang w:eastAsia="pt-BR"/>
        </w:rPr>
      </w:r>
      <w:r w:rsidRPr="006346A1">
        <w:rPr>
          <w:lang w:eastAsia="pt-BR"/>
        </w:rPr>
        <w:fldChar w:fldCharType="separate"/>
      </w:r>
      <w:r w:rsidR="004D1D76" w:rsidRPr="006346A1">
        <w:t xml:space="preserve">Figura </w:t>
      </w:r>
      <w:r w:rsidR="004D1D76">
        <w:rPr>
          <w:noProof/>
        </w:rPr>
        <w:t>3</w:t>
      </w:r>
      <w:r w:rsidRPr="006346A1">
        <w:rPr>
          <w:lang w:eastAsia="pt-BR"/>
        </w:rPr>
        <w:fldChar w:fldCharType="end"/>
      </w:r>
      <w:r w:rsidRPr="006346A1">
        <w:rPr>
          <w:lang w:eastAsia="pt-BR"/>
        </w:rPr>
        <w:t xml:space="preserve"> ilustra esquematicamente como se dá esse processo de cloração.</w:t>
      </w:r>
    </w:p>
    <w:p w:rsidR="00193B74" w:rsidRPr="006346A1" w:rsidRDefault="00193B74" w:rsidP="00193B74">
      <w:pPr>
        <w:pStyle w:val="Legenda"/>
        <w:rPr>
          <w:lang w:eastAsia="pt-BR"/>
        </w:rPr>
      </w:pPr>
      <w:bookmarkStart w:id="69" w:name="_Ref436139518"/>
      <w:bookmarkStart w:id="70" w:name="_Toc441657066"/>
      <w:bookmarkStart w:id="71" w:name="_Toc497469099"/>
      <w:r w:rsidRPr="006346A1">
        <w:lastRenderedPageBreak/>
        <w:t xml:space="preserve">Figura </w:t>
      </w:r>
      <w:r w:rsidR="00D71C43">
        <w:fldChar w:fldCharType="begin"/>
      </w:r>
      <w:r w:rsidR="00D71C43">
        <w:instrText xml:space="preserve"> SEQ Figura \* ARABIC </w:instrText>
      </w:r>
      <w:r w:rsidR="00D71C43">
        <w:fldChar w:fldCharType="separate"/>
      </w:r>
      <w:r w:rsidR="004D1D76">
        <w:rPr>
          <w:noProof/>
        </w:rPr>
        <w:t>3</w:t>
      </w:r>
      <w:r w:rsidR="00D71C43">
        <w:rPr>
          <w:noProof/>
        </w:rPr>
        <w:fldChar w:fldCharType="end"/>
      </w:r>
      <w:bookmarkEnd w:id="69"/>
      <w:r w:rsidRPr="006346A1">
        <w:t xml:space="preserve"> - Esquema do sistema de cloração desenvolvido pela Embrapa</w:t>
      </w:r>
      <w:bookmarkEnd w:id="70"/>
      <w:bookmarkEnd w:id="71"/>
    </w:p>
    <w:p w:rsidR="00193B74" w:rsidRPr="006346A1" w:rsidRDefault="00193B74" w:rsidP="00193B74">
      <w:pPr>
        <w:pStyle w:val="figura"/>
      </w:pPr>
      <w:r w:rsidRPr="006346A1">
        <w:rPr>
          <w:noProof/>
        </w:rPr>
        <w:drawing>
          <wp:inline distT="0" distB="0" distL="0" distR="0" wp14:anchorId="10DA13D3" wp14:editId="19373708">
            <wp:extent cx="4676775" cy="4876800"/>
            <wp:effectExtent l="19050" t="19050" r="28575" b="19050"/>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4676775" cy="4876800"/>
                    </a:xfrm>
                    <a:prstGeom prst="rect">
                      <a:avLst/>
                    </a:prstGeom>
                    <a:noFill/>
                    <a:ln w="9525" cmpd="sng">
                      <a:solidFill>
                        <a:srgbClr val="000000"/>
                      </a:solidFill>
                      <a:miter lim="800000"/>
                      <a:headEnd/>
                      <a:tailEnd/>
                    </a:ln>
                    <a:effectLst/>
                  </pic:spPr>
                </pic:pic>
              </a:graphicData>
            </a:graphic>
          </wp:inline>
        </w:drawing>
      </w:r>
    </w:p>
    <w:p w:rsidR="00193B74" w:rsidRPr="006346A1" w:rsidRDefault="00193B74" w:rsidP="00193B74">
      <w:pPr>
        <w:pStyle w:val="Fonte"/>
      </w:pPr>
      <w:r w:rsidRPr="006346A1">
        <w:t>Fonte: Embrapa, 2013.</w:t>
      </w:r>
    </w:p>
    <w:p w:rsidR="00193B74" w:rsidRPr="006346A1" w:rsidRDefault="00193B74" w:rsidP="00193B74">
      <w:pPr>
        <w:ind w:firstLine="708"/>
        <w:rPr>
          <w:rFonts w:cs="Arial"/>
          <w:szCs w:val="24"/>
        </w:rPr>
      </w:pPr>
      <w:r w:rsidRPr="006346A1">
        <w:rPr>
          <w:rFonts w:cs="Arial"/>
          <w:szCs w:val="24"/>
        </w:rPr>
        <w:t xml:space="preserve">Como pode ser visto na ilustração sobre o equipamento, a água captada passa pelo processo de cloração e então deve ser encaminhada para o reservatório. Do reservatório, a água então deve ser distribuída às residências. </w:t>
      </w:r>
    </w:p>
    <w:p w:rsidR="00193B74" w:rsidRPr="006346A1" w:rsidRDefault="00193B74" w:rsidP="00193B74">
      <w:pPr>
        <w:ind w:firstLine="708"/>
        <w:rPr>
          <w:lang w:eastAsia="pt-BR"/>
        </w:rPr>
      </w:pPr>
      <w:r w:rsidRPr="006346A1">
        <w:rPr>
          <w:rFonts w:cs="Arial"/>
          <w:szCs w:val="24"/>
        </w:rPr>
        <w:t xml:space="preserve">Além dos processos adequados de perfuração dos poços, captação e tratamento, deve haver a manutenção adequada dos mesmos. A </w:t>
      </w:r>
      <w:r w:rsidRPr="006346A1">
        <w:rPr>
          <w:lang w:eastAsia="pt-BR"/>
        </w:rPr>
        <w:t xml:space="preserve">Empresa de Assistência Técnica e </w:t>
      </w:r>
      <w:r w:rsidRPr="006346A1">
        <w:rPr>
          <w:rFonts w:cs="Arial"/>
          <w:szCs w:val="24"/>
        </w:rPr>
        <w:t xml:space="preserve">Extensão Rural do Estado de Minas Gerais (EMATER-MG) recomenda que sejam feitas </w:t>
      </w:r>
      <w:r w:rsidRPr="006346A1">
        <w:rPr>
          <w:lang w:eastAsia="pt-BR"/>
        </w:rPr>
        <w:t>a limpeza e a desinfecção dos poços ao menos uma vez ao ano.</w:t>
      </w:r>
    </w:p>
    <w:p w:rsidR="00193B74" w:rsidRPr="006346A1" w:rsidRDefault="00193B74" w:rsidP="00193B74">
      <w:pPr>
        <w:ind w:firstLine="708"/>
        <w:rPr>
          <w:lang w:eastAsia="pt-BR"/>
        </w:rPr>
      </w:pPr>
      <w:r w:rsidRPr="006346A1">
        <w:rPr>
          <w:lang w:eastAsia="pt-BR"/>
        </w:rPr>
        <w:t xml:space="preserve">Quanto às captações realizadas em minas, é recomendado que seja implementado um sistema de filtração seguido de desinfecção por cloro. Esse sistema seria composto pelas etapas de captação, reservação da água bruta, pré-filtração, </w:t>
      </w:r>
      <w:r w:rsidRPr="006346A1">
        <w:rPr>
          <w:lang w:eastAsia="pt-BR"/>
        </w:rPr>
        <w:lastRenderedPageBreak/>
        <w:t xml:space="preserve">filtração lenta e cloração. A </w:t>
      </w:r>
      <w:r w:rsidRPr="006346A1">
        <w:rPr>
          <w:rFonts w:cs="Arial"/>
          <w:szCs w:val="24"/>
        </w:rPr>
        <w:t>EMATER-MG fornece informações mais detalhadas sobre esse método de tratamento de água.</w:t>
      </w:r>
      <w:r w:rsidRPr="006346A1">
        <w:rPr>
          <w:lang w:eastAsia="pt-BR"/>
        </w:rPr>
        <w:t xml:space="preserve"> </w:t>
      </w:r>
    </w:p>
    <w:p w:rsidR="00193B74" w:rsidRPr="006346A1" w:rsidRDefault="00193B74" w:rsidP="00193B74">
      <w:pPr>
        <w:ind w:firstLine="708"/>
        <w:rPr>
          <w:rFonts w:cs="Arial"/>
          <w:szCs w:val="24"/>
        </w:rPr>
      </w:pPr>
      <w:r w:rsidRPr="006346A1">
        <w:rPr>
          <w:rFonts w:cs="Arial"/>
          <w:szCs w:val="24"/>
        </w:rPr>
        <w:t>De acordo com a empresa, após a captação, a água bruta deve ser armazenada em um reservatório. Após a reservação, a água bruta passa pelo processo de pré-filtração. Esse filtro tem como função remover os materiais sólidos e, juntamente com esses materiais, remover parte da carga bacteriológica da água bruta.</w:t>
      </w:r>
    </w:p>
    <w:p w:rsidR="00193B74" w:rsidRPr="006346A1" w:rsidRDefault="00193B74" w:rsidP="00193B74">
      <w:pPr>
        <w:ind w:firstLine="708"/>
        <w:rPr>
          <w:rFonts w:cs="Arial"/>
          <w:szCs w:val="24"/>
        </w:rPr>
      </w:pPr>
      <w:r w:rsidRPr="006346A1">
        <w:rPr>
          <w:rFonts w:cs="Arial"/>
          <w:szCs w:val="24"/>
        </w:rPr>
        <w:t>Em seguida, na etapa de filtração lenta, as impurezas da água, como sujeiras e parte dos microrganismos, são retidas no meio poroso o qual é utilizado no filtro. Como resultado, tem-se a melhoria de alguns parâmetros de qualidade, como cor, turbidez, sólidos suspensos e coliformes.</w:t>
      </w:r>
    </w:p>
    <w:p w:rsidR="00193B74" w:rsidRPr="006346A1" w:rsidRDefault="00193B74" w:rsidP="00193B74">
      <w:pPr>
        <w:ind w:firstLine="708"/>
        <w:rPr>
          <w:rFonts w:cs="Arial"/>
          <w:szCs w:val="24"/>
        </w:rPr>
      </w:pPr>
      <w:r w:rsidRPr="006346A1">
        <w:rPr>
          <w:rFonts w:cs="Arial"/>
          <w:szCs w:val="24"/>
        </w:rPr>
        <w:t xml:space="preserve">A estrutura do filtro é composta por recipientes (em alvenaria, PVC ou fibra de vidro) que possuem elementos pétreos inertes com diferentes granulometrias, sobrepostas em camadas de texturas finas até mais grossas. Em relação ao meio poroso, utiliza-se a areia como sua composição. A </w:t>
      </w:r>
      <w:r w:rsidRPr="006346A1">
        <w:rPr>
          <w:rFonts w:cs="Arial"/>
          <w:szCs w:val="24"/>
        </w:rPr>
        <w:fldChar w:fldCharType="begin"/>
      </w:r>
      <w:r w:rsidRPr="006346A1">
        <w:rPr>
          <w:rFonts w:cs="Arial"/>
          <w:szCs w:val="24"/>
        </w:rPr>
        <w:instrText xml:space="preserve"> REF _Ref434846750 \h  \* MERGEFORMAT </w:instrText>
      </w:r>
      <w:r w:rsidRPr="006346A1">
        <w:rPr>
          <w:rFonts w:cs="Arial"/>
          <w:szCs w:val="24"/>
        </w:rPr>
      </w:r>
      <w:r w:rsidRPr="006346A1">
        <w:rPr>
          <w:rFonts w:cs="Arial"/>
          <w:szCs w:val="24"/>
        </w:rPr>
        <w:fldChar w:fldCharType="separate"/>
      </w:r>
      <w:r w:rsidR="004D1D76" w:rsidRPr="004D1D76">
        <w:rPr>
          <w:rFonts w:cs="Arial"/>
          <w:szCs w:val="24"/>
        </w:rPr>
        <w:t>Figura 4</w:t>
      </w:r>
      <w:r w:rsidRPr="006346A1">
        <w:rPr>
          <w:rFonts w:cs="Arial"/>
          <w:szCs w:val="24"/>
        </w:rPr>
        <w:fldChar w:fldCharType="end"/>
      </w:r>
      <w:r w:rsidRPr="006346A1">
        <w:rPr>
          <w:rFonts w:cs="Arial"/>
          <w:szCs w:val="24"/>
        </w:rPr>
        <w:t xml:space="preserve"> mostra o esquema completo do sistema de filtração descrito.</w:t>
      </w:r>
    </w:p>
    <w:p w:rsidR="00193B74" w:rsidRPr="006346A1" w:rsidRDefault="00193B74" w:rsidP="00193B74">
      <w:pPr>
        <w:pStyle w:val="Legenda"/>
        <w:rPr>
          <w:lang w:eastAsia="pt-BR"/>
        </w:rPr>
      </w:pPr>
      <w:bookmarkStart w:id="72" w:name="_Ref434846750"/>
      <w:bookmarkStart w:id="73" w:name="_Toc441657067"/>
      <w:bookmarkStart w:id="74" w:name="_Toc497469100"/>
      <w:r w:rsidRPr="006346A1">
        <w:t xml:space="preserve">Figura </w:t>
      </w:r>
      <w:r w:rsidR="00D71C43">
        <w:fldChar w:fldCharType="begin"/>
      </w:r>
      <w:r w:rsidR="00D71C43">
        <w:instrText xml:space="preserve"> SEQ Figura \* ARABIC </w:instrText>
      </w:r>
      <w:r w:rsidR="00D71C43">
        <w:fldChar w:fldCharType="separate"/>
      </w:r>
      <w:r w:rsidR="004D1D76">
        <w:rPr>
          <w:noProof/>
        </w:rPr>
        <w:t>4</w:t>
      </w:r>
      <w:r w:rsidR="00D71C43">
        <w:rPr>
          <w:noProof/>
        </w:rPr>
        <w:fldChar w:fldCharType="end"/>
      </w:r>
      <w:bookmarkEnd w:id="72"/>
      <w:r w:rsidRPr="006346A1">
        <w:t xml:space="preserve"> </w:t>
      </w:r>
      <w:r w:rsidRPr="006346A1">
        <w:rPr>
          <w:lang w:val="pt-BR"/>
        </w:rPr>
        <w:t>-</w:t>
      </w:r>
      <w:r w:rsidRPr="006346A1">
        <w:t xml:space="preserve"> Esquema geral de filtragem de água de uma nascente</w:t>
      </w:r>
      <w:bookmarkEnd w:id="73"/>
      <w:bookmarkEnd w:id="74"/>
    </w:p>
    <w:p w:rsidR="00193B74" w:rsidRPr="006346A1" w:rsidRDefault="00193B74" w:rsidP="00193B74">
      <w:pPr>
        <w:pStyle w:val="figura"/>
      </w:pPr>
      <w:r w:rsidRPr="006346A1">
        <w:tab/>
      </w:r>
      <w:r w:rsidRPr="006346A1">
        <w:rPr>
          <w:noProof/>
        </w:rPr>
        <w:drawing>
          <wp:inline distT="0" distB="0" distL="0" distR="0" wp14:anchorId="7646FC47" wp14:editId="1C492FD9">
            <wp:extent cx="4600575" cy="1990725"/>
            <wp:effectExtent l="19050" t="19050" r="28575" b="28575"/>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cstate="screen">
                      <a:extLst>
                        <a:ext uri="{28A0092B-C50C-407E-A947-70E740481C1C}">
                          <a14:useLocalDpi xmlns:a14="http://schemas.microsoft.com/office/drawing/2010/main"/>
                        </a:ext>
                      </a:extLst>
                    </a:blip>
                    <a:srcRect/>
                    <a:stretch/>
                  </pic:blipFill>
                  <pic:spPr bwMode="auto">
                    <a:xfrm>
                      <a:off x="0" y="0"/>
                      <a:ext cx="4600034" cy="199049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193B74" w:rsidRPr="006346A1" w:rsidRDefault="00193B74" w:rsidP="00193B74">
      <w:pPr>
        <w:pStyle w:val="Fonte"/>
      </w:pPr>
      <w:r w:rsidRPr="006346A1">
        <w:t>Fonte: EMATER-MG, 2012.</w:t>
      </w:r>
    </w:p>
    <w:p w:rsidR="00193B74" w:rsidRDefault="00193B74" w:rsidP="00193B74">
      <w:pPr>
        <w:ind w:firstLine="708"/>
        <w:rPr>
          <w:lang w:eastAsia="pt-BR"/>
        </w:rPr>
      </w:pPr>
      <w:r w:rsidRPr="006346A1">
        <w:rPr>
          <w:lang w:eastAsia="pt-BR"/>
        </w:rPr>
        <w:t xml:space="preserve">Posteriormente ao tratamento por meio de filtração, conforme descreve a EMATER-MG, deve haver a etapa de cloração, a fim de se garantir a potabilidade da água e consequentemente não causar danos à saúde da população abastecida. Para a aplicação do cloro, pode-se instalar a estrutura do </w:t>
      </w:r>
      <w:r w:rsidRPr="006346A1">
        <w:rPr>
          <w:i/>
          <w:lang w:eastAsia="pt-BR"/>
        </w:rPr>
        <w:t>Clorador EMBRAPA</w:t>
      </w:r>
      <w:r w:rsidRPr="006346A1">
        <w:rPr>
          <w:lang w:eastAsia="pt-BR"/>
        </w:rPr>
        <w:t xml:space="preserve"> apresentado na </w:t>
      </w:r>
      <w:r w:rsidRPr="006346A1">
        <w:rPr>
          <w:lang w:eastAsia="pt-BR"/>
        </w:rPr>
        <w:fldChar w:fldCharType="begin"/>
      </w:r>
      <w:r w:rsidRPr="006346A1">
        <w:rPr>
          <w:lang w:eastAsia="pt-BR"/>
        </w:rPr>
        <w:instrText xml:space="preserve"> REF _Ref436139518 \h  \* MERGEFORMAT </w:instrText>
      </w:r>
      <w:r w:rsidRPr="006346A1">
        <w:rPr>
          <w:lang w:eastAsia="pt-BR"/>
        </w:rPr>
      </w:r>
      <w:r w:rsidRPr="006346A1">
        <w:rPr>
          <w:lang w:eastAsia="pt-BR"/>
        </w:rPr>
        <w:fldChar w:fldCharType="separate"/>
      </w:r>
      <w:r w:rsidR="004D1D76" w:rsidRPr="006346A1">
        <w:t xml:space="preserve">Figura </w:t>
      </w:r>
      <w:r w:rsidR="004D1D76">
        <w:rPr>
          <w:noProof/>
        </w:rPr>
        <w:t>3</w:t>
      </w:r>
      <w:r w:rsidRPr="006346A1">
        <w:rPr>
          <w:lang w:eastAsia="pt-BR"/>
        </w:rPr>
        <w:fldChar w:fldCharType="end"/>
      </w:r>
      <w:r w:rsidRPr="006346A1">
        <w:rPr>
          <w:lang w:eastAsia="pt-BR"/>
        </w:rPr>
        <w:t xml:space="preserve">. </w:t>
      </w:r>
    </w:p>
    <w:p w:rsidR="0081207B" w:rsidRPr="006346A1" w:rsidRDefault="0081207B" w:rsidP="00193B74">
      <w:pPr>
        <w:ind w:firstLine="708"/>
        <w:rPr>
          <w:lang w:eastAsia="pt-BR"/>
        </w:rPr>
      </w:pPr>
    </w:p>
    <w:p w:rsidR="00C57ADC" w:rsidRPr="006346A1" w:rsidRDefault="00D06609" w:rsidP="002828C8">
      <w:pPr>
        <w:pStyle w:val="Ttulo3"/>
      </w:pPr>
      <w:bookmarkStart w:id="75" w:name="_Ref435426272"/>
      <w:bookmarkStart w:id="76" w:name="_Toc497468991"/>
      <w:r w:rsidRPr="006346A1">
        <w:lastRenderedPageBreak/>
        <w:t>Eventos de emergência e c</w:t>
      </w:r>
      <w:r w:rsidR="00C57ADC" w:rsidRPr="006346A1">
        <w:t>ontingência</w:t>
      </w:r>
      <w:bookmarkEnd w:id="75"/>
      <w:bookmarkEnd w:id="76"/>
    </w:p>
    <w:p w:rsidR="00C57ADC" w:rsidRPr="006346A1" w:rsidRDefault="00C57ADC" w:rsidP="00C57ADC">
      <w:pPr>
        <w:spacing w:before="120" w:after="120"/>
        <w:ind w:firstLine="708"/>
        <w:contextualSpacing/>
        <w:rPr>
          <w:rFonts w:cs="Arial"/>
          <w:szCs w:val="24"/>
          <w:lang w:eastAsia="pt-BR"/>
        </w:rPr>
      </w:pPr>
      <w:r w:rsidRPr="006346A1">
        <w:rPr>
          <w:rFonts w:cs="Arial"/>
          <w:szCs w:val="24"/>
          <w:lang w:eastAsia="pt-BR"/>
        </w:rPr>
        <w:t xml:space="preserve">Os sistemas de saneamento básico devem apresentar segurança e estabilidade operacional garantidas. </w:t>
      </w:r>
      <w:r w:rsidR="009E0FE6">
        <w:rPr>
          <w:rFonts w:cs="Arial"/>
          <w:szCs w:val="24"/>
          <w:lang w:eastAsia="pt-BR"/>
        </w:rPr>
        <w:t xml:space="preserve">É </w:t>
      </w:r>
      <w:r w:rsidRPr="006346A1">
        <w:rPr>
          <w:rFonts w:cs="Arial"/>
          <w:szCs w:val="24"/>
          <w:lang w:eastAsia="pt-BR"/>
        </w:rPr>
        <w:t>importante identificar eventos de emergência e contingência para que seja possível antecipar medidas a serem tomadas nes</w:t>
      </w:r>
      <w:r w:rsidR="00C14E0E" w:rsidRPr="006346A1">
        <w:rPr>
          <w:rFonts w:cs="Arial"/>
          <w:szCs w:val="24"/>
          <w:lang w:eastAsia="pt-BR"/>
        </w:rPr>
        <w:t>s</w:t>
      </w:r>
      <w:r w:rsidRPr="006346A1">
        <w:rPr>
          <w:rFonts w:cs="Arial"/>
          <w:szCs w:val="24"/>
          <w:lang w:eastAsia="pt-BR"/>
        </w:rPr>
        <w:t>as ocasiões, reduzindo a vulnerabilidade e aumentando a segurança dos sistemas.</w:t>
      </w:r>
    </w:p>
    <w:p w:rsidR="00C57ADC" w:rsidRPr="006346A1" w:rsidRDefault="00C57ADC" w:rsidP="00C57ADC">
      <w:pPr>
        <w:spacing w:before="120" w:after="120"/>
        <w:ind w:firstLine="708"/>
        <w:contextualSpacing/>
        <w:rPr>
          <w:rFonts w:cs="Arial"/>
          <w:szCs w:val="24"/>
          <w:lang w:eastAsia="pt-BR"/>
        </w:rPr>
      </w:pPr>
      <w:r w:rsidRPr="006346A1">
        <w:rPr>
          <w:rFonts w:cs="Arial"/>
          <w:szCs w:val="24"/>
          <w:lang w:eastAsia="pt-BR"/>
        </w:rPr>
        <w:t>A seguir estão listados potenciais eventos de emergência e contingência relacionados ao Sistema de Abastecimento de Água - SAA.</w:t>
      </w:r>
    </w:p>
    <w:p w:rsidR="00C57ADC" w:rsidRPr="006346A1" w:rsidRDefault="00C57ADC" w:rsidP="00C57ADC">
      <w:pPr>
        <w:spacing w:before="120" w:after="120"/>
        <w:ind w:firstLine="708"/>
        <w:contextualSpacing/>
        <w:rPr>
          <w:rFonts w:cs="Arial"/>
          <w:szCs w:val="24"/>
          <w:lang w:eastAsia="pt-BR"/>
        </w:rPr>
      </w:pPr>
      <w:r w:rsidRPr="006346A1">
        <w:rPr>
          <w:rFonts w:cs="Arial"/>
          <w:szCs w:val="24"/>
          <w:lang w:eastAsia="pt-BR"/>
        </w:rPr>
        <w:t>A fim de facilitar a compreensão, es</w:t>
      </w:r>
      <w:r w:rsidR="00C14E0E" w:rsidRPr="006346A1">
        <w:rPr>
          <w:rFonts w:cs="Arial"/>
          <w:szCs w:val="24"/>
          <w:lang w:eastAsia="pt-BR"/>
        </w:rPr>
        <w:t>s</w:t>
      </w:r>
      <w:r w:rsidRPr="006346A1">
        <w:rPr>
          <w:rFonts w:cs="Arial"/>
          <w:szCs w:val="24"/>
          <w:lang w:eastAsia="pt-BR"/>
        </w:rPr>
        <w:t>es eventos foram separados em operacionais, de gestão e gerenciamento, e eventos dotados de imprevisibilidade ou imprevisíveis. Note-se que es</w:t>
      </w:r>
      <w:r w:rsidR="00C14E0E" w:rsidRPr="006346A1">
        <w:rPr>
          <w:rFonts w:cs="Arial"/>
          <w:szCs w:val="24"/>
          <w:lang w:eastAsia="pt-BR"/>
        </w:rPr>
        <w:t>s</w:t>
      </w:r>
      <w:r w:rsidRPr="006346A1">
        <w:rPr>
          <w:rFonts w:cs="Arial"/>
          <w:szCs w:val="24"/>
          <w:lang w:eastAsia="pt-BR"/>
        </w:rPr>
        <w:t xml:space="preserve">a separação é puramente didática, uma vez que </w:t>
      </w:r>
      <w:r w:rsidR="00C14E0E" w:rsidRPr="006346A1">
        <w:rPr>
          <w:rFonts w:cs="Arial"/>
          <w:szCs w:val="24"/>
          <w:lang w:eastAsia="pt-BR"/>
        </w:rPr>
        <w:t xml:space="preserve">o </w:t>
      </w:r>
      <w:r w:rsidRPr="006346A1">
        <w:rPr>
          <w:rFonts w:cs="Arial"/>
          <w:szCs w:val="24"/>
          <w:lang w:eastAsia="pt-BR"/>
        </w:rPr>
        <w:t xml:space="preserve">bom funcionamento e </w:t>
      </w:r>
      <w:r w:rsidR="00C14E0E" w:rsidRPr="006346A1">
        <w:rPr>
          <w:rFonts w:cs="Arial"/>
          <w:szCs w:val="24"/>
          <w:lang w:eastAsia="pt-BR"/>
        </w:rPr>
        <w:t xml:space="preserve">a </w:t>
      </w:r>
      <w:r w:rsidRPr="006346A1">
        <w:rPr>
          <w:rFonts w:cs="Arial"/>
          <w:szCs w:val="24"/>
          <w:lang w:eastAsia="pt-BR"/>
        </w:rPr>
        <w:t>durabilidade dos equipamentos e componentes dos sistemas são altamente dependentes da gestão eficiente dos mesmos.</w:t>
      </w:r>
    </w:p>
    <w:p w:rsidR="00C57ADC" w:rsidRPr="006346A1" w:rsidRDefault="003F6DDA" w:rsidP="002828C8">
      <w:pPr>
        <w:pStyle w:val="Ttulo4"/>
      </w:pPr>
      <w:bookmarkStart w:id="77" w:name="_Toc497468992"/>
      <w:r w:rsidRPr="006346A1">
        <w:t xml:space="preserve">Eventos </w:t>
      </w:r>
      <w:r w:rsidR="00B9422A" w:rsidRPr="006346A1">
        <w:t>o</w:t>
      </w:r>
      <w:r w:rsidR="00C57ADC" w:rsidRPr="006346A1">
        <w:t>peracionais</w:t>
      </w:r>
      <w:bookmarkEnd w:id="77"/>
    </w:p>
    <w:p w:rsidR="00C57ADC" w:rsidRPr="006346A1" w:rsidRDefault="00C57ADC" w:rsidP="0083345F">
      <w:pPr>
        <w:pStyle w:val="PargrafodaLista"/>
        <w:numPr>
          <w:ilvl w:val="0"/>
          <w:numId w:val="8"/>
        </w:numPr>
        <w:tabs>
          <w:tab w:val="left" w:pos="993"/>
        </w:tabs>
        <w:spacing w:before="120" w:after="120"/>
        <w:ind w:left="0" w:firstLine="709"/>
        <w:rPr>
          <w:szCs w:val="24"/>
        </w:rPr>
      </w:pPr>
      <w:r w:rsidRPr="006346A1">
        <w:rPr>
          <w:b/>
          <w:szCs w:val="24"/>
        </w:rPr>
        <w:t>Ocorrência de danos (rompimento, vazamento, corrosão) no sistema de adução ou distribuição de água</w:t>
      </w:r>
      <w:r w:rsidRPr="006346A1">
        <w:rPr>
          <w:szCs w:val="24"/>
        </w:rPr>
        <w:t>: a ocorrência de danos nas estruturas de adução e distribuição de água pode levar à interrupção local ou generalizada do abastecimento. Vazamentos frequentes na rede de distribuição de água também implicam aumento do custo do tratamento</w:t>
      </w:r>
      <w:r w:rsidR="00C224B8" w:rsidRPr="006346A1">
        <w:rPr>
          <w:szCs w:val="24"/>
        </w:rPr>
        <w:t>,</w:t>
      </w:r>
      <w:r w:rsidRPr="006346A1">
        <w:rPr>
          <w:szCs w:val="24"/>
        </w:rPr>
        <w:t xml:space="preserve"> uma vez que água tratada é desperdiçada.</w:t>
      </w:r>
    </w:p>
    <w:p w:rsidR="00C57ADC" w:rsidRPr="006346A1" w:rsidRDefault="00C57ADC" w:rsidP="0083345F">
      <w:pPr>
        <w:pStyle w:val="PargrafodaLista"/>
        <w:numPr>
          <w:ilvl w:val="0"/>
          <w:numId w:val="8"/>
        </w:numPr>
        <w:tabs>
          <w:tab w:val="left" w:pos="993"/>
        </w:tabs>
        <w:spacing w:before="120" w:after="120"/>
        <w:ind w:left="0" w:firstLine="709"/>
        <w:rPr>
          <w:szCs w:val="24"/>
        </w:rPr>
      </w:pPr>
      <w:r w:rsidRPr="006346A1">
        <w:rPr>
          <w:b/>
          <w:szCs w:val="24"/>
        </w:rPr>
        <w:t>Ocorrência de avarias em sistemas de bombeamento</w:t>
      </w:r>
      <w:r w:rsidRPr="006346A1">
        <w:rPr>
          <w:szCs w:val="24"/>
        </w:rPr>
        <w:t xml:space="preserve">: a ocorrência de avarias nas estações elevatórias pode levar à diminuição da vazão de água disponibilizada pelo sistema e até mesmo </w:t>
      </w:r>
      <w:r w:rsidR="00891E08" w:rsidRPr="006346A1">
        <w:rPr>
          <w:szCs w:val="24"/>
        </w:rPr>
        <w:t>à interrupção do abastecimento.</w:t>
      </w:r>
    </w:p>
    <w:p w:rsidR="00C57ADC" w:rsidRPr="006346A1" w:rsidRDefault="00C57ADC" w:rsidP="0083345F">
      <w:pPr>
        <w:pStyle w:val="PargrafodaLista"/>
        <w:numPr>
          <w:ilvl w:val="0"/>
          <w:numId w:val="8"/>
        </w:numPr>
        <w:tabs>
          <w:tab w:val="left" w:pos="993"/>
        </w:tabs>
        <w:spacing w:before="120" w:after="120"/>
        <w:ind w:left="0" w:firstLine="709"/>
        <w:rPr>
          <w:szCs w:val="24"/>
        </w:rPr>
      </w:pPr>
      <w:r w:rsidRPr="006346A1">
        <w:rPr>
          <w:b/>
          <w:szCs w:val="24"/>
        </w:rPr>
        <w:t>Rompimento de barramentos em reservatórios</w:t>
      </w:r>
      <w:r w:rsidRPr="006346A1">
        <w:rPr>
          <w:szCs w:val="24"/>
        </w:rPr>
        <w:t>: o rompimento de barramentos em reservatórios pode colocar em risco a segurança da população de entorno e reduzir a disponibilidade hídrica, diminuindo</w:t>
      </w:r>
      <w:r w:rsidR="00C224B8" w:rsidRPr="006346A1">
        <w:rPr>
          <w:szCs w:val="24"/>
        </w:rPr>
        <w:t>,</w:t>
      </w:r>
      <w:r w:rsidRPr="006346A1">
        <w:rPr>
          <w:szCs w:val="24"/>
        </w:rPr>
        <w:t xml:space="preserve"> e até mesmo interrompendo</w:t>
      </w:r>
      <w:r w:rsidR="00C224B8" w:rsidRPr="006346A1">
        <w:rPr>
          <w:szCs w:val="24"/>
        </w:rPr>
        <w:t>,</w:t>
      </w:r>
      <w:r w:rsidRPr="006346A1">
        <w:rPr>
          <w:szCs w:val="24"/>
        </w:rPr>
        <w:t xml:space="preserve"> o abastecimento de água pelo sistema.</w:t>
      </w:r>
    </w:p>
    <w:p w:rsidR="00C57ADC" w:rsidRPr="006346A1" w:rsidRDefault="00C57ADC" w:rsidP="0083345F">
      <w:pPr>
        <w:pStyle w:val="PargrafodaLista"/>
        <w:numPr>
          <w:ilvl w:val="0"/>
          <w:numId w:val="8"/>
        </w:numPr>
        <w:tabs>
          <w:tab w:val="left" w:pos="993"/>
        </w:tabs>
        <w:spacing w:before="120" w:after="120"/>
        <w:ind w:left="0" w:firstLine="709"/>
        <w:rPr>
          <w:szCs w:val="24"/>
        </w:rPr>
      </w:pPr>
      <w:r w:rsidRPr="006346A1">
        <w:rPr>
          <w:b/>
          <w:szCs w:val="24"/>
        </w:rPr>
        <w:t>Ocorrência de acidentes de trabalho nas unidades de captação, tratamento e distribuição de água</w:t>
      </w:r>
      <w:r w:rsidRPr="006346A1">
        <w:rPr>
          <w:szCs w:val="24"/>
        </w:rPr>
        <w:t>:</w:t>
      </w:r>
      <w:r w:rsidRPr="006346A1">
        <w:rPr>
          <w:b/>
          <w:szCs w:val="24"/>
        </w:rPr>
        <w:t xml:space="preserve"> </w:t>
      </w:r>
      <w:r w:rsidRPr="006346A1">
        <w:rPr>
          <w:szCs w:val="24"/>
        </w:rPr>
        <w:t>os operadores do SAA estão sujeitos a diversos tipos de acidentes de trabalho, tais como cortes, quedas, choques elétricos, afogamentos, contaminação por produtos químicos, etc.</w:t>
      </w:r>
    </w:p>
    <w:p w:rsidR="00C57ADC" w:rsidRPr="006346A1" w:rsidRDefault="00C57ADC" w:rsidP="0083345F">
      <w:pPr>
        <w:pStyle w:val="PargrafodaLista"/>
        <w:numPr>
          <w:ilvl w:val="0"/>
          <w:numId w:val="8"/>
        </w:numPr>
        <w:tabs>
          <w:tab w:val="left" w:pos="993"/>
        </w:tabs>
        <w:spacing w:before="120" w:after="120"/>
        <w:ind w:left="0" w:firstLine="709"/>
        <w:rPr>
          <w:szCs w:val="24"/>
        </w:rPr>
      </w:pPr>
      <w:r w:rsidRPr="006346A1">
        <w:rPr>
          <w:b/>
          <w:szCs w:val="24"/>
        </w:rPr>
        <w:t>Ocorrência de vazamentos de produtos químicos nas instalações de produção de água</w:t>
      </w:r>
      <w:r w:rsidRPr="006346A1">
        <w:rPr>
          <w:szCs w:val="24"/>
        </w:rPr>
        <w:t xml:space="preserve">: o vazamento de produtos químicos em uma ETA coloca em risco a </w:t>
      </w:r>
      <w:r w:rsidRPr="006346A1">
        <w:rPr>
          <w:szCs w:val="24"/>
        </w:rPr>
        <w:lastRenderedPageBreak/>
        <w:t xml:space="preserve">segurança e a saúde dos operadores da estação e pode tornar a água imprópria para consumo, </w:t>
      </w:r>
      <w:r w:rsidR="00B9422A" w:rsidRPr="006346A1">
        <w:rPr>
          <w:szCs w:val="24"/>
        </w:rPr>
        <w:t>implicando na</w:t>
      </w:r>
      <w:r w:rsidRPr="006346A1">
        <w:rPr>
          <w:szCs w:val="24"/>
        </w:rPr>
        <w:t xml:space="preserve"> interrupção local ou generalizada na oferta de água potável pelo SAA.</w:t>
      </w:r>
    </w:p>
    <w:p w:rsidR="00C57ADC" w:rsidRPr="006346A1" w:rsidRDefault="00C57ADC" w:rsidP="0083345F">
      <w:pPr>
        <w:pStyle w:val="PargrafodaLista"/>
        <w:numPr>
          <w:ilvl w:val="0"/>
          <w:numId w:val="8"/>
        </w:numPr>
        <w:tabs>
          <w:tab w:val="left" w:pos="993"/>
        </w:tabs>
        <w:spacing w:before="120" w:after="120"/>
        <w:ind w:left="0" w:firstLine="709"/>
      </w:pPr>
      <w:r w:rsidRPr="006346A1">
        <w:rPr>
          <w:b/>
          <w:szCs w:val="24"/>
        </w:rPr>
        <w:t>Interrupção do fornecimento de energia elétrica nas instalações de captação, tratamento de água ou sistemas de bombeamento</w:t>
      </w:r>
      <w:r w:rsidRPr="006346A1">
        <w:rPr>
          <w:szCs w:val="24"/>
        </w:rPr>
        <w:t xml:space="preserve">: a interrupção do fornecimento de energia elétrica nas instalações de captação e tratamento pode causar interrupção local ou generalizada da oferta de água potável pelo SAA. </w:t>
      </w:r>
      <w:r w:rsidRPr="006346A1">
        <w:t>Atenta-se para o fato de esse tipo de empreendimento precisar ter um gerador de energia para alimentar o sistema por algumas horas, enquanto é providenci</w:t>
      </w:r>
      <w:r w:rsidR="00C224B8" w:rsidRPr="006346A1">
        <w:t>ada a retomada do fornecimento.</w:t>
      </w:r>
    </w:p>
    <w:p w:rsidR="00C57ADC" w:rsidRPr="006346A1" w:rsidRDefault="00B9422A" w:rsidP="002828C8">
      <w:pPr>
        <w:pStyle w:val="Ttulo4"/>
      </w:pPr>
      <w:bookmarkStart w:id="78" w:name="_Toc497468993"/>
      <w:r w:rsidRPr="006346A1">
        <w:t>Eventos relacionados à g</w:t>
      </w:r>
      <w:r w:rsidR="00C57ADC" w:rsidRPr="006346A1">
        <w:t xml:space="preserve">estão e </w:t>
      </w:r>
      <w:r w:rsidRPr="006346A1">
        <w:t xml:space="preserve">ao </w:t>
      </w:r>
      <w:r w:rsidR="00C57ADC" w:rsidRPr="006346A1">
        <w:t>gerenciamento</w:t>
      </w:r>
      <w:bookmarkEnd w:id="78"/>
    </w:p>
    <w:p w:rsidR="00C57ADC" w:rsidRPr="006346A1" w:rsidRDefault="00C57ADC" w:rsidP="0083345F">
      <w:pPr>
        <w:pStyle w:val="PargrafodaLista"/>
        <w:numPr>
          <w:ilvl w:val="0"/>
          <w:numId w:val="8"/>
        </w:numPr>
        <w:tabs>
          <w:tab w:val="left" w:pos="993"/>
        </w:tabs>
        <w:spacing w:before="120" w:after="120"/>
        <w:ind w:left="0" w:firstLine="709"/>
        <w:rPr>
          <w:szCs w:val="24"/>
        </w:rPr>
      </w:pPr>
      <w:r w:rsidRPr="006346A1">
        <w:rPr>
          <w:b/>
        </w:rPr>
        <w:t>Paralisação de funcionários nas unidades de captação, tratamento e distribuição de água</w:t>
      </w:r>
      <w:r w:rsidRPr="006346A1">
        <w:t>: a paralisação de funcionários do SAA pode levar à interrupção local ou generalizada do abastecimento de água.</w:t>
      </w:r>
    </w:p>
    <w:p w:rsidR="00C57ADC" w:rsidRPr="006346A1" w:rsidRDefault="00C57ADC" w:rsidP="0083345F">
      <w:pPr>
        <w:pStyle w:val="PargrafodaLista"/>
        <w:numPr>
          <w:ilvl w:val="0"/>
          <w:numId w:val="8"/>
        </w:numPr>
        <w:tabs>
          <w:tab w:val="left" w:pos="993"/>
        </w:tabs>
        <w:spacing w:before="120" w:after="120"/>
        <w:ind w:left="0" w:firstLine="709"/>
        <w:rPr>
          <w:szCs w:val="24"/>
        </w:rPr>
      </w:pPr>
      <w:r w:rsidRPr="006346A1">
        <w:rPr>
          <w:b/>
        </w:rPr>
        <w:t>Falta de financiamento para o sistema operacional e a realização de manutenções</w:t>
      </w:r>
      <w:r w:rsidRPr="006346A1">
        <w:t>: a falta de financiamento para o sistema operacional e a realização de manutenções pode levar à interrupção local ou generalizada do abastecimento.</w:t>
      </w:r>
    </w:p>
    <w:p w:rsidR="009C734F" w:rsidRPr="006346A1" w:rsidRDefault="00C57ADC" w:rsidP="0083345F">
      <w:pPr>
        <w:pStyle w:val="PargrafodaLista"/>
        <w:numPr>
          <w:ilvl w:val="0"/>
          <w:numId w:val="8"/>
        </w:numPr>
        <w:tabs>
          <w:tab w:val="left" w:pos="993"/>
        </w:tabs>
        <w:spacing w:before="120" w:after="120"/>
        <w:ind w:left="0" w:firstLine="709"/>
        <w:rPr>
          <w:szCs w:val="24"/>
        </w:rPr>
      </w:pPr>
      <w:r w:rsidRPr="006346A1">
        <w:rPr>
          <w:b/>
        </w:rPr>
        <w:t>Falta de produtos químicos necessários para o funcionamento da ETA</w:t>
      </w:r>
      <w:r w:rsidRPr="006346A1">
        <w:t xml:space="preserve">: o mau gerenciamento das compras e do estoque de produtos químicos necessários para o tratamento da água pode acarretar </w:t>
      </w:r>
      <w:r w:rsidR="00C224B8" w:rsidRPr="006346A1">
        <w:t>d</w:t>
      </w:r>
      <w:r w:rsidRPr="006346A1">
        <w:t>iminuição da eficiência do tratamento, bem como outros possíveis problemas operacionais e até mesmo a interrupção do abastecimento.</w:t>
      </w:r>
    </w:p>
    <w:p w:rsidR="00C57ADC" w:rsidRPr="006346A1" w:rsidRDefault="00B9422A" w:rsidP="002828C8">
      <w:pPr>
        <w:pStyle w:val="Ttulo4"/>
      </w:pPr>
      <w:bookmarkStart w:id="79" w:name="_Toc497468994"/>
      <w:r w:rsidRPr="006346A1">
        <w:t>Eventos i</w:t>
      </w:r>
      <w:r w:rsidR="00C57ADC" w:rsidRPr="006346A1">
        <w:t>mprevisíveis</w:t>
      </w:r>
      <w:bookmarkEnd w:id="79"/>
    </w:p>
    <w:p w:rsidR="00C57ADC" w:rsidRPr="006346A1" w:rsidRDefault="00C57ADC" w:rsidP="0083345F">
      <w:pPr>
        <w:pStyle w:val="PargrafodaLista"/>
        <w:numPr>
          <w:ilvl w:val="0"/>
          <w:numId w:val="8"/>
        </w:numPr>
        <w:tabs>
          <w:tab w:val="left" w:pos="993"/>
        </w:tabs>
        <w:spacing w:before="120" w:after="120"/>
        <w:ind w:left="0" w:firstLine="709"/>
        <w:rPr>
          <w:b/>
          <w:szCs w:val="24"/>
        </w:rPr>
      </w:pPr>
      <w:r w:rsidRPr="006346A1">
        <w:rPr>
          <w:b/>
          <w:szCs w:val="24"/>
        </w:rPr>
        <w:t xml:space="preserve">Redução da disponibilidade hídrica em períodos de estiagem além do esperado: </w:t>
      </w:r>
      <w:r w:rsidRPr="006346A1">
        <w:rPr>
          <w:szCs w:val="24"/>
        </w:rPr>
        <w:t>em períodos de seca, a disponibilidade de água nos mananciais superficiais e subterrâneos pode ser reduzida de maneira a interromper, de forma local ou generalizada, o abastecimento de água pelo sistema.</w:t>
      </w:r>
    </w:p>
    <w:p w:rsidR="00C57ADC" w:rsidRPr="006346A1" w:rsidRDefault="00C57ADC" w:rsidP="0083345F">
      <w:pPr>
        <w:pStyle w:val="PargrafodaLista"/>
        <w:numPr>
          <w:ilvl w:val="0"/>
          <w:numId w:val="8"/>
        </w:numPr>
        <w:tabs>
          <w:tab w:val="left" w:pos="993"/>
        </w:tabs>
        <w:spacing w:before="120" w:after="120"/>
        <w:ind w:left="0" w:firstLine="709"/>
        <w:rPr>
          <w:szCs w:val="24"/>
        </w:rPr>
      </w:pPr>
      <w:r w:rsidRPr="006346A1">
        <w:rPr>
          <w:b/>
          <w:szCs w:val="24"/>
        </w:rPr>
        <w:t>Contaminação das fontes (mananciais) de água</w:t>
      </w:r>
      <w:r w:rsidRPr="006346A1">
        <w:rPr>
          <w:szCs w:val="24"/>
        </w:rPr>
        <w:t>: a contaminação da água de um manancial pode levar à necessidade de se realizar alterações no sistema de tratamento ou até mesmo à suspensão do uso do corpo hídrico como fonte de água. Es</w:t>
      </w:r>
      <w:r w:rsidR="00C224B8" w:rsidRPr="006346A1">
        <w:rPr>
          <w:szCs w:val="24"/>
        </w:rPr>
        <w:t>s</w:t>
      </w:r>
      <w:r w:rsidRPr="006346A1">
        <w:rPr>
          <w:szCs w:val="24"/>
        </w:rPr>
        <w:t xml:space="preserve">es fatos podem levar ao aumento do custo e da complexidade do tratamento, bem </w:t>
      </w:r>
      <w:r w:rsidRPr="006346A1">
        <w:rPr>
          <w:szCs w:val="24"/>
        </w:rPr>
        <w:lastRenderedPageBreak/>
        <w:t>como à redução da disponibilidade hídrica ou até mesmo à interrupção local ou generalizada do abastecimento.</w:t>
      </w:r>
    </w:p>
    <w:p w:rsidR="00C57ADC" w:rsidRPr="006346A1" w:rsidRDefault="00C57ADC" w:rsidP="0083345F">
      <w:pPr>
        <w:pStyle w:val="PargrafodaLista"/>
        <w:numPr>
          <w:ilvl w:val="0"/>
          <w:numId w:val="8"/>
        </w:numPr>
        <w:tabs>
          <w:tab w:val="left" w:pos="993"/>
        </w:tabs>
        <w:spacing w:before="120" w:after="120"/>
        <w:ind w:left="0" w:firstLine="709"/>
        <w:rPr>
          <w:szCs w:val="24"/>
        </w:rPr>
      </w:pPr>
      <w:r w:rsidRPr="006346A1">
        <w:rPr>
          <w:b/>
          <w:szCs w:val="24"/>
        </w:rPr>
        <w:t>Contaminação no sistema de distribuição da água (reservatórios e rede de distribuição)</w:t>
      </w:r>
      <w:r w:rsidRPr="006346A1">
        <w:rPr>
          <w:szCs w:val="24"/>
        </w:rPr>
        <w:t>: a contaminação da água no sistema de distribuição pode colocar em risco a saúde da população atendida pelo sistema bem como levar à interrupção local ou generalizada do abastecimento de água.</w:t>
      </w:r>
    </w:p>
    <w:p w:rsidR="00C57ADC" w:rsidRPr="006346A1" w:rsidRDefault="00C57ADC" w:rsidP="0083345F">
      <w:pPr>
        <w:pStyle w:val="PargrafodaLista"/>
        <w:numPr>
          <w:ilvl w:val="0"/>
          <w:numId w:val="8"/>
        </w:numPr>
        <w:tabs>
          <w:tab w:val="left" w:pos="993"/>
        </w:tabs>
        <w:spacing w:before="120" w:after="120"/>
        <w:ind w:left="0" w:firstLine="709"/>
        <w:rPr>
          <w:szCs w:val="24"/>
        </w:rPr>
      </w:pPr>
      <w:r w:rsidRPr="006346A1">
        <w:rPr>
          <w:b/>
          <w:szCs w:val="24"/>
        </w:rPr>
        <w:t>Ocorrência de danos às instalações e equipamentos do sistema devido a desastres naturais</w:t>
      </w:r>
      <w:r w:rsidRPr="006346A1">
        <w:rPr>
          <w:szCs w:val="24"/>
        </w:rPr>
        <w:t>: enchentes, escorregamentos e outros desastres naturais podem causar danos às estruturas do SAA, levando à interrupção local ou generalizada do serviço.</w:t>
      </w:r>
    </w:p>
    <w:p w:rsidR="00C57ADC" w:rsidRPr="006346A1" w:rsidRDefault="00C57ADC" w:rsidP="0083345F">
      <w:pPr>
        <w:pStyle w:val="PargrafodaLista"/>
        <w:numPr>
          <w:ilvl w:val="0"/>
          <w:numId w:val="8"/>
        </w:numPr>
        <w:tabs>
          <w:tab w:val="left" w:pos="993"/>
        </w:tabs>
        <w:spacing w:before="120" w:after="120"/>
        <w:ind w:left="0" w:firstLine="709"/>
        <w:rPr>
          <w:szCs w:val="24"/>
        </w:rPr>
      </w:pPr>
      <w:r w:rsidRPr="006346A1">
        <w:rPr>
          <w:b/>
          <w:szCs w:val="24"/>
        </w:rPr>
        <w:t>Ocorrência de incêndios em estabelecimentos e edificações do SAA</w:t>
      </w:r>
      <w:r w:rsidRPr="006346A1">
        <w:rPr>
          <w:szCs w:val="24"/>
        </w:rPr>
        <w:t>: a ocorrência de incêndios no SAA coloca em risco a segurança dos operadores do sistema e da população de entorno, além de poder levar à interrupção local ou generalizada do abastecimento de água.</w:t>
      </w:r>
    </w:p>
    <w:p w:rsidR="00C57ADC" w:rsidRPr="006346A1" w:rsidRDefault="00C57ADC" w:rsidP="0083345F">
      <w:pPr>
        <w:pStyle w:val="PargrafodaLista"/>
        <w:numPr>
          <w:ilvl w:val="0"/>
          <w:numId w:val="8"/>
        </w:numPr>
        <w:tabs>
          <w:tab w:val="left" w:pos="993"/>
        </w:tabs>
        <w:spacing w:before="120" w:after="120"/>
        <w:ind w:left="0" w:firstLine="709"/>
        <w:rPr>
          <w:szCs w:val="24"/>
        </w:rPr>
      </w:pPr>
      <w:r w:rsidRPr="006346A1">
        <w:rPr>
          <w:b/>
          <w:szCs w:val="24"/>
        </w:rPr>
        <w:t>Avarias no gerador de energia</w:t>
      </w:r>
      <w:r w:rsidRPr="006346A1">
        <w:rPr>
          <w:szCs w:val="24"/>
        </w:rPr>
        <w:t>: falta de fornecimento de energia elétrica aos equipamentos do SAA pode levar à interrupção local do abastecimento de água.</w:t>
      </w:r>
    </w:p>
    <w:p w:rsidR="004C0BF6" w:rsidRPr="006346A1" w:rsidRDefault="004C0BF6" w:rsidP="002828C8">
      <w:pPr>
        <w:pStyle w:val="SHS-Ttulo02"/>
      </w:pPr>
      <w:bookmarkStart w:id="80" w:name="_Toc482622505"/>
      <w:bookmarkStart w:id="81" w:name="_Toc497468995"/>
      <w:r w:rsidRPr="006346A1">
        <w:t>Sistema de Esgotamento Sanitário</w:t>
      </w:r>
      <w:bookmarkEnd w:id="80"/>
      <w:bookmarkEnd w:id="81"/>
    </w:p>
    <w:p w:rsidR="005A0D0E" w:rsidRPr="002828C8" w:rsidRDefault="005A0D0E" w:rsidP="002828C8">
      <w:pPr>
        <w:pStyle w:val="Ttulo3"/>
      </w:pPr>
      <w:bookmarkStart w:id="82" w:name="_Toc482622506"/>
      <w:bookmarkStart w:id="83" w:name="_Ref484439441"/>
      <w:bookmarkStart w:id="84" w:name="_Toc497468996"/>
      <w:r w:rsidRPr="002828C8">
        <w:t>Estimativa da demanda de esgotamento sanitário</w:t>
      </w:r>
      <w:bookmarkEnd w:id="82"/>
      <w:bookmarkEnd w:id="83"/>
      <w:bookmarkEnd w:id="84"/>
    </w:p>
    <w:p w:rsidR="005A0D0E" w:rsidRPr="006346A1" w:rsidRDefault="005A0D0E" w:rsidP="005A0D0E">
      <w:pPr>
        <w:ind w:firstLine="709"/>
        <w:contextualSpacing/>
        <w:rPr>
          <w:rFonts w:cs="Arial"/>
        </w:rPr>
      </w:pPr>
      <w:r w:rsidRPr="006346A1">
        <w:rPr>
          <w:rFonts w:cs="Arial"/>
        </w:rPr>
        <w:t>A fim de se estimar a geração de esgotos no município em um horizonte de planejamento de vinte anos – de 2018 a 2038 – foram consideradas as projeções populacionais para esses anos, bem como dados fornecidos pelo SNIS e parâmetros adotados com base em dados da literatura e em estudos previamente elaborados.</w:t>
      </w:r>
    </w:p>
    <w:p w:rsidR="005A0D0E" w:rsidRDefault="005A0D0E" w:rsidP="005A0D0E">
      <w:pPr>
        <w:ind w:firstLine="709"/>
        <w:contextualSpacing/>
        <w:rPr>
          <w:rFonts w:cs="Arial"/>
          <w:szCs w:val="24"/>
        </w:rPr>
      </w:pPr>
      <w:r w:rsidRPr="006346A1">
        <w:rPr>
          <w:rFonts w:cs="Arial"/>
        </w:rPr>
        <w:t>Inicialmente, foram calculadas as vazões média, máxima diária, máxima horária</w:t>
      </w:r>
      <w:r w:rsidRPr="00DA6A87">
        <w:rPr>
          <w:rFonts w:cs="Arial"/>
        </w:rPr>
        <w:t xml:space="preserve"> e mínima de esgotos domésticos através </w:t>
      </w:r>
      <w:r w:rsidRPr="00DA6A87">
        <w:rPr>
          <w:rFonts w:cs="Arial"/>
          <w:szCs w:val="24"/>
        </w:rPr>
        <w:t xml:space="preserve">da </w:t>
      </w:r>
      <w:r w:rsidRPr="00DA6A87">
        <w:rPr>
          <w:rFonts w:cs="Arial"/>
          <w:szCs w:val="24"/>
        </w:rPr>
        <w:fldChar w:fldCharType="begin"/>
      </w:r>
      <w:r w:rsidRPr="00DA6A87">
        <w:rPr>
          <w:rFonts w:cs="Arial"/>
          <w:szCs w:val="24"/>
        </w:rPr>
        <w:instrText xml:space="preserve"> REF _Ref436754441 \h </w:instrText>
      </w:r>
      <w:r w:rsidRPr="00DA6A87">
        <w:rPr>
          <w:rFonts w:cs="Arial"/>
          <w:szCs w:val="24"/>
        </w:rPr>
      </w:r>
      <w:r w:rsidRPr="00DA6A87">
        <w:rPr>
          <w:rFonts w:cs="Arial"/>
          <w:szCs w:val="24"/>
        </w:rPr>
        <w:fldChar w:fldCharType="separate"/>
      </w:r>
      <w:r w:rsidR="004D1D76" w:rsidRPr="00DA6A87">
        <w:t xml:space="preserve">Equação </w:t>
      </w:r>
      <w:r w:rsidR="004D1D76">
        <w:rPr>
          <w:noProof/>
        </w:rPr>
        <w:t>3</w:t>
      </w:r>
      <w:r w:rsidRPr="00DA6A87">
        <w:rPr>
          <w:rFonts w:cs="Arial"/>
          <w:szCs w:val="24"/>
        </w:rPr>
        <w:fldChar w:fldCharType="end"/>
      </w:r>
      <w:r w:rsidRPr="00DA6A87">
        <w:rPr>
          <w:rFonts w:cs="Arial"/>
          <w:szCs w:val="24"/>
        </w:rPr>
        <w:t xml:space="preserve">, </w:t>
      </w:r>
      <w:r w:rsidRPr="00DA6A87">
        <w:rPr>
          <w:rFonts w:cs="Arial"/>
          <w:szCs w:val="24"/>
        </w:rPr>
        <w:fldChar w:fldCharType="begin"/>
      </w:r>
      <w:r w:rsidRPr="00DA6A87">
        <w:rPr>
          <w:rFonts w:cs="Arial"/>
          <w:szCs w:val="24"/>
        </w:rPr>
        <w:instrText xml:space="preserve"> REF _Ref430955734 \h  \* MERGEFORMAT </w:instrText>
      </w:r>
      <w:r w:rsidRPr="00DA6A87">
        <w:rPr>
          <w:rFonts w:cs="Arial"/>
          <w:szCs w:val="24"/>
        </w:rPr>
      </w:r>
      <w:r w:rsidRPr="00DA6A87">
        <w:rPr>
          <w:rFonts w:cs="Arial"/>
          <w:szCs w:val="24"/>
        </w:rPr>
        <w:fldChar w:fldCharType="separate"/>
      </w:r>
      <w:r w:rsidR="004D1D76" w:rsidRPr="004D1D76">
        <w:rPr>
          <w:rFonts w:cs="Arial"/>
          <w:szCs w:val="24"/>
        </w:rPr>
        <w:t>Equação</w:t>
      </w:r>
      <w:r w:rsidR="004D1D76" w:rsidRPr="00DA6A87">
        <w:t xml:space="preserve"> </w:t>
      </w:r>
      <w:r w:rsidR="004D1D76">
        <w:rPr>
          <w:noProof/>
        </w:rPr>
        <w:t>4</w:t>
      </w:r>
      <w:r w:rsidRPr="00DA6A87">
        <w:rPr>
          <w:rFonts w:cs="Arial"/>
          <w:szCs w:val="24"/>
        </w:rPr>
        <w:fldChar w:fldCharType="end"/>
      </w:r>
      <w:r w:rsidRPr="00DA6A87">
        <w:rPr>
          <w:rFonts w:cs="Arial"/>
          <w:szCs w:val="24"/>
        </w:rPr>
        <w:t xml:space="preserve">, </w:t>
      </w:r>
      <w:r w:rsidRPr="00DA6A87">
        <w:rPr>
          <w:rFonts w:cs="Arial"/>
          <w:szCs w:val="24"/>
        </w:rPr>
        <w:fldChar w:fldCharType="begin"/>
      </w:r>
      <w:r w:rsidRPr="00DA6A87">
        <w:rPr>
          <w:rFonts w:cs="Arial"/>
          <w:szCs w:val="24"/>
        </w:rPr>
        <w:instrText xml:space="preserve"> REF _Ref430955742 \h  \* MERGEFORMAT </w:instrText>
      </w:r>
      <w:r w:rsidRPr="00DA6A87">
        <w:rPr>
          <w:rFonts w:cs="Arial"/>
          <w:szCs w:val="24"/>
        </w:rPr>
      </w:r>
      <w:r w:rsidRPr="00DA6A87">
        <w:rPr>
          <w:rFonts w:cs="Arial"/>
          <w:szCs w:val="24"/>
        </w:rPr>
        <w:fldChar w:fldCharType="separate"/>
      </w:r>
      <w:r w:rsidR="004D1D76" w:rsidRPr="004D1D76">
        <w:rPr>
          <w:rFonts w:cs="Arial"/>
          <w:szCs w:val="24"/>
        </w:rPr>
        <w:t>Equação</w:t>
      </w:r>
      <w:r w:rsidR="004D1D76" w:rsidRPr="00DA6A87">
        <w:t xml:space="preserve"> </w:t>
      </w:r>
      <w:r w:rsidR="004D1D76">
        <w:rPr>
          <w:noProof/>
        </w:rPr>
        <w:t>5</w:t>
      </w:r>
      <w:r w:rsidRPr="00DA6A87">
        <w:rPr>
          <w:rFonts w:cs="Arial"/>
          <w:szCs w:val="24"/>
        </w:rPr>
        <w:fldChar w:fldCharType="end"/>
      </w:r>
      <w:r w:rsidRPr="00DA6A87">
        <w:rPr>
          <w:rFonts w:cs="Arial"/>
          <w:szCs w:val="24"/>
        </w:rPr>
        <w:t xml:space="preserve"> e </w:t>
      </w:r>
      <w:r w:rsidRPr="00DA6A87">
        <w:rPr>
          <w:rFonts w:cs="Arial"/>
          <w:szCs w:val="24"/>
        </w:rPr>
        <w:fldChar w:fldCharType="begin"/>
      </w:r>
      <w:r w:rsidRPr="00DA6A87">
        <w:rPr>
          <w:rFonts w:cs="Arial"/>
          <w:szCs w:val="24"/>
        </w:rPr>
        <w:instrText xml:space="preserve"> REF _Ref430955749 \h  \* MERGEFORMAT </w:instrText>
      </w:r>
      <w:r w:rsidRPr="00DA6A87">
        <w:rPr>
          <w:rFonts w:cs="Arial"/>
          <w:szCs w:val="24"/>
        </w:rPr>
      </w:r>
      <w:r w:rsidRPr="00DA6A87">
        <w:rPr>
          <w:rFonts w:cs="Arial"/>
          <w:szCs w:val="24"/>
        </w:rPr>
        <w:fldChar w:fldCharType="separate"/>
      </w:r>
      <w:r w:rsidR="004D1D76" w:rsidRPr="004D1D76">
        <w:rPr>
          <w:rFonts w:cs="Arial"/>
          <w:szCs w:val="24"/>
        </w:rPr>
        <w:t>Equação</w:t>
      </w:r>
      <w:r w:rsidR="004D1D76" w:rsidRPr="00DA6A87">
        <w:t xml:space="preserve"> </w:t>
      </w:r>
      <w:r w:rsidR="004D1D76">
        <w:rPr>
          <w:noProof/>
        </w:rPr>
        <w:t>6</w:t>
      </w:r>
      <w:r w:rsidRPr="00DA6A87">
        <w:rPr>
          <w:rFonts w:cs="Arial"/>
          <w:szCs w:val="24"/>
        </w:rPr>
        <w:fldChar w:fldCharType="end"/>
      </w:r>
      <w:r w:rsidRPr="00DA6A87">
        <w:rPr>
          <w:rFonts w:cs="Arial"/>
          <w:szCs w:val="24"/>
        </w:rPr>
        <w:t xml:space="preserve">, apresentadas a seguir. </w:t>
      </w:r>
    </w:p>
    <w:p w:rsidR="0081207B" w:rsidRDefault="0081207B" w:rsidP="005A0D0E">
      <w:pPr>
        <w:ind w:firstLine="709"/>
        <w:contextualSpacing/>
        <w:rPr>
          <w:rFonts w:cs="Arial"/>
          <w:szCs w:val="24"/>
        </w:rPr>
      </w:pPr>
    </w:p>
    <w:p w:rsidR="0081207B" w:rsidRDefault="0081207B" w:rsidP="005A0D0E">
      <w:pPr>
        <w:ind w:firstLine="709"/>
        <w:contextualSpacing/>
        <w:rPr>
          <w:rFonts w:cs="Arial"/>
          <w:szCs w:val="24"/>
        </w:rPr>
      </w:pPr>
    </w:p>
    <w:p w:rsidR="0081207B" w:rsidRDefault="0081207B" w:rsidP="005A0D0E">
      <w:pPr>
        <w:ind w:firstLine="709"/>
        <w:contextualSpacing/>
        <w:rPr>
          <w:rFonts w:cs="Arial"/>
          <w:szCs w:val="24"/>
        </w:rPr>
      </w:pPr>
    </w:p>
    <w:p w:rsidR="0081207B" w:rsidRDefault="0081207B" w:rsidP="005A0D0E">
      <w:pPr>
        <w:ind w:firstLine="709"/>
        <w:contextualSpacing/>
        <w:rPr>
          <w:rFonts w:cs="Arial"/>
          <w:szCs w:val="24"/>
        </w:rPr>
      </w:pPr>
    </w:p>
    <w:p w:rsidR="0081207B" w:rsidRPr="00DA6A87" w:rsidRDefault="0081207B" w:rsidP="005A0D0E">
      <w:pPr>
        <w:ind w:firstLine="709"/>
        <w:contextualSpacing/>
      </w:pPr>
    </w:p>
    <w:tbl>
      <w:tblPr>
        <w:tblW w:w="0" w:type="auto"/>
        <w:jc w:val="center"/>
        <w:tblLook w:val="04A0" w:firstRow="1" w:lastRow="0" w:firstColumn="1" w:lastColumn="0" w:noHBand="0" w:noVBand="1"/>
      </w:tblPr>
      <w:tblGrid>
        <w:gridCol w:w="4360"/>
        <w:gridCol w:w="4360"/>
      </w:tblGrid>
      <w:tr w:rsidR="005A0D0E" w:rsidRPr="00DA6A87" w:rsidTr="00B94A15">
        <w:trPr>
          <w:trHeight w:val="683"/>
          <w:jc w:val="center"/>
        </w:trPr>
        <w:tc>
          <w:tcPr>
            <w:tcW w:w="4360" w:type="dxa"/>
            <w:vAlign w:val="center"/>
          </w:tcPr>
          <w:p w:rsidR="005A0D0E" w:rsidRPr="00DA6A87" w:rsidRDefault="005A0D0E" w:rsidP="00B94A15">
            <w:pPr>
              <w:spacing w:before="120" w:after="120" w:line="240" w:lineRule="auto"/>
              <w:contextualSpacing/>
              <w:jc w:val="center"/>
              <w:rPr>
                <w:rFonts w:cs="Arial"/>
                <w:i/>
              </w:rPr>
            </w:pPr>
            <w:r w:rsidRPr="00DA6A87">
              <w:rPr>
                <w:rFonts w:cs="Arial"/>
                <w:i/>
              </w:rPr>
              <w:lastRenderedPageBreak/>
              <w:t>Vazão média (Qd</w:t>
            </w:r>
            <w:r w:rsidRPr="00DA6A87">
              <w:rPr>
                <w:rFonts w:cs="Arial"/>
                <w:i/>
                <w:vertAlign w:val="subscript"/>
              </w:rPr>
              <w:t>méd</w:t>
            </w:r>
            <w:r w:rsidRPr="00DA6A87">
              <w:rPr>
                <w:rFonts w:cs="Arial"/>
                <w:i/>
              </w:rPr>
              <w:t>):</w:t>
            </w:r>
          </w:p>
          <w:p w:rsidR="005A0D0E" w:rsidRPr="00DA6A87" w:rsidRDefault="004D1D76" w:rsidP="00B94A15">
            <w:pPr>
              <w:spacing w:before="120" w:after="120" w:line="240" w:lineRule="auto"/>
              <w:ind w:firstLine="708"/>
              <w:contextualSpacing/>
              <w:jc w:val="center"/>
            </w:pPr>
            <m:oMathPara>
              <m:oMath>
                <m:sSub>
                  <m:sSubPr>
                    <m:ctrlPr>
                      <w:rPr>
                        <w:rFonts w:ascii="Cambria Math" w:hAnsi="Cambria Math" w:cs="Arial"/>
                      </w:rPr>
                    </m:ctrlPr>
                  </m:sSubPr>
                  <m:e>
                    <m:r>
                      <w:rPr>
                        <w:rFonts w:ascii="Cambria Math" w:hAnsi="Cambria Math" w:cs="Arial"/>
                      </w:rPr>
                      <m:t>Qd</m:t>
                    </m:r>
                  </m:e>
                  <m:sub>
                    <m:r>
                      <w:rPr>
                        <w:rFonts w:ascii="Cambria Math" w:hAnsi="Cambria Math" w:cs="Arial"/>
                      </w:rPr>
                      <m:t>m</m:t>
                    </m:r>
                    <m:r>
                      <w:rPr>
                        <w:rFonts w:ascii="Cambria Math" w:cs="Arial"/>
                      </w:rPr>
                      <m:t>é</m:t>
                    </m:r>
                    <m:r>
                      <w:rPr>
                        <w:rFonts w:ascii="Cambria Math" w:hAnsi="Cambria Math" w:cs="Arial"/>
                      </w:rPr>
                      <m:t>d</m:t>
                    </m:r>
                  </m:sub>
                </m:sSub>
                <m:r>
                  <w:rPr>
                    <w:rFonts w:ascii="Cambria Math" w:cs="Arial"/>
                  </w:rPr>
                  <m:t>=</m:t>
                </m:r>
                <m:r>
                  <w:rPr>
                    <w:rFonts w:ascii="Cambria Math" w:hAnsi="Cambria Math" w:cs="Arial"/>
                  </w:rPr>
                  <m:t>P</m:t>
                </m:r>
                <m:r>
                  <w:rPr>
                    <w:rFonts w:ascii="Cambria Math" w:cs="Arial"/>
                  </w:rPr>
                  <m:t>×</m:t>
                </m:r>
                <m:r>
                  <w:rPr>
                    <w:rFonts w:ascii="Cambria Math" w:hAnsi="Cambria Math" w:cs="Arial"/>
                  </w:rPr>
                  <m:t>q</m:t>
                </m:r>
                <m:r>
                  <w:rPr>
                    <w:rFonts w:ascii="Cambria Math" w:cs="Arial"/>
                  </w:rPr>
                  <m:t>×</m:t>
                </m:r>
                <m:r>
                  <w:rPr>
                    <w:rFonts w:ascii="Cambria Math" w:hAnsi="Cambria Math" w:cs="Arial"/>
                  </w:rPr>
                  <m:t>C</m:t>
                </m:r>
              </m:oMath>
            </m:oMathPara>
          </w:p>
        </w:tc>
        <w:tc>
          <w:tcPr>
            <w:tcW w:w="4360" w:type="dxa"/>
            <w:vAlign w:val="center"/>
          </w:tcPr>
          <w:p w:rsidR="005A0D0E" w:rsidRPr="00DA6A87" w:rsidRDefault="005A0D0E" w:rsidP="00B94A15">
            <w:pPr>
              <w:spacing w:before="120" w:after="120" w:line="240" w:lineRule="auto"/>
              <w:contextualSpacing/>
              <w:jc w:val="center"/>
              <w:rPr>
                <w:rFonts w:cs="Arial"/>
                <w:i/>
              </w:rPr>
            </w:pPr>
            <w:r w:rsidRPr="00DA6A87">
              <w:rPr>
                <w:rFonts w:cs="Arial"/>
                <w:i/>
              </w:rPr>
              <w:t>Vazão máxima diária (Qd</w:t>
            </w:r>
            <w:r w:rsidRPr="00DA6A87">
              <w:rPr>
                <w:rFonts w:cs="Arial"/>
                <w:i/>
                <w:vertAlign w:val="subscript"/>
              </w:rPr>
              <w:t>máxd</w:t>
            </w:r>
            <w:r w:rsidRPr="00DA6A87">
              <w:rPr>
                <w:rFonts w:cs="Arial"/>
                <w:i/>
              </w:rPr>
              <w:t>):</w:t>
            </w:r>
          </w:p>
          <w:p w:rsidR="005A0D0E" w:rsidRPr="00DA6A87" w:rsidRDefault="004D1D76" w:rsidP="00B94A15">
            <w:pPr>
              <w:keepNext/>
              <w:spacing w:before="120" w:after="120" w:line="240" w:lineRule="auto"/>
              <w:ind w:firstLine="708"/>
              <w:contextualSpacing/>
              <w:jc w:val="center"/>
              <w:rPr>
                <w:i/>
              </w:rPr>
            </w:pPr>
            <m:oMathPara>
              <m:oMath>
                <m:sSub>
                  <m:sSubPr>
                    <m:ctrlPr>
                      <w:rPr>
                        <w:rFonts w:ascii="Cambria Math" w:hAnsi="Cambria Math" w:cs="Arial"/>
                        <w:i/>
                      </w:rPr>
                    </m:ctrlPr>
                  </m:sSubPr>
                  <m:e>
                    <m:r>
                      <w:rPr>
                        <w:rFonts w:ascii="Cambria Math" w:hAnsi="Cambria Math" w:cs="Arial"/>
                      </w:rPr>
                      <m:t>Qd</m:t>
                    </m:r>
                  </m:e>
                  <m:sub>
                    <m:r>
                      <w:rPr>
                        <w:rFonts w:ascii="Cambria Math" w:hAnsi="Cambria Math" w:cs="Arial"/>
                      </w:rPr>
                      <m:t>m</m:t>
                    </m:r>
                    <m:r>
                      <w:rPr>
                        <w:rFonts w:ascii="Cambria Math" w:cs="Arial"/>
                      </w:rPr>
                      <m:t>á</m:t>
                    </m:r>
                    <m:r>
                      <w:rPr>
                        <w:rFonts w:ascii="Cambria Math" w:hAnsi="Cambria Math" w:cs="Arial"/>
                      </w:rPr>
                      <m:t>xd</m:t>
                    </m:r>
                  </m:sub>
                </m:sSub>
                <m:r>
                  <w:rPr>
                    <w:rFonts w:ascii="Cambria Math" w:cs="Arial"/>
                  </w:rPr>
                  <m:t>=</m:t>
                </m:r>
                <m:r>
                  <w:rPr>
                    <w:rFonts w:ascii="Cambria Math" w:hAnsi="Cambria Math" w:cs="Arial"/>
                  </w:rPr>
                  <m:t>P</m:t>
                </m:r>
                <m:r>
                  <w:rPr>
                    <w:rFonts w:ascii="Cambria Math" w:cs="Arial"/>
                  </w:rPr>
                  <m:t>×</m:t>
                </m:r>
                <m:r>
                  <w:rPr>
                    <w:rFonts w:ascii="Cambria Math" w:hAnsi="Cambria Math" w:cs="Arial"/>
                  </w:rPr>
                  <m:t>q</m:t>
                </m:r>
                <m:r>
                  <w:rPr>
                    <w:rFonts w:ascii="Cambria Math" w:cs="Arial"/>
                  </w:rPr>
                  <m:t>×</m:t>
                </m:r>
                <m:r>
                  <w:rPr>
                    <w:rFonts w:ascii="Cambria Math" w:hAnsi="Cambria Math" w:cs="Arial"/>
                  </w:rPr>
                  <m:t>C</m:t>
                </m:r>
                <m:r>
                  <w:rPr>
                    <w:rFonts w:ascii="Cambria Math" w:cs="Arial"/>
                  </w:rPr>
                  <m:t>×</m:t>
                </m:r>
                <m:sSub>
                  <m:sSubPr>
                    <m:ctrlPr>
                      <w:rPr>
                        <w:rFonts w:ascii="Cambria Math" w:hAnsi="Cambria Math" w:cs="Arial"/>
                        <w:i/>
                      </w:rPr>
                    </m:ctrlPr>
                  </m:sSubPr>
                  <m:e>
                    <m:r>
                      <w:rPr>
                        <w:rFonts w:ascii="Cambria Math" w:hAnsi="Cambria Math" w:cs="Arial"/>
                      </w:rPr>
                      <m:t>k</m:t>
                    </m:r>
                  </m:e>
                  <m:sub>
                    <m:r>
                      <w:rPr>
                        <w:rFonts w:ascii="Cambria Math" w:cs="Arial"/>
                      </w:rPr>
                      <m:t>1</m:t>
                    </m:r>
                  </m:sub>
                </m:sSub>
              </m:oMath>
            </m:oMathPara>
          </w:p>
        </w:tc>
      </w:tr>
      <w:tr w:rsidR="005A0D0E" w:rsidRPr="00DA6A87" w:rsidTr="00B94A15">
        <w:trPr>
          <w:trHeight w:val="410"/>
          <w:jc w:val="center"/>
        </w:trPr>
        <w:tc>
          <w:tcPr>
            <w:tcW w:w="4360" w:type="dxa"/>
            <w:vAlign w:val="center"/>
          </w:tcPr>
          <w:p w:rsidR="005A0D0E" w:rsidRPr="00DA6A87" w:rsidRDefault="005A0D0E" w:rsidP="00B94A15">
            <w:pPr>
              <w:pStyle w:val="Legenda"/>
            </w:pPr>
            <w:bookmarkStart w:id="85" w:name="_Ref436754441"/>
            <w:r w:rsidRPr="00DA6A87">
              <w:t xml:space="preserve">Equação </w:t>
            </w:r>
            <w:r w:rsidR="00D71C43">
              <w:fldChar w:fldCharType="begin"/>
            </w:r>
            <w:r w:rsidR="00D71C43">
              <w:instrText xml:space="preserve"> SEQ Equação \* ARABIC </w:instrText>
            </w:r>
            <w:r w:rsidR="00D71C43">
              <w:fldChar w:fldCharType="separate"/>
            </w:r>
            <w:r w:rsidR="004D1D76">
              <w:rPr>
                <w:noProof/>
              </w:rPr>
              <w:t>3</w:t>
            </w:r>
            <w:r w:rsidR="00D71C43">
              <w:rPr>
                <w:noProof/>
              </w:rPr>
              <w:fldChar w:fldCharType="end"/>
            </w:r>
            <w:bookmarkEnd w:id="85"/>
          </w:p>
        </w:tc>
        <w:tc>
          <w:tcPr>
            <w:tcW w:w="4360" w:type="dxa"/>
            <w:vAlign w:val="center"/>
          </w:tcPr>
          <w:p w:rsidR="005A0D0E" w:rsidRPr="00DA6A87" w:rsidRDefault="005A0D0E" w:rsidP="00B94A15">
            <w:pPr>
              <w:pStyle w:val="Legenda"/>
            </w:pPr>
            <w:bookmarkStart w:id="86" w:name="_Ref430955734"/>
            <w:r w:rsidRPr="00DA6A87">
              <w:t xml:space="preserve">Equação </w:t>
            </w:r>
            <w:r w:rsidR="00D71C43">
              <w:fldChar w:fldCharType="begin"/>
            </w:r>
            <w:r w:rsidR="00D71C43">
              <w:instrText xml:space="preserve"> SEQ Equação \* ARABIC </w:instrText>
            </w:r>
            <w:r w:rsidR="00D71C43">
              <w:fldChar w:fldCharType="separate"/>
            </w:r>
            <w:r w:rsidR="004D1D76">
              <w:rPr>
                <w:noProof/>
              </w:rPr>
              <w:t>4</w:t>
            </w:r>
            <w:r w:rsidR="00D71C43">
              <w:rPr>
                <w:noProof/>
              </w:rPr>
              <w:fldChar w:fldCharType="end"/>
            </w:r>
            <w:bookmarkEnd w:id="86"/>
          </w:p>
        </w:tc>
      </w:tr>
      <w:tr w:rsidR="005A0D0E" w:rsidRPr="00DA6A87" w:rsidTr="00B94A15">
        <w:trPr>
          <w:trHeight w:val="753"/>
          <w:jc w:val="center"/>
        </w:trPr>
        <w:tc>
          <w:tcPr>
            <w:tcW w:w="4360" w:type="dxa"/>
            <w:vAlign w:val="center"/>
          </w:tcPr>
          <w:p w:rsidR="005A0D0E" w:rsidRPr="00DA6A87" w:rsidRDefault="005A0D0E" w:rsidP="00B94A15">
            <w:pPr>
              <w:spacing w:before="120" w:after="120" w:line="240" w:lineRule="auto"/>
              <w:contextualSpacing/>
              <w:jc w:val="center"/>
              <w:rPr>
                <w:rFonts w:cs="Arial"/>
                <w:i/>
              </w:rPr>
            </w:pPr>
            <w:r w:rsidRPr="00DA6A87">
              <w:rPr>
                <w:rFonts w:cs="Arial"/>
                <w:i/>
              </w:rPr>
              <w:t>Vazão máxima horária (Qd</w:t>
            </w:r>
            <w:r w:rsidRPr="00DA6A87">
              <w:rPr>
                <w:rFonts w:cs="Arial"/>
                <w:i/>
                <w:vertAlign w:val="subscript"/>
              </w:rPr>
              <w:t>máxh</w:t>
            </w:r>
            <w:r w:rsidRPr="00DA6A87">
              <w:rPr>
                <w:rFonts w:cs="Arial"/>
                <w:i/>
              </w:rPr>
              <w:t>):</w:t>
            </w:r>
          </w:p>
          <w:p w:rsidR="005A0D0E" w:rsidRPr="00DA6A87" w:rsidRDefault="004D1D76" w:rsidP="00B94A15">
            <w:pPr>
              <w:spacing w:before="120" w:after="120" w:line="240" w:lineRule="auto"/>
              <w:contextualSpacing/>
              <w:jc w:val="center"/>
              <w:rPr>
                <w:rFonts w:cs="Arial"/>
                <w:i/>
              </w:rPr>
            </w:pPr>
            <m:oMathPara>
              <m:oMath>
                <m:sSub>
                  <m:sSubPr>
                    <m:ctrlPr>
                      <w:rPr>
                        <w:rFonts w:ascii="Cambria Math" w:hAnsi="Cambria Math" w:cs="Arial"/>
                        <w:i/>
                      </w:rPr>
                    </m:ctrlPr>
                  </m:sSubPr>
                  <m:e>
                    <m:r>
                      <w:rPr>
                        <w:rFonts w:ascii="Cambria Math" w:hAnsi="Cambria Math" w:cs="Arial"/>
                      </w:rPr>
                      <m:t>Qd</m:t>
                    </m:r>
                  </m:e>
                  <m:sub>
                    <m:r>
                      <w:rPr>
                        <w:rFonts w:ascii="Cambria Math" w:hAnsi="Cambria Math" w:cs="Arial"/>
                      </w:rPr>
                      <m:t>m</m:t>
                    </m:r>
                    <m:r>
                      <w:rPr>
                        <w:rFonts w:ascii="Cambria Math" w:cs="Arial"/>
                      </w:rPr>
                      <m:t>á</m:t>
                    </m:r>
                    <m:r>
                      <w:rPr>
                        <w:rFonts w:ascii="Cambria Math" w:hAnsi="Cambria Math" w:cs="Arial"/>
                      </w:rPr>
                      <m:t>xh</m:t>
                    </m:r>
                  </m:sub>
                </m:sSub>
                <m:r>
                  <w:rPr>
                    <w:rFonts w:ascii="Cambria Math" w:cs="Arial"/>
                  </w:rPr>
                  <m:t>=</m:t>
                </m:r>
                <m:r>
                  <w:rPr>
                    <w:rFonts w:ascii="Cambria Math" w:hAnsi="Cambria Math" w:cs="Arial"/>
                  </w:rPr>
                  <m:t>P</m:t>
                </m:r>
                <m:r>
                  <w:rPr>
                    <w:rFonts w:ascii="Cambria Math" w:cs="Arial"/>
                  </w:rPr>
                  <m:t>×</m:t>
                </m:r>
                <m:r>
                  <w:rPr>
                    <w:rFonts w:ascii="Cambria Math" w:hAnsi="Cambria Math" w:cs="Arial"/>
                  </w:rPr>
                  <m:t>q</m:t>
                </m:r>
                <m:r>
                  <w:rPr>
                    <w:rFonts w:ascii="Cambria Math" w:cs="Arial"/>
                  </w:rPr>
                  <m:t>×</m:t>
                </m:r>
                <m:r>
                  <w:rPr>
                    <w:rFonts w:ascii="Cambria Math" w:hAnsi="Cambria Math" w:cs="Arial"/>
                  </w:rPr>
                  <m:t>C</m:t>
                </m:r>
                <m:r>
                  <w:rPr>
                    <w:rFonts w:ascii="Cambria Math" w:cs="Arial"/>
                  </w:rPr>
                  <m:t>×</m:t>
                </m:r>
                <m:sSub>
                  <m:sSubPr>
                    <m:ctrlPr>
                      <w:rPr>
                        <w:rFonts w:ascii="Cambria Math" w:hAnsi="Cambria Math" w:cs="Arial"/>
                        <w:i/>
                      </w:rPr>
                    </m:ctrlPr>
                  </m:sSubPr>
                  <m:e>
                    <m:r>
                      <w:rPr>
                        <w:rFonts w:ascii="Cambria Math" w:hAnsi="Cambria Math" w:cs="Arial"/>
                      </w:rPr>
                      <m:t>k</m:t>
                    </m:r>
                  </m:e>
                  <m:sub>
                    <m:r>
                      <w:rPr>
                        <w:rFonts w:ascii="Cambria Math" w:cs="Arial"/>
                      </w:rPr>
                      <m:t>1</m:t>
                    </m:r>
                  </m:sub>
                </m:sSub>
                <m:r>
                  <w:rPr>
                    <w:rFonts w:ascii="Cambria Math" w:cs="Arial"/>
                  </w:rPr>
                  <m:t>×</m:t>
                </m:r>
                <m:sSub>
                  <m:sSubPr>
                    <m:ctrlPr>
                      <w:rPr>
                        <w:rFonts w:ascii="Cambria Math" w:hAnsi="Cambria Math" w:cs="Arial"/>
                        <w:i/>
                      </w:rPr>
                    </m:ctrlPr>
                  </m:sSubPr>
                  <m:e>
                    <m:r>
                      <w:rPr>
                        <w:rFonts w:ascii="Cambria Math" w:hAnsi="Cambria Math" w:cs="Arial"/>
                      </w:rPr>
                      <m:t>k</m:t>
                    </m:r>
                  </m:e>
                  <m:sub>
                    <m:r>
                      <w:rPr>
                        <w:rFonts w:ascii="Cambria Math" w:cs="Arial"/>
                      </w:rPr>
                      <m:t>2</m:t>
                    </m:r>
                  </m:sub>
                </m:sSub>
              </m:oMath>
            </m:oMathPara>
          </w:p>
        </w:tc>
        <w:tc>
          <w:tcPr>
            <w:tcW w:w="4360" w:type="dxa"/>
            <w:vAlign w:val="center"/>
          </w:tcPr>
          <w:p w:rsidR="005A0D0E" w:rsidRPr="00DA6A87" w:rsidRDefault="005A0D0E" w:rsidP="00B94A15">
            <w:pPr>
              <w:spacing w:before="120" w:after="120" w:line="240" w:lineRule="auto"/>
              <w:contextualSpacing/>
              <w:jc w:val="center"/>
              <w:rPr>
                <w:rFonts w:cs="Arial"/>
                <w:i/>
              </w:rPr>
            </w:pPr>
            <w:r w:rsidRPr="00DA6A87">
              <w:rPr>
                <w:rFonts w:cs="Arial"/>
                <w:i/>
              </w:rPr>
              <w:t>Vazão mínima (Qd</w:t>
            </w:r>
            <w:r w:rsidRPr="00DA6A87">
              <w:rPr>
                <w:rFonts w:cs="Arial"/>
                <w:i/>
                <w:vertAlign w:val="subscript"/>
              </w:rPr>
              <w:t>min</w:t>
            </w:r>
            <w:r w:rsidRPr="00DA6A87">
              <w:rPr>
                <w:rFonts w:cs="Arial"/>
                <w:i/>
              </w:rPr>
              <w:t>):</w:t>
            </w:r>
          </w:p>
          <w:p w:rsidR="005A0D0E" w:rsidRPr="00DA6A87" w:rsidRDefault="004D1D76" w:rsidP="00B94A15">
            <w:pPr>
              <w:spacing w:before="120" w:after="120" w:line="240" w:lineRule="auto"/>
              <w:ind w:firstLine="708"/>
              <w:contextualSpacing/>
              <w:jc w:val="center"/>
            </w:pPr>
            <m:oMathPara>
              <m:oMath>
                <m:sSub>
                  <m:sSubPr>
                    <m:ctrlPr>
                      <w:rPr>
                        <w:rFonts w:ascii="Cambria Math" w:hAnsi="Cambria Math" w:cs="Arial"/>
                        <w:i/>
                      </w:rPr>
                    </m:ctrlPr>
                  </m:sSubPr>
                  <m:e>
                    <m:r>
                      <w:rPr>
                        <w:rFonts w:ascii="Cambria Math" w:hAnsi="Cambria Math" w:cs="Arial"/>
                      </w:rPr>
                      <m:t>Qd</m:t>
                    </m:r>
                  </m:e>
                  <m:sub>
                    <m:r>
                      <w:rPr>
                        <w:rFonts w:ascii="Cambria Math" w:hAnsi="Cambria Math" w:cs="Arial"/>
                      </w:rPr>
                      <m:t>min</m:t>
                    </m:r>
                  </m:sub>
                </m:sSub>
                <m:r>
                  <w:rPr>
                    <w:rFonts w:ascii="Cambria Math" w:cs="Arial"/>
                  </w:rPr>
                  <m:t>=</m:t>
                </m:r>
                <m:r>
                  <w:rPr>
                    <w:rFonts w:ascii="Cambria Math" w:hAnsi="Cambria Math" w:cs="Arial"/>
                  </w:rPr>
                  <m:t>P</m:t>
                </m:r>
                <m:r>
                  <w:rPr>
                    <w:rFonts w:ascii="Cambria Math" w:cs="Arial"/>
                  </w:rPr>
                  <m:t>×</m:t>
                </m:r>
                <m:r>
                  <w:rPr>
                    <w:rFonts w:ascii="Cambria Math" w:hAnsi="Cambria Math" w:cs="Arial"/>
                  </w:rPr>
                  <m:t>q</m:t>
                </m:r>
                <m:r>
                  <w:rPr>
                    <w:rFonts w:ascii="Cambria Math" w:cs="Arial"/>
                  </w:rPr>
                  <m:t>×</m:t>
                </m:r>
                <m:r>
                  <w:rPr>
                    <w:rFonts w:ascii="Cambria Math" w:hAnsi="Cambria Math" w:cs="Arial"/>
                  </w:rPr>
                  <m:t>C</m:t>
                </m:r>
                <m:r>
                  <w:rPr>
                    <w:rFonts w:ascii="Cambria Math" w:cs="Arial"/>
                  </w:rPr>
                  <m:t>×</m:t>
                </m:r>
                <m:sSub>
                  <m:sSubPr>
                    <m:ctrlPr>
                      <w:rPr>
                        <w:rFonts w:ascii="Cambria Math" w:hAnsi="Cambria Math" w:cs="Arial"/>
                        <w:i/>
                      </w:rPr>
                    </m:ctrlPr>
                  </m:sSubPr>
                  <m:e>
                    <m:r>
                      <w:rPr>
                        <w:rFonts w:ascii="Cambria Math" w:hAnsi="Cambria Math" w:cs="Arial"/>
                      </w:rPr>
                      <m:t>k</m:t>
                    </m:r>
                  </m:e>
                  <m:sub>
                    <m:r>
                      <w:rPr>
                        <w:rFonts w:ascii="Cambria Math" w:cs="Arial"/>
                      </w:rPr>
                      <m:t>3</m:t>
                    </m:r>
                  </m:sub>
                </m:sSub>
              </m:oMath>
            </m:oMathPara>
          </w:p>
        </w:tc>
      </w:tr>
      <w:tr w:rsidR="005A0D0E" w:rsidRPr="00DA6A87" w:rsidTr="00B94A15">
        <w:trPr>
          <w:jc w:val="center"/>
        </w:trPr>
        <w:tc>
          <w:tcPr>
            <w:tcW w:w="4360" w:type="dxa"/>
            <w:vAlign w:val="center"/>
          </w:tcPr>
          <w:p w:rsidR="005A0D0E" w:rsidRPr="00DA6A87" w:rsidRDefault="005A0D0E" w:rsidP="00B94A15">
            <w:pPr>
              <w:pStyle w:val="Legenda"/>
              <w:rPr>
                <w:i/>
              </w:rPr>
            </w:pPr>
            <w:bookmarkStart w:id="87" w:name="_Ref430955742"/>
            <w:r w:rsidRPr="00DA6A87">
              <w:t xml:space="preserve">Equação </w:t>
            </w:r>
            <w:r w:rsidR="00D71C43">
              <w:fldChar w:fldCharType="begin"/>
            </w:r>
            <w:r w:rsidR="00D71C43">
              <w:instrText xml:space="preserve"> SEQ Equação \* ARABIC </w:instrText>
            </w:r>
            <w:r w:rsidR="00D71C43">
              <w:fldChar w:fldCharType="separate"/>
            </w:r>
            <w:r w:rsidR="004D1D76">
              <w:rPr>
                <w:noProof/>
              </w:rPr>
              <w:t>5</w:t>
            </w:r>
            <w:r w:rsidR="00D71C43">
              <w:rPr>
                <w:noProof/>
              </w:rPr>
              <w:fldChar w:fldCharType="end"/>
            </w:r>
            <w:bookmarkEnd w:id="87"/>
          </w:p>
        </w:tc>
        <w:tc>
          <w:tcPr>
            <w:tcW w:w="4360" w:type="dxa"/>
            <w:vAlign w:val="center"/>
          </w:tcPr>
          <w:p w:rsidR="005A0D0E" w:rsidRPr="00DA6A87" w:rsidRDefault="005A0D0E" w:rsidP="00B94A15">
            <w:pPr>
              <w:pStyle w:val="Legenda"/>
              <w:rPr>
                <w:i/>
              </w:rPr>
            </w:pPr>
            <w:bookmarkStart w:id="88" w:name="_Ref430955749"/>
            <w:r w:rsidRPr="00DA6A87">
              <w:t xml:space="preserve">Equação </w:t>
            </w:r>
            <w:r w:rsidR="00D71C43">
              <w:fldChar w:fldCharType="begin"/>
            </w:r>
            <w:r w:rsidR="00D71C43">
              <w:instrText xml:space="preserve"> SEQ Equação \* ARABIC </w:instrText>
            </w:r>
            <w:r w:rsidR="00D71C43">
              <w:fldChar w:fldCharType="separate"/>
            </w:r>
            <w:r w:rsidR="004D1D76">
              <w:rPr>
                <w:noProof/>
              </w:rPr>
              <w:t>6</w:t>
            </w:r>
            <w:r w:rsidR="00D71C43">
              <w:rPr>
                <w:noProof/>
              </w:rPr>
              <w:fldChar w:fldCharType="end"/>
            </w:r>
            <w:bookmarkEnd w:id="88"/>
          </w:p>
        </w:tc>
      </w:tr>
    </w:tbl>
    <w:p w:rsidR="005A0D0E" w:rsidRPr="00DA6A87" w:rsidRDefault="005A0D0E" w:rsidP="005A0D0E">
      <w:pPr>
        <w:contextualSpacing/>
        <w:rPr>
          <w:rFonts w:cs="Arial"/>
        </w:rPr>
      </w:pPr>
    </w:p>
    <w:p w:rsidR="005A0D0E" w:rsidRPr="00DA6A87" w:rsidRDefault="005A0D0E" w:rsidP="005A0D0E">
      <w:pPr>
        <w:ind w:firstLine="708"/>
        <w:contextualSpacing/>
        <w:rPr>
          <w:rFonts w:cs="Arial"/>
        </w:rPr>
      </w:pPr>
      <w:r w:rsidRPr="00DA6A87">
        <w:rPr>
          <w:rFonts w:cs="Arial"/>
        </w:rPr>
        <w:t>Em que:</w:t>
      </w:r>
      <w:r w:rsidRPr="00DA6A87">
        <w:rPr>
          <w:rFonts w:cs="Arial"/>
        </w:rPr>
        <w:tab/>
        <w:t>Q</w:t>
      </w:r>
      <w:r w:rsidRPr="00DA6A87">
        <w:rPr>
          <w:rFonts w:cs="Arial"/>
          <w:vertAlign w:val="subscript"/>
        </w:rPr>
        <w:t>d</w:t>
      </w:r>
      <w:r w:rsidRPr="00DA6A87">
        <w:rPr>
          <w:rFonts w:cs="Arial"/>
        </w:rPr>
        <w:t xml:space="preserve"> = vazão de esgotos domésticos (L/s);</w:t>
      </w:r>
    </w:p>
    <w:p w:rsidR="005A0D0E" w:rsidRPr="00DA6A87" w:rsidRDefault="005A0D0E" w:rsidP="005A0D0E">
      <w:pPr>
        <w:ind w:left="1416" w:firstLine="708"/>
        <w:contextualSpacing/>
        <w:rPr>
          <w:rFonts w:cs="Arial"/>
        </w:rPr>
      </w:pPr>
      <w:r w:rsidRPr="00DA6A87">
        <w:rPr>
          <w:rFonts w:cs="Arial"/>
        </w:rPr>
        <w:t>P = população atendida (habitantes);</w:t>
      </w:r>
    </w:p>
    <w:p w:rsidR="005A0D0E" w:rsidRPr="00DA6A87" w:rsidRDefault="005A0D0E" w:rsidP="005A0D0E">
      <w:pPr>
        <w:ind w:left="1416" w:firstLine="708"/>
        <w:contextualSpacing/>
        <w:rPr>
          <w:rFonts w:cs="Arial"/>
        </w:rPr>
      </w:pPr>
      <w:r w:rsidRPr="00DA6A87">
        <w:rPr>
          <w:rFonts w:cs="Arial"/>
        </w:rPr>
        <w:t xml:space="preserve">q = consumo de água </w:t>
      </w:r>
      <w:r w:rsidRPr="00DA6A87">
        <w:rPr>
          <w:rFonts w:cs="Arial"/>
          <w:i/>
        </w:rPr>
        <w:t>per capita</w:t>
      </w:r>
      <w:r w:rsidRPr="00DA6A87">
        <w:rPr>
          <w:rFonts w:cs="Arial"/>
        </w:rPr>
        <w:t xml:space="preserve"> (L/hab.dia);</w:t>
      </w:r>
    </w:p>
    <w:p w:rsidR="005A0D0E" w:rsidRPr="00DA6A87" w:rsidRDefault="005A0D0E" w:rsidP="005A0D0E">
      <w:pPr>
        <w:ind w:left="1416" w:firstLine="708"/>
        <w:contextualSpacing/>
        <w:rPr>
          <w:rFonts w:cs="Arial"/>
          <w:szCs w:val="24"/>
        </w:rPr>
      </w:pPr>
      <w:r w:rsidRPr="00DA6A87">
        <w:rPr>
          <w:rFonts w:cs="Arial"/>
          <w:szCs w:val="24"/>
        </w:rPr>
        <w:t>C = coeficiente de retorno;</w:t>
      </w:r>
    </w:p>
    <w:p w:rsidR="005A0D0E" w:rsidRPr="00DA6A87" w:rsidRDefault="005A0D0E" w:rsidP="005A0D0E">
      <w:pPr>
        <w:ind w:left="1416" w:firstLine="708"/>
        <w:contextualSpacing/>
        <w:rPr>
          <w:rFonts w:cs="Arial"/>
          <w:szCs w:val="24"/>
        </w:rPr>
      </w:pPr>
      <w:r w:rsidRPr="00DA6A87">
        <w:rPr>
          <w:rFonts w:cs="Arial"/>
          <w:szCs w:val="24"/>
        </w:rPr>
        <w:t>k</w:t>
      </w:r>
      <w:r w:rsidRPr="00DA6A87">
        <w:rPr>
          <w:rFonts w:cs="Arial"/>
          <w:szCs w:val="24"/>
          <w:vertAlign w:val="subscript"/>
        </w:rPr>
        <w:t>1</w:t>
      </w:r>
      <w:r w:rsidRPr="00DA6A87">
        <w:rPr>
          <w:rFonts w:cs="Arial"/>
          <w:szCs w:val="24"/>
        </w:rPr>
        <w:t xml:space="preserve"> = coeficiente de máxima vazão diária;</w:t>
      </w:r>
    </w:p>
    <w:p w:rsidR="005A0D0E" w:rsidRPr="00DA6A87" w:rsidRDefault="005A0D0E" w:rsidP="005A0D0E">
      <w:pPr>
        <w:ind w:left="1416" w:firstLine="708"/>
        <w:contextualSpacing/>
        <w:rPr>
          <w:rFonts w:cs="Arial"/>
          <w:szCs w:val="24"/>
        </w:rPr>
      </w:pPr>
      <w:r w:rsidRPr="00DA6A87">
        <w:rPr>
          <w:rFonts w:cs="Arial"/>
          <w:szCs w:val="24"/>
        </w:rPr>
        <w:t>k</w:t>
      </w:r>
      <w:r w:rsidRPr="00DA6A87">
        <w:rPr>
          <w:rFonts w:cs="Arial"/>
          <w:szCs w:val="24"/>
          <w:vertAlign w:val="subscript"/>
        </w:rPr>
        <w:t>2</w:t>
      </w:r>
      <w:r w:rsidRPr="00DA6A87">
        <w:rPr>
          <w:rFonts w:cs="Arial"/>
          <w:szCs w:val="24"/>
        </w:rPr>
        <w:t xml:space="preserve"> = coeficiente de máxima vazão horária; </w:t>
      </w:r>
    </w:p>
    <w:p w:rsidR="005A0D0E" w:rsidRPr="00DA6A87" w:rsidRDefault="005A0D0E" w:rsidP="005A0D0E">
      <w:pPr>
        <w:ind w:left="1416" w:firstLine="708"/>
        <w:contextualSpacing/>
        <w:rPr>
          <w:rFonts w:cs="Arial"/>
          <w:szCs w:val="24"/>
        </w:rPr>
      </w:pPr>
      <w:r w:rsidRPr="00DA6A87">
        <w:rPr>
          <w:rFonts w:cs="Arial"/>
          <w:szCs w:val="24"/>
        </w:rPr>
        <w:t>k</w:t>
      </w:r>
      <w:r w:rsidRPr="00DA6A87">
        <w:rPr>
          <w:rFonts w:cs="Arial"/>
          <w:szCs w:val="24"/>
          <w:vertAlign w:val="subscript"/>
        </w:rPr>
        <w:t xml:space="preserve">3 </w:t>
      </w:r>
      <w:r w:rsidRPr="00DA6A87">
        <w:rPr>
          <w:rFonts w:cs="Arial"/>
          <w:szCs w:val="24"/>
        </w:rPr>
        <w:t>= coeficiente de mínima vazão.</w:t>
      </w:r>
    </w:p>
    <w:p w:rsidR="005A0D0E" w:rsidRPr="00DA6A87" w:rsidRDefault="005A0D0E" w:rsidP="005A0D0E">
      <w:pPr>
        <w:ind w:firstLine="709"/>
        <w:contextualSpacing/>
        <w:rPr>
          <w:rFonts w:cs="Arial"/>
          <w:szCs w:val="24"/>
        </w:rPr>
      </w:pPr>
      <w:r w:rsidRPr="00DA6A87">
        <w:rPr>
          <w:rFonts w:cs="Arial"/>
        </w:rPr>
        <w:t xml:space="preserve">Em seguida, através da </w:t>
      </w:r>
      <w:r w:rsidRPr="00DA6A87">
        <w:fldChar w:fldCharType="begin"/>
      </w:r>
      <w:r w:rsidRPr="00DA6A87">
        <w:instrText xml:space="preserve"> REF _Ref430958766 \h  \* MERGEFORMAT </w:instrText>
      </w:r>
      <w:r w:rsidRPr="00DA6A87">
        <w:fldChar w:fldCharType="separate"/>
      </w:r>
      <w:r w:rsidR="004D1D76" w:rsidRPr="004D1D76">
        <w:rPr>
          <w:rFonts w:cs="Arial"/>
          <w:szCs w:val="24"/>
        </w:rPr>
        <w:t>Equação 7</w:t>
      </w:r>
      <w:r w:rsidRPr="00DA6A87">
        <w:fldChar w:fldCharType="end"/>
      </w:r>
      <w:r w:rsidRPr="00DA6A87">
        <w:rPr>
          <w:rFonts w:cs="Arial"/>
          <w:szCs w:val="24"/>
        </w:rPr>
        <w:t xml:space="preserve"> e com a estimativa do comprimento da rede de esgotos e taxa de infiltração adotada,</w:t>
      </w:r>
      <w:r w:rsidRPr="00DA6A87">
        <w:rPr>
          <w:rFonts w:cs="Arial"/>
        </w:rPr>
        <w:t xml:space="preserve"> foi calculada a evolução da vazão de infiltração</w:t>
      </w:r>
      <w:r w:rsidRPr="00DA6A87">
        <w:rPr>
          <w:rFonts w:cs="Arial"/>
          <w:szCs w:val="24"/>
        </w:rPr>
        <w:t>.</w:t>
      </w:r>
    </w:p>
    <w:p w:rsidR="005A0D0E" w:rsidRPr="00DA6A87" w:rsidRDefault="004D1D76" w:rsidP="0081207B">
      <w:pPr>
        <w:pStyle w:val="figura"/>
      </w:pPr>
      <m:oMathPara>
        <m:oMath>
          <m:sSub>
            <m:sSubPr>
              <m:ctrlPr>
                <w:rPr>
                  <w:rFonts w:ascii="Cambria Math" w:hAnsi="Cambria Math"/>
                </w:rPr>
              </m:ctrlPr>
            </m:sSubPr>
            <m:e>
              <m:r>
                <w:rPr>
                  <w:rFonts w:ascii="Cambria Math" w:hAnsi="Cambria Math"/>
                </w:rPr>
                <m:t>Q</m:t>
              </m:r>
            </m:e>
            <m:sub>
              <m:r>
                <w:rPr>
                  <w:rFonts w:ascii="Cambria Math" w:hAnsi="Cambria Math"/>
                </w:rPr>
                <m:t>inf</m:t>
              </m:r>
            </m:sub>
          </m:sSub>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i</m:t>
          </m:r>
        </m:oMath>
      </m:oMathPara>
    </w:p>
    <w:p w:rsidR="005A0D0E" w:rsidRPr="00DA6A87" w:rsidRDefault="005A0D0E" w:rsidP="005A0D0E">
      <w:pPr>
        <w:pStyle w:val="Legenda"/>
      </w:pPr>
      <w:bookmarkStart w:id="89" w:name="_Ref430958766"/>
      <w:r w:rsidRPr="00DA6A87">
        <w:t xml:space="preserve">Equação </w:t>
      </w:r>
      <w:r w:rsidR="00D71C43">
        <w:fldChar w:fldCharType="begin"/>
      </w:r>
      <w:r w:rsidR="00D71C43">
        <w:instrText xml:space="preserve"> SEQ Equação \* ARABIC </w:instrText>
      </w:r>
      <w:r w:rsidR="00D71C43">
        <w:fldChar w:fldCharType="separate"/>
      </w:r>
      <w:r w:rsidR="004D1D76">
        <w:rPr>
          <w:noProof/>
        </w:rPr>
        <w:t>7</w:t>
      </w:r>
      <w:r w:rsidR="00D71C43">
        <w:rPr>
          <w:noProof/>
        </w:rPr>
        <w:fldChar w:fldCharType="end"/>
      </w:r>
      <w:bookmarkEnd w:id="89"/>
    </w:p>
    <w:p w:rsidR="005A0D0E" w:rsidRPr="00DA6A87" w:rsidRDefault="005A0D0E" w:rsidP="005A0D0E">
      <w:pPr>
        <w:ind w:firstLine="709"/>
        <w:contextualSpacing/>
        <w:rPr>
          <w:rFonts w:cs="Arial"/>
        </w:rPr>
      </w:pPr>
      <w:r w:rsidRPr="00DA6A87">
        <w:rPr>
          <w:rFonts w:cs="Arial"/>
        </w:rPr>
        <w:t>Em que</w:t>
      </w:r>
      <w:r w:rsidR="00E972F5">
        <w:rPr>
          <w:rFonts w:cs="Arial"/>
        </w:rPr>
        <w:t>:</w:t>
      </w:r>
      <w:r w:rsidRPr="00DA6A87">
        <w:rPr>
          <w:rFonts w:cs="Arial"/>
        </w:rPr>
        <w:tab/>
        <w:t>Q</w:t>
      </w:r>
      <w:r w:rsidRPr="00DA6A87">
        <w:rPr>
          <w:rFonts w:cs="Arial"/>
          <w:vertAlign w:val="subscript"/>
        </w:rPr>
        <w:t>inf</w:t>
      </w:r>
      <w:r w:rsidRPr="00DA6A87">
        <w:rPr>
          <w:rFonts w:cs="Arial"/>
        </w:rPr>
        <w:t xml:space="preserve"> = vazão de infiltração (L/s);</w:t>
      </w:r>
    </w:p>
    <w:p w:rsidR="005A0D0E" w:rsidRPr="00DA6A87" w:rsidRDefault="005A0D0E" w:rsidP="005A0D0E">
      <w:pPr>
        <w:ind w:left="1416" w:firstLine="708"/>
        <w:rPr>
          <w:rFonts w:cs="Arial"/>
        </w:rPr>
      </w:pPr>
      <w:r w:rsidRPr="00DA6A87">
        <w:rPr>
          <w:rFonts w:cs="Arial"/>
        </w:rPr>
        <w:t>L = comprimento da rede de esgotos (km);</w:t>
      </w:r>
    </w:p>
    <w:p w:rsidR="005A0D0E" w:rsidRPr="00DA6A87" w:rsidRDefault="005A0D0E" w:rsidP="005A0D0E">
      <w:pPr>
        <w:ind w:left="1416" w:firstLine="708"/>
        <w:rPr>
          <w:rFonts w:cs="Arial"/>
          <w:szCs w:val="24"/>
        </w:rPr>
      </w:pPr>
      <w:r w:rsidRPr="00DA6A87">
        <w:rPr>
          <w:rFonts w:cs="Arial"/>
          <w:szCs w:val="24"/>
        </w:rPr>
        <w:t>i = taxa de infiltração de água na rede de esgotos (L/s.km).</w:t>
      </w:r>
    </w:p>
    <w:p w:rsidR="005A0D0E" w:rsidRPr="00DA6A87" w:rsidRDefault="005A0D0E" w:rsidP="005A0D0E">
      <w:pPr>
        <w:ind w:firstLine="709"/>
        <w:rPr>
          <w:rFonts w:cs="Arial"/>
          <w:szCs w:val="24"/>
        </w:rPr>
      </w:pPr>
      <w:r w:rsidRPr="00DA6A87">
        <w:rPr>
          <w:rFonts w:cs="Arial"/>
          <w:szCs w:val="24"/>
        </w:rPr>
        <w:t>Por fim, foram calculadas as vazões sanitárias, somando-se as vazões de esgotos e a contribuição de infiltração, como nas equações apresentadas a seguir (</w:t>
      </w:r>
      <w:r w:rsidRPr="00DA6A87">
        <w:rPr>
          <w:rFonts w:cs="Arial"/>
          <w:szCs w:val="24"/>
        </w:rPr>
        <w:fldChar w:fldCharType="begin"/>
      </w:r>
      <w:r w:rsidRPr="00DA6A87">
        <w:rPr>
          <w:rFonts w:cs="Arial"/>
          <w:szCs w:val="24"/>
        </w:rPr>
        <w:instrText xml:space="preserve"> REF _Ref430960134 \h  \* MERGEFORMAT </w:instrText>
      </w:r>
      <w:r w:rsidRPr="00DA6A87">
        <w:rPr>
          <w:rFonts w:cs="Arial"/>
          <w:szCs w:val="24"/>
        </w:rPr>
      </w:r>
      <w:r w:rsidRPr="00DA6A87">
        <w:rPr>
          <w:rFonts w:cs="Arial"/>
          <w:szCs w:val="24"/>
        </w:rPr>
        <w:fldChar w:fldCharType="separate"/>
      </w:r>
      <w:r w:rsidR="004D1D76" w:rsidRPr="004D1D76">
        <w:rPr>
          <w:rFonts w:cs="Arial"/>
          <w:szCs w:val="24"/>
        </w:rPr>
        <w:t>Equação</w:t>
      </w:r>
      <w:r w:rsidR="004D1D76" w:rsidRPr="00DA6A87">
        <w:t xml:space="preserve"> </w:t>
      </w:r>
      <w:r w:rsidR="004D1D76">
        <w:rPr>
          <w:noProof/>
        </w:rPr>
        <w:t>8</w:t>
      </w:r>
      <w:r w:rsidRPr="00DA6A87">
        <w:rPr>
          <w:rFonts w:cs="Arial"/>
          <w:szCs w:val="24"/>
        </w:rPr>
        <w:fldChar w:fldCharType="end"/>
      </w:r>
      <w:r w:rsidRPr="00DA6A87">
        <w:rPr>
          <w:rFonts w:cs="Arial"/>
          <w:szCs w:val="24"/>
        </w:rPr>
        <w:t xml:space="preserve">, </w:t>
      </w:r>
      <w:r w:rsidRPr="00DA6A87">
        <w:rPr>
          <w:rFonts w:cs="Arial"/>
          <w:szCs w:val="24"/>
        </w:rPr>
        <w:fldChar w:fldCharType="begin"/>
      </w:r>
      <w:r w:rsidRPr="00DA6A87">
        <w:rPr>
          <w:rFonts w:cs="Arial"/>
          <w:szCs w:val="24"/>
        </w:rPr>
        <w:instrText xml:space="preserve"> REF _Ref430960141 \h  \* MERGEFORMAT </w:instrText>
      </w:r>
      <w:r w:rsidRPr="00DA6A87">
        <w:rPr>
          <w:rFonts w:cs="Arial"/>
          <w:szCs w:val="24"/>
        </w:rPr>
      </w:r>
      <w:r w:rsidRPr="00DA6A87">
        <w:rPr>
          <w:rFonts w:cs="Arial"/>
          <w:szCs w:val="24"/>
        </w:rPr>
        <w:fldChar w:fldCharType="separate"/>
      </w:r>
      <w:r w:rsidR="004D1D76" w:rsidRPr="004D1D76">
        <w:rPr>
          <w:rFonts w:cs="Arial"/>
          <w:szCs w:val="24"/>
        </w:rPr>
        <w:t>Equação</w:t>
      </w:r>
      <w:r w:rsidR="004D1D76" w:rsidRPr="00DA6A87">
        <w:t xml:space="preserve"> </w:t>
      </w:r>
      <w:r w:rsidR="004D1D76">
        <w:rPr>
          <w:noProof/>
        </w:rPr>
        <w:t>9</w:t>
      </w:r>
      <w:r w:rsidRPr="00DA6A87">
        <w:rPr>
          <w:rFonts w:cs="Arial"/>
          <w:szCs w:val="24"/>
        </w:rPr>
        <w:fldChar w:fldCharType="end"/>
      </w:r>
      <w:r w:rsidRPr="00DA6A87">
        <w:rPr>
          <w:rFonts w:cs="Arial"/>
          <w:szCs w:val="24"/>
        </w:rPr>
        <w:t xml:space="preserve">, </w:t>
      </w:r>
      <w:r w:rsidRPr="00DA6A87">
        <w:rPr>
          <w:rFonts w:cs="Arial"/>
          <w:szCs w:val="24"/>
        </w:rPr>
        <w:fldChar w:fldCharType="begin"/>
      </w:r>
      <w:r w:rsidRPr="00DA6A87">
        <w:rPr>
          <w:rFonts w:cs="Arial"/>
          <w:szCs w:val="24"/>
        </w:rPr>
        <w:instrText xml:space="preserve"> REF _Ref430960142 \h  \* MERGEFORMAT </w:instrText>
      </w:r>
      <w:r w:rsidRPr="00DA6A87">
        <w:rPr>
          <w:rFonts w:cs="Arial"/>
          <w:szCs w:val="24"/>
        </w:rPr>
      </w:r>
      <w:r w:rsidRPr="00DA6A87">
        <w:rPr>
          <w:rFonts w:cs="Arial"/>
          <w:szCs w:val="24"/>
        </w:rPr>
        <w:fldChar w:fldCharType="separate"/>
      </w:r>
      <w:r w:rsidR="004D1D76" w:rsidRPr="004D1D76">
        <w:rPr>
          <w:rFonts w:cs="Arial"/>
          <w:szCs w:val="24"/>
        </w:rPr>
        <w:t>Equação</w:t>
      </w:r>
      <w:r w:rsidR="004D1D76" w:rsidRPr="00DA6A87">
        <w:t xml:space="preserve"> </w:t>
      </w:r>
      <w:r w:rsidR="004D1D76">
        <w:rPr>
          <w:noProof/>
        </w:rPr>
        <w:t>10</w:t>
      </w:r>
      <w:r w:rsidRPr="00DA6A87">
        <w:rPr>
          <w:rFonts w:cs="Arial"/>
          <w:szCs w:val="24"/>
        </w:rPr>
        <w:fldChar w:fldCharType="end"/>
      </w:r>
      <w:r w:rsidRPr="00DA6A87">
        <w:rPr>
          <w:rFonts w:cs="Arial"/>
          <w:szCs w:val="24"/>
        </w:rPr>
        <w:t xml:space="preserve"> e </w:t>
      </w:r>
      <w:r w:rsidRPr="00DA6A87">
        <w:rPr>
          <w:rFonts w:cs="Arial"/>
          <w:szCs w:val="24"/>
        </w:rPr>
        <w:fldChar w:fldCharType="begin"/>
      </w:r>
      <w:r w:rsidRPr="00DA6A87">
        <w:rPr>
          <w:rFonts w:cs="Arial"/>
          <w:szCs w:val="24"/>
        </w:rPr>
        <w:instrText xml:space="preserve"> REF _Ref430960143 \h  \* MERGEFORMAT </w:instrText>
      </w:r>
      <w:r w:rsidRPr="00DA6A87">
        <w:rPr>
          <w:rFonts w:cs="Arial"/>
          <w:szCs w:val="24"/>
        </w:rPr>
      </w:r>
      <w:r w:rsidRPr="00DA6A87">
        <w:rPr>
          <w:rFonts w:cs="Arial"/>
          <w:szCs w:val="24"/>
        </w:rPr>
        <w:fldChar w:fldCharType="separate"/>
      </w:r>
      <w:r w:rsidR="004D1D76" w:rsidRPr="004D1D76">
        <w:rPr>
          <w:rFonts w:cs="Arial"/>
          <w:szCs w:val="24"/>
        </w:rPr>
        <w:t>Equação</w:t>
      </w:r>
      <w:r w:rsidR="004D1D76" w:rsidRPr="00DA6A87">
        <w:t xml:space="preserve"> </w:t>
      </w:r>
      <w:r w:rsidR="004D1D76">
        <w:rPr>
          <w:noProof/>
        </w:rPr>
        <w:t>11</w:t>
      </w:r>
      <w:r w:rsidRPr="00DA6A87">
        <w:rPr>
          <w:rFonts w:cs="Arial"/>
          <w:szCs w:val="24"/>
        </w:rPr>
        <w:fldChar w:fldCharType="end"/>
      </w:r>
      <w:r w:rsidRPr="00DA6A87">
        <w:rPr>
          <w:rFonts w:cs="Arial"/>
          <w:szCs w:val="24"/>
        </w:rPr>
        <w:t>).</w:t>
      </w:r>
    </w:p>
    <w:tbl>
      <w:tblPr>
        <w:tblW w:w="0" w:type="auto"/>
        <w:jc w:val="center"/>
        <w:tblLook w:val="04A0" w:firstRow="1" w:lastRow="0" w:firstColumn="1" w:lastColumn="0" w:noHBand="0" w:noVBand="1"/>
      </w:tblPr>
      <w:tblGrid>
        <w:gridCol w:w="4489"/>
        <w:gridCol w:w="4489"/>
      </w:tblGrid>
      <w:tr w:rsidR="005A0D0E" w:rsidRPr="00DA6A87" w:rsidTr="00B94A15">
        <w:trPr>
          <w:trHeight w:val="851"/>
          <w:jc w:val="center"/>
        </w:trPr>
        <w:tc>
          <w:tcPr>
            <w:tcW w:w="4489" w:type="dxa"/>
            <w:vAlign w:val="center"/>
          </w:tcPr>
          <w:p w:rsidR="005A0D0E" w:rsidRPr="00DA6A87" w:rsidRDefault="005A0D0E" w:rsidP="00B94A15">
            <w:pPr>
              <w:spacing w:beforeLines="120" w:before="288" w:afterLines="120" w:after="288" w:line="240" w:lineRule="auto"/>
              <w:contextualSpacing/>
              <w:jc w:val="center"/>
              <w:rPr>
                <w:rFonts w:cs="Arial"/>
                <w:i/>
              </w:rPr>
            </w:pPr>
            <w:r w:rsidRPr="00DA6A87">
              <w:rPr>
                <w:rFonts w:cs="Arial"/>
                <w:i/>
              </w:rPr>
              <w:t>Vazão média (Qs</w:t>
            </w:r>
            <w:r w:rsidRPr="00DA6A87">
              <w:rPr>
                <w:rFonts w:cs="Arial"/>
                <w:i/>
                <w:vertAlign w:val="subscript"/>
              </w:rPr>
              <w:t>méd</w:t>
            </w:r>
            <w:r w:rsidRPr="00DA6A87">
              <w:rPr>
                <w:rFonts w:cs="Arial"/>
                <w:i/>
              </w:rPr>
              <w:t>):</w:t>
            </w:r>
          </w:p>
          <w:p w:rsidR="005A0D0E" w:rsidRPr="00DA6A87" w:rsidRDefault="004D1D76" w:rsidP="00B94A15">
            <w:pPr>
              <w:spacing w:beforeLines="120" w:before="288" w:afterLines="120" w:after="288" w:line="240" w:lineRule="auto"/>
              <w:ind w:firstLine="708"/>
              <w:contextualSpacing/>
              <w:jc w:val="center"/>
            </w:pPr>
            <m:oMathPara>
              <m:oMath>
                <m:sSub>
                  <m:sSubPr>
                    <m:ctrlPr>
                      <w:rPr>
                        <w:rFonts w:ascii="Cambria Math" w:hAnsi="Cambria Math" w:cs="Arial"/>
                      </w:rPr>
                    </m:ctrlPr>
                  </m:sSubPr>
                  <m:e>
                    <m:r>
                      <w:rPr>
                        <w:rFonts w:ascii="Cambria Math" w:hAnsi="Cambria Math" w:cs="Arial"/>
                      </w:rPr>
                      <m:t>Qs</m:t>
                    </m:r>
                  </m:e>
                  <m:sub>
                    <m:r>
                      <w:rPr>
                        <w:rFonts w:ascii="Cambria Math" w:hAnsi="Cambria Math" w:cs="Arial"/>
                      </w:rPr>
                      <m:t>m</m:t>
                    </m:r>
                    <m:r>
                      <w:rPr>
                        <w:rFonts w:ascii="Cambria Math" w:cs="Arial"/>
                      </w:rPr>
                      <m:t>é</m:t>
                    </m:r>
                    <m:r>
                      <w:rPr>
                        <w:rFonts w:ascii="Cambria Math" w:hAnsi="Cambria Math" w:cs="Arial"/>
                      </w:rPr>
                      <m:t>d</m:t>
                    </m:r>
                  </m:sub>
                </m:sSub>
                <m:r>
                  <w:rPr>
                    <w:rFonts w:ascii="Cambria Math" w:cs="Arial"/>
                  </w:rPr>
                  <m:t>=</m:t>
                </m:r>
                <m:sSub>
                  <m:sSubPr>
                    <m:ctrlPr>
                      <w:rPr>
                        <w:rFonts w:ascii="Cambria Math" w:hAnsi="Cambria Math" w:cs="Arial"/>
                      </w:rPr>
                    </m:ctrlPr>
                  </m:sSubPr>
                  <m:e>
                    <m:r>
                      <w:rPr>
                        <w:rFonts w:ascii="Cambria Math" w:hAnsi="Cambria Math" w:cs="Arial"/>
                      </w:rPr>
                      <m:t>Qd</m:t>
                    </m:r>
                  </m:e>
                  <m:sub>
                    <m:r>
                      <w:rPr>
                        <w:rFonts w:ascii="Cambria Math" w:hAnsi="Cambria Math" w:cs="Arial"/>
                      </w:rPr>
                      <m:t>m</m:t>
                    </m:r>
                    <m:r>
                      <w:rPr>
                        <w:rFonts w:ascii="Cambria Math" w:cs="Arial"/>
                      </w:rPr>
                      <m:t>é</m:t>
                    </m:r>
                    <m:r>
                      <w:rPr>
                        <w:rFonts w:ascii="Cambria Math" w:hAnsi="Cambria Math" w:cs="Arial"/>
                      </w:rPr>
                      <m:t>d</m:t>
                    </m:r>
                  </m:sub>
                </m:sSub>
                <m:r>
                  <w:rPr>
                    <w:rFonts w:ascii="Cambria Math" w:cs="Arial"/>
                  </w:rPr>
                  <m:t>+</m:t>
                </m:r>
                <m:sSub>
                  <m:sSubPr>
                    <m:ctrlPr>
                      <w:rPr>
                        <w:rFonts w:ascii="Cambria Math" w:hAnsi="Cambria Math" w:cs="Arial"/>
                        <w:i/>
                      </w:rPr>
                    </m:ctrlPr>
                  </m:sSubPr>
                  <m:e>
                    <m:r>
                      <w:rPr>
                        <w:rFonts w:ascii="Cambria Math" w:hAnsi="Cambria Math" w:cs="Arial"/>
                      </w:rPr>
                      <m:t>Q</m:t>
                    </m:r>
                  </m:e>
                  <m:sub>
                    <m:r>
                      <w:rPr>
                        <w:rFonts w:ascii="Cambria Math" w:hAnsi="Cambria Math" w:cs="Arial"/>
                      </w:rPr>
                      <m:t>inf</m:t>
                    </m:r>
                  </m:sub>
                </m:sSub>
              </m:oMath>
            </m:oMathPara>
          </w:p>
        </w:tc>
        <w:tc>
          <w:tcPr>
            <w:tcW w:w="4489" w:type="dxa"/>
            <w:vAlign w:val="center"/>
          </w:tcPr>
          <w:p w:rsidR="005A0D0E" w:rsidRPr="00DA6A87" w:rsidRDefault="005A0D0E" w:rsidP="00B94A15">
            <w:pPr>
              <w:spacing w:beforeLines="120" w:before="288" w:afterLines="120" w:after="288" w:line="240" w:lineRule="auto"/>
              <w:contextualSpacing/>
              <w:jc w:val="center"/>
              <w:rPr>
                <w:rFonts w:cs="Arial"/>
                <w:i/>
              </w:rPr>
            </w:pPr>
            <w:r w:rsidRPr="00DA6A87">
              <w:rPr>
                <w:rFonts w:cs="Arial"/>
                <w:i/>
              </w:rPr>
              <w:t>Vazão máxima diária (Qs</w:t>
            </w:r>
            <w:r w:rsidRPr="00DA6A87">
              <w:rPr>
                <w:rFonts w:cs="Arial"/>
                <w:i/>
                <w:vertAlign w:val="subscript"/>
              </w:rPr>
              <w:t>máxd</w:t>
            </w:r>
            <w:r w:rsidRPr="00DA6A87">
              <w:rPr>
                <w:rFonts w:cs="Arial"/>
                <w:i/>
              </w:rPr>
              <w:t>):</w:t>
            </w:r>
          </w:p>
          <w:p w:rsidR="005A0D0E" w:rsidRPr="00DA6A87" w:rsidRDefault="004D1D76" w:rsidP="00B94A15">
            <w:pPr>
              <w:keepNext/>
              <w:spacing w:beforeLines="120" w:before="288" w:afterLines="120" w:after="288" w:line="240" w:lineRule="auto"/>
              <w:ind w:firstLine="708"/>
              <w:contextualSpacing/>
              <w:jc w:val="center"/>
              <w:rPr>
                <w:i/>
              </w:rPr>
            </w:pPr>
            <m:oMathPara>
              <m:oMath>
                <m:sSub>
                  <m:sSubPr>
                    <m:ctrlPr>
                      <w:rPr>
                        <w:rFonts w:ascii="Cambria Math" w:hAnsi="Cambria Math" w:cs="Arial"/>
                      </w:rPr>
                    </m:ctrlPr>
                  </m:sSubPr>
                  <m:e>
                    <m:r>
                      <w:rPr>
                        <w:rFonts w:ascii="Cambria Math" w:hAnsi="Cambria Math" w:cs="Arial"/>
                      </w:rPr>
                      <m:t>Qs</m:t>
                    </m:r>
                  </m:e>
                  <m:sub>
                    <m:r>
                      <w:rPr>
                        <w:rFonts w:ascii="Cambria Math" w:hAnsi="Cambria Math" w:cs="Arial"/>
                      </w:rPr>
                      <m:t>m</m:t>
                    </m:r>
                    <m:r>
                      <w:rPr>
                        <w:rFonts w:ascii="Cambria Math" w:cs="Arial"/>
                      </w:rPr>
                      <m:t>á</m:t>
                    </m:r>
                    <m:r>
                      <w:rPr>
                        <w:rFonts w:ascii="Cambria Math" w:hAnsi="Cambria Math" w:cs="Arial"/>
                      </w:rPr>
                      <m:t>xd</m:t>
                    </m:r>
                  </m:sub>
                </m:sSub>
                <m:r>
                  <w:rPr>
                    <w:rFonts w:ascii="Cambria Math" w:cs="Arial"/>
                  </w:rPr>
                  <m:t>=</m:t>
                </m:r>
                <m:sSub>
                  <m:sSubPr>
                    <m:ctrlPr>
                      <w:rPr>
                        <w:rFonts w:ascii="Cambria Math" w:hAnsi="Cambria Math" w:cs="Arial"/>
                      </w:rPr>
                    </m:ctrlPr>
                  </m:sSubPr>
                  <m:e>
                    <m:r>
                      <w:rPr>
                        <w:rFonts w:ascii="Cambria Math" w:hAnsi="Cambria Math" w:cs="Arial"/>
                      </w:rPr>
                      <m:t>Qd</m:t>
                    </m:r>
                  </m:e>
                  <m:sub>
                    <m:r>
                      <w:rPr>
                        <w:rFonts w:ascii="Cambria Math" w:hAnsi="Cambria Math" w:cs="Arial"/>
                      </w:rPr>
                      <m:t>m</m:t>
                    </m:r>
                    <m:r>
                      <w:rPr>
                        <w:rFonts w:ascii="Cambria Math" w:cs="Arial"/>
                      </w:rPr>
                      <m:t>á</m:t>
                    </m:r>
                    <m:r>
                      <w:rPr>
                        <w:rFonts w:ascii="Cambria Math" w:hAnsi="Cambria Math" w:cs="Arial"/>
                      </w:rPr>
                      <m:t>xd</m:t>
                    </m:r>
                  </m:sub>
                </m:sSub>
                <m:r>
                  <w:rPr>
                    <w:rFonts w:ascii="Cambria Math" w:cs="Arial"/>
                  </w:rPr>
                  <m:t>+</m:t>
                </m:r>
                <m:sSub>
                  <m:sSubPr>
                    <m:ctrlPr>
                      <w:rPr>
                        <w:rFonts w:ascii="Cambria Math" w:hAnsi="Cambria Math" w:cs="Arial"/>
                        <w:i/>
                      </w:rPr>
                    </m:ctrlPr>
                  </m:sSubPr>
                  <m:e>
                    <m:r>
                      <w:rPr>
                        <w:rFonts w:ascii="Cambria Math" w:hAnsi="Cambria Math" w:cs="Arial"/>
                      </w:rPr>
                      <m:t>Q</m:t>
                    </m:r>
                  </m:e>
                  <m:sub>
                    <m:r>
                      <w:rPr>
                        <w:rFonts w:ascii="Cambria Math" w:hAnsi="Cambria Math" w:cs="Arial"/>
                      </w:rPr>
                      <m:t>inf</m:t>
                    </m:r>
                  </m:sub>
                </m:sSub>
              </m:oMath>
            </m:oMathPara>
          </w:p>
        </w:tc>
      </w:tr>
      <w:tr w:rsidR="005A0D0E" w:rsidRPr="00DA6A87" w:rsidTr="00B94A15">
        <w:trPr>
          <w:trHeight w:val="423"/>
          <w:jc w:val="center"/>
        </w:trPr>
        <w:tc>
          <w:tcPr>
            <w:tcW w:w="4489" w:type="dxa"/>
            <w:vAlign w:val="center"/>
          </w:tcPr>
          <w:p w:rsidR="005A0D0E" w:rsidRPr="00DA6A87" w:rsidRDefault="005A0D0E" w:rsidP="00B94A15">
            <w:pPr>
              <w:pStyle w:val="Legenda"/>
            </w:pPr>
            <w:bookmarkStart w:id="90" w:name="_Ref430960134"/>
            <w:r w:rsidRPr="00DA6A87">
              <w:t xml:space="preserve">Equação </w:t>
            </w:r>
            <w:r w:rsidR="00D71C43">
              <w:fldChar w:fldCharType="begin"/>
            </w:r>
            <w:r w:rsidR="00D71C43">
              <w:instrText xml:space="preserve"> SEQ Equação \* ARABIC </w:instrText>
            </w:r>
            <w:r w:rsidR="00D71C43">
              <w:fldChar w:fldCharType="separate"/>
            </w:r>
            <w:r w:rsidR="004D1D76">
              <w:rPr>
                <w:noProof/>
              </w:rPr>
              <w:t>8</w:t>
            </w:r>
            <w:r w:rsidR="00D71C43">
              <w:rPr>
                <w:noProof/>
              </w:rPr>
              <w:fldChar w:fldCharType="end"/>
            </w:r>
            <w:bookmarkEnd w:id="90"/>
          </w:p>
        </w:tc>
        <w:tc>
          <w:tcPr>
            <w:tcW w:w="4489" w:type="dxa"/>
            <w:vAlign w:val="center"/>
          </w:tcPr>
          <w:p w:rsidR="005A0D0E" w:rsidRPr="00DA6A87" w:rsidRDefault="005A0D0E" w:rsidP="00B94A15">
            <w:pPr>
              <w:pStyle w:val="Legenda"/>
            </w:pPr>
            <w:bookmarkStart w:id="91" w:name="_Ref430960141"/>
            <w:r w:rsidRPr="00DA6A87">
              <w:t xml:space="preserve">Equação </w:t>
            </w:r>
            <w:r w:rsidR="00D71C43">
              <w:fldChar w:fldCharType="begin"/>
            </w:r>
            <w:r w:rsidR="00D71C43">
              <w:instrText xml:space="preserve"> SEQ Equação \* ARABIC </w:instrText>
            </w:r>
            <w:r w:rsidR="00D71C43">
              <w:fldChar w:fldCharType="separate"/>
            </w:r>
            <w:r w:rsidR="004D1D76">
              <w:rPr>
                <w:noProof/>
              </w:rPr>
              <w:t>9</w:t>
            </w:r>
            <w:r w:rsidR="00D71C43">
              <w:rPr>
                <w:noProof/>
              </w:rPr>
              <w:fldChar w:fldCharType="end"/>
            </w:r>
            <w:bookmarkEnd w:id="91"/>
          </w:p>
        </w:tc>
      </w:tr>
      <w:tr w:rsidR="005A0D0E" w:rsidRPr="00DA6A87" w:rsidTr="00B94A15">
        <w:trPr>
          <w:trHeight w:val="747"/>
          <w:jc w:val="center"/>
        </w:trPr>
        <w:tc>
          <w:tcPr>
            <w:tcW w:w="4489" w:type="dxa"/>
            <w:vAlign w:val="center"/>
          </w:tcPr>
          <w:p w:rsidR="005A0D0E" w:rsidRPr="00DA6A87" w:rsidRDefault="005A0D0E" w:rsidP="00B94A15">
            <w:pPr>
              <w:spacing w:beforeLines="120" w:before="288" w:afterLines="120" w:after="288" w:line="240" w:lineRule="auto"/>
              <w:contextualSpacing/>
              <w:jc w:val="center"/>
              <w:rPr>
                <w:rFonts w:cs="Arial"/>
                <w:i/>
              </w:rPr>
            </w:pPr>
            <w:r w:rsidRPr="00DA6A87">
              <w:rPr>
                <w:rFonts w:cs="Arial"/>
                <w:i/>
              </w:rPr>
              <w:t>Vazão máxima horária (Qs</w:t>
            </w:r>
            <w:r w:rsidRPr="00DA6A87">
              <w:rPr>
                <w:rFonts w:cs="Arial"/>
                <w:i/>
                <w:vertAlign w:val="subscript"/>
              </w:rPr>
              <w:t>máxh</w:t>
            </w:r>
            <w:r w:rsidRPr="00DA6A87">
              <w:rPr>
                <w:rFonts w:cs="Arial"/>
                <w:i/>
              </w:rPr>
              <w:t>):</w:t>
            </w:r>
          </w:p>
          <w:p w:rsidR="005A0D0E" w:rsidRPr="00DA6A87" w:rsidRDefault="004D1D76" w:rsidP="00B94A15">
            <w:pPr>
              <w:spacing w:beforeLines="120" w:before="288" w:afterLines="120" w:after="288" w:line="240" w:lineRule="auto"/>
              <w:contextualSpacing/>
              <w:jc w:val="center"/>
              <w:rPr>
                <w:rFonts w:cs="Arial"/>
                <w:i/>
              </w:rPr>
            </w:pPr>
            <m:oMathPara>
              <m:oMath>
                <m:sSub>
                  <m:sSubPr>
                    <m:ctrlPr>
                      <w:rPr>
                        <w:rFonts w:ascii="Cambria Math" w:hAnsi="Cambria Math" w:cs="Arial"/>
                        <w:i/>
                      </w:rPr>
                    </m:ctrlPr>
                  </m:sSubPr>
                  <m:e>
                    <m:r>
                      <w:rPr>
                        <w:rFonts w:ascii="Cambria Math" w:hAnsi="Cambria Math" w:cs="Arial"/>
                      </w:rPr>
                      <m:t>Qs</m:t>
                    </m:r>
                  </m:e>
                  <m:sub>
                    <m:r>
                      <w:rPr>
                        <w:rFonts w:ascii="Cambria Math" w:hAnsi="Cambria Math" w:cs="Arial"/>
                      </w:rPr>
                      <m:t>m</m:t>
                    </m:r>
                    <m:r>
                      <w:rPr>
                        <w:rFonts w:ascii="Cambria Math" w:cs="Arial"/>
                      </w:rPr>
                      <m:t>á</m:t>
                    </m:r>
                    <m:r>
                      <w:rPr>
                        <w:rFonts w:ascii="Cambria Math" w:hAnsi="Cambria Math" w:cs="Arial"/>
                      </w:rPr>
                      <m:t>xh</m:t>
                    </m:r>
                  </m:sub>
                </m:sSub>
                <m:r>
                  <w:rPr>
                    <w:rFonts w:ascii="Cambria Math" w:cs="Arial"/>
                  </w:rPr>
                  <m:t>=</m:t>
                </m:r>
                <m:sSub>
                  <m:sSubPr>
                    <m:ctrlPr>
                      <w:rPr>
                        <w:rFonts w:ascii="Cambria Math" w:hAnsi="Cambria Math" w:cs="Arial"/>
                        <w:i/>
                      </w:rPr>
                    </m:ctrlPr>
                  </m:sSubPr>
                  <m:e>
                    <m:r>
                      <w:rPr>
                        <w:rFonts w:ascii="Cambria Math" w:hAnsi="Cambria Math" w:cs="Arial"/>
                      </w:rPr>
                      <m:t>Qd</m:t>
                    </m:r>
                  </m:e>
                  <m:sub>
                    <m:r>
                      <w:rPr>
                        <w:rFonts w:ascii="Cambria Math" w:hAnsi="Cambria Math" w:cs="Arial"/>
                      </w:rPr>
                      <m:t>m</m:t>
                    </m:r>
                    <m:r>
                      <w:rPr>
                        <w:rFonts w:ascii="Cambria Math" w:cs="Arial"/>
                      </w:rPr>
                      <m:t>á</m:t>
                    </m:r>
                    <m:r>
                      <w:rPr>
                        <w:rFonts w:ascii="Cambria Math" w:hAnsi="Cambria Math" w:cs="Arial"/>
                      </w:rPr>
                      <m:t>xh</m:t>
                    </m:r>
                  </m:sub>
                </m:sSub>
                <m:r>
                  <w:rPr>
                    <w:rFonts w:ascii="Cambria Math" w:cs="Arial"/>
                  </w:rPr>
                  <m:t>+</m:t>
                </m:r>
                <m:sSub>
                  <m:sSubPr>
                    <m:ctrlPr>
                      <w:rPr>
                        <w:rFonts w:ascii="Cambria Math" w:hAnsi="Cambria Math" w:cs="Arial"/>
                        <w:i/>
                      </w:rPr>
                    </m:ctrlPr>
                  </m:sSubPr>
                  <m:e>
                    <m:r>
                      <w:rPr>
                        <w:rFonts w:ascii="Cambria Math" w:hAnsi="Cambria Math" w:cs="Arial"/>
                      </w:rPr>
                      <m:t>Q</m:t>
                    </m:r>
                  </m:e>
                  <m:sub>
                    <m:r>
                      <w:rPr>
                        <w:rFonts w:ascii="Cambria Math" w:hAnsi="Cambria Math" w:cs="Arial"/>
                      </w:rPr>
                      <m:t>inf</m:t>
                    </m:r>
                  </m:sub>
                </m:sSub>
              </m:oMath>
            </m:oMathPara>
          </w:p>
        </w:tc>
        <w:tc>
          <w:tcPr>
            <w:tcW w:w="4489" w:type="dxa"/>
            <w:vAlign w:val="center"/>
          </w:tcPr>
          <w:p w:rsidR="005A0D0E" w:rsidRPr="00DA6A87" w:rsidRDefault="005A0D0E" w:rsidP="00B94A15">
            <w:pPr>
              <w:spacing w:beforeLines="120" w:before="288" w:afterLines="120" w:after="288" w:line="240" w:lineRule="auto"/>
              <w:contextualSpacing/>
              <w:jc w:val="center"/>
              <w:rPr>
                <w:rFonts w:cs="Arial"/>
                <w:i/>
              </w:rPr>
            </w:pPr>
            <w:r w:rsidRPr="00DA6A87">
              <w:rPr>
                <w:rFonts w:cs="Arial"/>
                <w:i/>
              </w:rPr>
              <w:t>Vazão mínima (Qd</w:t>
            </w:r>
            <w:r w:rsidRPr="00DA6A87">
              <w:rPr>
                <w:rFonts w:cs="Arial"/>
                <w:i/>
                <w:vertAlign w:val="subscript"/>
              </w:rPr>
              <w:t>min</w:t>
            </w:r>
            <w:r w:rsidRPr="00DA6A87">
              <w:rPr>
                <w:rFonts w:cs="Arial"/>
                <w:i/>
              </w:rPr>
              <w:t>):</w:t>
            </w:r>
          </w:p>
          <w:p w:rsidR="005A0D0E" w:rsidRPr="00DA6A87" w:rsidRDefault="004D1D76" w:rsidP="00B94A15">
            <w:pPr>
              <w:spacing w:beforeLines="120" w:before="288" w:afterLines="120" w:after="288" w:line="240" w:lineRule="auto"/>
              <w:ind w:firstLine="708"/>
              <w:contextualSpacing/>
              <w:jc w:val="center"/>
              <w:rPr>
                <w:rFonts w:cs="Arial"/>
              </w:rPr>
            </w:pPr>
            <m:oMathPara>
              <m:oMath>
                <m:sSub>
                  <m:sSubPr>
                    <m:ctrlPr>
                      <w:rPr>
                        <w:rFonts w:ascii="Cambria Math" w:hAnsi="Cambria Math" w:cs="Arial"/>
                      </w:rPr>
                    </m:ctrlPr>
                  </m:sSubPr>
                  <m:e>
                    <m:r>
                      <w:rPr>
                        <w:rFonts w:ascii="Cambria Math" w:hAnsi="Cambria Math" w:cs="Arial"/>
                      </w:rPr>
                      <m:t>Qs</m:t>
                    </m:r>
                  </m:e>
                  <m:sub>
                    <m:r>
                      <w:rPr>
                        <w:rFonts w:ascii="Cambria Math" w:hAnsi="Cambria Math" w:cs="Arial"/>
                      </w:rPr>
                      <m:t>m</m:t>
                    </m:r>
                    <m:r>
                      <w:rPr>
                        <w:rFonts w:ascii="Cambria Math" w:cs="Arial"/>
                      </w:rPr>
                      <m:t>í</m:t>
                    </m:r>
                    <m:r>
                      <w:rPr>
                        <w:rFonts w:ascii="Cambria Math" w:hAnsi="Cambria Math" w:cs="Arial"/>
                      </w:rPr>
                      <m:t>n</m:t>
                    </m:r>
                  </m:sub>
                </m:sSub>
                <m:r>
                  <w:rPr>
                    <w:rFonts w:ascii="Cambria Math" w:cs="Arial"/>
                  </w:rPr>
                  <m:t>=</m:t>
                </m:r>
                <m:sSub>
                  <m:sSubPr>
                    <m:ctrlPr>
                      <w:rPr>
                        <w:rFonts w:ascii="Cambria Math" w:hAnsi="Cambria Math" w:cs="Arial"/>
                      </w:rPr>
                    </m:ctrlPr>
                  </m:sSubPr>
                  <m:e>
                    <m:r>
                      <w:rPr>
                        <w:rFonts w:ascii="Cambria Math" w:hAnsi="Cambria Math" w:cs="Arial"/>
                      </w:rPr>
                      <m:t>Qd</m:t>
                    </m:r>
                  </m:e>
                  <m:sub>
                    <m:r>
                      <w:rPr>
                        <w:rFonts w:ascii="Cambria Math" w:hAnsi="Cambria Math" w:cs="Arial"/>
                      </w:rPr>
                      <m:t>m</m:t>
                    </m:r>
                    <m:r>
                      <w:rPr>
                        <w:rFonts w:ascii="Cambria Math" w:cs="Arial"/>
                      </w:rPr>
                      <m:t>í</m:t>
                    </m:r>
                    <m:r>
                      <w:rPr>
                        <w:rFonts w:ascii="Cambria Math" w:hAnsi="Cambria Math" w:cs="Arial"/>
                      </w:rPr>
                      <m:t>n</m:t>
                    </m:r>
                  </m:sub>
                </m:sSub>
                <m:r>
                  <w:rPr>
                    <w:rFonts w:ascii="Cambria Math" w:cs="Arial"/>
                  </w:rPr>
                  <m:t>+</m:t>
                </m:r>
                <m:sSub>
                  <m:sSubPr>
                    <m:ctrlPr>
                      <w:rPr>
                        <w:rFonts w:ascii="Cambria Math" w:hAnsi="Cambria Math" w:cs="Arial"/>
                        <w:i/>
                      </w:rPr>
                    </m:ctrlPr>
                  </m:sSubPr>
                  <m:e>
                    <m:r>
                      <w:rPr>
                        <w:rFonts w:ascii="Cambria Math" w:hAnsi="Cambria Math" w:cs="Arial"/>
                      </w:rPr>
                      <m:t>Q</m:t>
                    </m:r>
                  </m:e>
                  <m:sub>
                    <m:r>
                      <w:rPr>
                        <w:rFonts w:ascii="Cambria Math" w:hAnsi="Cambria Math" w:cs="Arial"/>
                      </w:rPr>
                      <m:t>inf</m:t>
                    </m:r>
                  </m:sub>
                </m:sSub>
              </m:oMath>
            </m:oMathPara>
          </w:p>
        </w:tc>
      </w:tr>
      <w:tr w:rsidR="005A0D0E" w:rsidRPr="00DA6A87" w:rsidTr="00B94A15">
        <w:trPr>
          <w:trHeight w:val="289"/>
          <w:jc w:val="center"/>
        </w:trPr>
        <w:tc>
          <w:tcPr>
            <w:tcW w:w="4489" w:type="dxa"/>
            <w:vAlign w:val="center"/>
          </w:tcPr>
          <w:p w:rsidR="005A0D0E" w:rsidRPr="00DA6A87" w:rsidRDefault="005A0D0E" w:rsidP="00B94A15">
            <w:pPr>
              <w:pStyle w:val="Legenda"/>
            </w:pPr>
            <w:bookmarkStart w:id="92" w:name="_Ref430960142"/>
            <w:r w:rsidRPr="00DA6A87">
              <w:t xml:space="preserve">Equação </w:t>
            </w:r>
            <w:r w:rsidR="00D71C43">
              <w:fldChar w:fldCharType="begin"/>
            </w:r>
            <w:r w:rsidR="00D71C43">
              <w:instrText xml:space="preserve"> SEQ Equação \* ARABIC </w:instrText>
            </w:r>
            <w:r w:rsidR="00D71C43">
              <w:fldChar w:fldCharType="separate"/>
            </w:r>
            <w:r w:rsidR="004D1D76">
              <w:rPr>
                <w:noProof/>
              </w:rPr>
              <w:t>10</w:t>
            </w:r>
            <w:r w:rsidR="00D71C43">
              <w:rPr>
                <w:noProof/>
              </w:rPr>
              <w:fldChar w:fldCharType="end"/>
            </w:r>
            <w:bookmarkEnd w:id="92"/>
          </w:p>
        </w:tc>
        <w:tc>
          <w:tcPr>
            <w:tcW w:w="4489" w:type="dxa"/>
            <w:vAlign w:val="center"/>
          </w:tcPr>
          <w:p w:rsidR="005A0D0E" w:rsidRPr="00DA6A87" w:rsidRDefault="005A0D0E" w:rsidP="00B94A15">
            <w:pPr>
              <w:pStyle w:val="Legenda"/>
            </w:pPr>
            <w:bookmarkStart w:id="93" w:name="_Ref430960143"/>
            <w:r w:rsidRPr="00DA6A87">
              <w:t xml:space="preserve">Equação </w:t>
            </w:r>
            <w:r w:rsidR="00D71C43">
              <w:fldChar w:fldCharType="begin"/>
            </w:r>
            <w:r w:rsidR="00D71C43">
              <w:instrText xml:space="preserve"> SEQ Equação \* ARABIC </w:instrText>
            </w:r>
            <w:r w:rsidR="00D71C43">
              <w:fldChar w:fldCharType="separate"/>
            </w:r>
            <w:r w:rsidR="004D1D76">
              <w:rPr>
                <w:noProof/>
              </w:rPr>
              <w:t>11</w:t>
            </w:r>
            <w:r w:rsidR="00D71C43">
              <w:rPr>
                <w:noProof/>
              </w:rPr>
              <w:fldChar w:fldCharType="end"/>
            </w:r>
            <w:bookmarkEnd w:id="93"/>
          </w:p>
        </w:tc>
      </w:tr>
    </w:tbl>
    <w:p w:rsidR="005A0D0E" w:rsidRPr="00DA6A87" w:rsidRDefault="005A0D0E" w:rsidP="005A0D0E">
      <w:pPr>
        <w:shd w:val="clear" w:color="auto" w:fill="FFFFFF"/>
        <w:ind w:firstLine="709"/>
        <w:rPr>
          <w:rFonts w:cs="Arial"/>
          <w:szCs w:val="24"/>
        </w:rPr>
      </w:pPr>
    </w:p>
    <w:p w:rsidR="005A0D0E" w:rsidRPr="00DA6A87" w:rsidRDefault="005A0D0E" w:rsidP="005A0D0E">
      <w:pPr>
        <w:shd w:val="clear" w:color="auto" w:fill="FFFFFF"/>
        <w:ind w:firstLine="709"/>
        <w:rPr>
          <w:rFonts w:cs="Arial"/>
          <w:szCs w:val="24"/>
        </w:rPr>
      </w:pPr>
      <w:r w:rsidRPr="00DA6A87">
        <w:rPr>
          <w:rFonts w:cs="Arial"/>
          <w:szCs w:val="24"/>
        </w:rPr>
        <w:lastRenderedPageBreak/>
        <w:t xml:space="preserve">Estimando-se as vazões, cargas e concentrações a partir do consumo atual, fornecido </w:t>
      </w:r>
      <w:r>
        <w:rPr>
          <w:rFonts w:cs="Arial"/>
          <w:szCs w:val="24"/>
        </w:rPr>
        <w:t>pelo SNIS</w:t>
      </w:r>
      <w:r w:rsidRPr="00DA6A87">
        <w:rPr>
          <w:rFonts w:cs="Arial"/>
          <w:szCs w:val="24"/>
        </w:rPr>
        <w:t>, é possível que se obtenha dados mais próximos da realidade. Dessa forma, pode-se propor alternativas mais ajustadas à realidade local, sem superestimar ou subestimar o sistema de esgotamento sanitário. De qualquer modo, é importante que estudos mais aprofundados e pautados em dados mais atualizados sejam realizados antes de se projetar uma alternativa para o tratamento dos esgotos sanitários.</w:t>
      </w:r>
    </w:p>
    <w:p w:rsidR="005A0D0E" w:rsidRPr="00E972F5" w:rsidRDefault="005A0D0E" w:rsidP="005A0D0E">
      <w:pPr>
        <w:pStyle w:val="NormalWeb"/>
        <w:shd w:val="clear" w:color="auto" w:fill="FFFFFF"/>
        <w:spacing w:before="0" w:beforeAutospacing="0" w:after="0" w:afterAutospacing="0" w:line="360" w:lineRule="auto"/>
        <w:ind w:firstLine="709"/>
        <w:rPr>
          <w:rFonts w:ascii="Arial" w:eastAsia="Calibri" w:hAnsi="Arial" w:cs="Arial"/>
          <w:lang w:eastAsia="en-US"/>
        </w:rPr>
      </w:pPr>
      <w:r w:rsidRPr="00DA6A87">
        <w:rPr>
          <w:rFonts w:ascii="Arial" w:eastAsia="Calibri" w:hAnsi="Arial" w:cs="Arial"/>
          <w:lang w:eastAsia="en-US"/>
        </w:rPr>
        <w:t xml:space="preserve">Segundo dados </w:t>
      </w:r>
      <w:r>
        <w:rPr>
          <w:rFonts w:ascii="Arial" w:eastAsia="Calibri" w:hAnsi="Arial" w:cs="Arial"/>
          <w:lang w:eastAsia="en-US"/>
        </w:rPr>
        <w:t>fornecidos pelo SNIS</w:t>
      </w:r>
      <w:r w:rsidRPr="00DA6A87">
        <w:rPr>
          <w:rFonts w:ascii="Arial" w:eastAsia="Calibri" w:hAnsi="Arial" w:cs="Arial"/>
          <w:lang w:eastAsia="en-US"/>
        </w:rPr>
        <w:t xml:space="preserve">, o consumo médio </w:t>
      </w:r>
      <w:r w:rsidRPr="00DA6A87">
        <w:rPr>
          <w:rFonts w:ascii="Arial" w:eastAsia="Calibri" w:hAnsi="Arial" w:cs="Arial"/>
          <w:i/>
          <w:lang w:eastAsia="en-US"/>
        </w:rPr>
        <w:t xml:space="preserve">per capita </w:t>
      </w:r>
      <w:r w:rsidRPr="00DA6A87">
        <w:rPr>
          <w:rFonts w:ascii="Arial" w:eastAsia="Calibri" w:hAnsi="Arial" w:cs="Arial"/>
          <w:lang w:eastAsia="en-US"/>
        </w:rPr>
        <w:t xml:space="preserve">de água é 137 L/hab.dia. Adotando-se os </w:t>
      </w:r>
      <w:r w:rsidRPr="00E972F5">
        <w:rPr>
          <w:rFonts w:ascii="Arial" w:eastAsia="Calibri" w:hAnsi="Arial" w:cs="Arial"/>
          <w:lang w:eastAsia="en-US"/>
        </w:rPr>
        <w:t>coeficientes C = 0,8, k</w:t>
      </w:r>
      <w:r w:rsidRPr="00E972F5">
        <w:rPr>
          <w:rFonts w:ascii="Arial" w:eastAsia="Calibri" w:hAnsi="Arial" w:cs="Arial"/>
          <w:vertAlign w:val="subscript"/>
          <w:lang w:eastAsia="en-US"/>
        </w:rPr>
        <w:t>1</w:t>
      </w:r>
      <w:r w:rsidRPr="00E972F5">
        <w:rPr>
          <w:rFonts w:ascii="Arial" w:eastAsia="Calibri" w:hAnsi="Arial" w:cs="Arial"/>
          <w:lang w:eastAsia="en-US"/>
        </w:rPr>
        <w:t xml:space="preserve"> =</w:t>
      </w:r>
      <w:r w:rsidRPr="00E972F5">
        <w:rPr>
          <w:rFonts w:eastAsia="Calibri"/>
          <w:lang w:eastAsia="en-US"/>
        </w:rPr>
        <w:t> </w:t>
      </w:r>
      <w:r w:rsidRPr="00E972F5">
        <w:rPr>
          <w:rFonts w:ascii="Arial" w:eastAsia="Calibri" w:hAnsi="Arial" w:cs="Arial"/>
          <w:lang w:eastAsia="en-US"/>
        </w:rPr>
        <w:t>1,2; k</w:t>
      </w:r>
      <w:r w:rsidRPr="00E972F5">
        <w:rPr>
          <w:rFonts w:ascii="Arial" w:eastAsia="Calibri" w:hAnsi="Arial" w:cs="Arial"/>
          <w:vertAlign w:val="subscript"/>
          <w:lang w:eastAsia="en-US"/>
        </w:rPr>
        <w:t>2</w:t>
      </w:r>
      <w:r w:rsidRPr="00E972F5">
        <w:rPr>
          <w:rFonts w:ascii="Arial" w:eastAsia="Calibri" w:hAnsi="Arial" w:cs="Arial"/>
          <w:lang w:eastAsia="en-US"/>
        </w:rPr>
        <w:t xml:space="preserve"> =</w:t>
      </w:r>
      <w:r w:rsidRPr="00E972F5">
        <w:rPr>
          <w:rFonts w:eastAsia="Calibri"/>
          <w:lang w:eastAsia="en-US"/>
        </w:rPr>
        <w:t> </w:t>
      </w:r>
      <w:r w:rsidRPr="00E972F5">
        <w:rPr>
          <w:rFonts w:ascii="Arial" w:eastAsia="Calibri" w:hAnsi="Arial" w:cs="Arial"/>
          <w:lang w:eastAsia="en-US"/>
        </w:rPr>
        <w:t>1,5;</w:t>
      </w:r>
      <w:r w:rsidRPr="00E972F5">
        <w:rPr>
          <w:rFonts w:eastAsia="Calibri"/>
          <w:lang w:eastAsia="en-US"/>
        </w:rPr>
        <w:t> </w:t>
      </w:r>
      <w:r w:rsidRPr="00E972F5">
        <w:rPr>
          <w:rFonts w:ascii="Arial" w:eastAsia="Calibri" w:hAnsi="Arial" w:cs="Arial"/>
          <w:lang w:eastAsia="en-US"/>
        </w:rPr>
        <w:t>e k</w:t>
      </w:r>
      <w:r w:rsidRPr="00E972F5">
        <w:rPr>
          <w:rFonts w:ascii="Arial" w:eastAsia="Calibri" w:hAnsi="Arial" w:cs="Arial"/>
          <w:vertAlign w:val="subscript"/>
          <w:lang w:eastAsia="en-US"/>
        </w:rPr>
        <w:t>3</w:t>
      </w:r>
      <w:r w:rsidRPr="00E972F5">
        <w:rPr>
          <w:rFonts w:ascii="Arial" w:eastAsia="Calibri" w:hAnsi="Arial" w:cs="Arial"/>
          <w:lang w:eastAsia="en-US"/>
        </w:rPr>
        <w:t> =</w:t>
      </w:r>
      <w:r w:rsidRPr="00E972F5">
        <w:rPr>
          <w:rFonts w:eastAsia="Calibri"/>
          <w:lang w:eastAsia="en-US"/>
        </w:rPr>
        <w:t> </w:t>
      </w:r>
      <w:r w:rsidRPr="00E972F5">
        <w:rPr>
          <w:rFonts w:ascii="Arial" w:eastAsia="Calibri" w:hAnsi="Arial" w:cs="Arial"/>
          <w:lang w:eastAsia="en-US"/>
        </w:rPr>
        <w:t>0,5</w:t>
      </w:r>
      <w:r w:rsidRPr="00E972F5">
        <w:rPr>
          <w:rFonts w:eastAsia="Calibri"/>
          <w:lang w:eastAsia="en-US"/>
        </w:rPr>
        <w:t xml:space="preserve"> </w:t>
      </w:r>
      <w:r w:rsidRPr="00E972F5">
        <w:rPr>
          <w:rFonts w:ascii="Arial" w:eastAsia="Calibri" w:hAnsi="Arial" w:cs="Arial"/>
          <w:lang w:eastAsia="en-US"/>
        </w:rPr>
        <w:t>e com base na população prevista a ser atendida pelo sistema de esgotamento sanitário, foram calculadas as vazões de esgotos domésticos.</w:t>
      </w:r>
    </w:p>
    <w:p w:rsidR="005A0D0E" w:rsidRPr="00E972F5" w:rsidRDefault="005A0D0E" w:rsidP="005A0D0E">
      <w:pPr>
        <w:ind w:firstLine="709"/>
        <w:contextualSpacing/>
        <w:rPr>
          <w:rFonts w:cs="Arial"/>
          <w:szCs w:val="24"/>
        </w:rPr>
      </w:pPr>
      <w:r w:rsidRPr="00E972F5">
        <w:rPr>
          <w:rFonts w:cs="Arial"/>
          <w:szCs w:val="24"/>
        </w:rPr>
        <w:t xml:space="preserve">Foram considerados dois cenários para as projeções: o previsível e o normativo. Para o cenário previsível, considerou-se que o consumo de água </w:t>
      </w:r>
      <w:r w:rsidRPr="00E972F5">
        <w:rPr>
          <w:rFonts w:cs="Arial"/>
          <w:i/>
          <w:szCs w:val="24"/>
        </w:rPr>
        <w:t>per capita</w:t>
      </w:r>
      <w:r w:rsidRPr="00E972F5">
        <w:rPr>
          <w:rFonts w:cs="Arial"/>
          <w:szCs w:val="24"/>
        </w:rPr>
        <w:t xml:space="preserve"> não varia com o passar dos anos, assim como é mantida consta</w:t>
      </w:r>
      <w:r w:rsidR="00E972F5" w:rsidRPr="00E972F5">
        <w:rPr>
          <w:rFonts w:cs="Arial"/>
          <w:szCs w:val="24"/>
        </w:rPr>
        <w:t>n</w:t>
      </w:r>
      <w:r w:rsidRPr="00E972F5">
        <w:rPr>
          <w:rFonts w:cs="Arial"/>
          <w:szCs w:val="24"/>
        </w:rPr>
        <w:t xml:space="preserve">te a porcentagem da população atendida em 2017. Para o cenário normativo, considerou-se que o consumo de água </w:t>
      </w:r>
      <w:r w:rsidRPr="00E972F5">
        <w:rPr>
          <w:rFonts w:cs="Arial"/>
          <w:i/>
          <w:szCs w:val="24"/>
        </w:rPr>
        <w:t>per capita</w:t>
      </w:r>
      <w:r w:rsidRPr="00E972F5">
        <w:rPr>
          <w:rFonts w:cs="Arial"/>
          <w:szCs w:val="24"/>
        </w:rPr>
        <w:t xml:space="preserve"> varia com o passar dos anos, como já apresentado nas projeções do sistema de abastecimento de água, onde as metas propostas são implantadas no município. </w:t>
      </w:r>
    </w:p>
    <w:p w:rsidR="005A0D0E" w:rsidRPr="00E972F5" w:rsidRDefault="005A0D0E" w:rsidP="005A0D0E">
      <w:pPr>
        <w:ind w:firstLine="709"/>
        <w:contextualSpacing/>
        <w:rPr>
          <w:rFonts w:cs="Arial"/>
          <w:szCs w:val="24"/>
        </w:rPr>
      </w:pPr>
      <w:r w:rsidRPr="00E972F5">
        <w:rPr>
          <w:rFonts w:cs="Arial"/>
          <w:szCs w:val="24"/>
        </w:rPr>
        <w:t xml:space="preserve">Para Córrego Novo, o consumo aumentará até atingir o valor de 150 L/hab.dia em 2038. Com relação ao índice de atendimento, foi utilizado o valor de </w:t>
      </w:r>
      <w:r w:rsidR="00B6204B" w:rsidRPr="00C35CC8">
        <w:rPr>
          <w:rFonts w:cs="Arial"/>
          <w:szCs w:val="24"/>
        </w:rPr>
        <w:t>75</w:t>
      </w:r>
      <w:r w:rsidRPr="00C35CC8">
        <w:rPr>
          <w:rFonts w:cs="Arial"/>
          <w:szCs w:val="24"/>
        </w:rPr>
        <w:t xml:space="preserve"> % para </w:t>
      </w:r>
      <w:r w:rsidRPr="00E972F5">
        <w:rPr>
          <w:rFonts w:cs="Arial"/>
          <w:szCs w:val="24"/>
        </w:rPr>
        <w:t>o ano de 2017, atingindo 100 % em 2021 (prazo imediato), no cenário normativo.</w:t>
      </w:r>
    </w:p>
    <w:p w:rsidR="005A0D0E" w:rsidRPr="00DA6A87" w:rsidRDefault="005A0D0E" w:rsidP="005A0D0E">
      <w:pPr>
        <w:ind w:firstLine="709"/>
        <w:contextualSpacing/>
        <w:rPr>
          <w:rFonts w:cs="Arial"/>
        </w:rPr>
      </w:pPr>
      <w:r w:rsidRPr="00DA6A87">
        <w:rPr>
          <w:rFonts w:cs="Arial"/>
        </w:rPr>
        <w:t xml:space="preserve">O </w:t>
      </w:r>
      <w:r w:rsidRPr="00DA6A87">
        <w:rPr>
          <w:rFonts w:cs="Arial"/>
        </w:rPr>
        <w:fldChar w:fldCharType="begin"/>
      </w:r>
      <w:r w:rsidRPr="00DA6A87">
        <w:rPr>
          <w:rFonts w:cs="Arial"/>
        </w:rPr>
        <w:instrText xml:space="preserve"> REF _Ref484678928 \h  \* MERGEFORMAT </w:instrText>
      </w:r>
      <w:r w:rsidRPr="00DA6A87">
        <w:rPr>
          <w:rFonts w:cs="Arial"/>
        </w:rPr>
      </w:r>
      <w:r w:rsidRPr="00DA6A87">
        <w:rPr>
          <w:rFonts w:cs="Arial"/>
        </w:rPr>
        <w:fldChar w:fldCharType="separate"/>
      </w:r>
      <w:r w:rsidR="004D1D76" w:rsidRPr="00DA6A87">
        <w:t xml:space="preserve">Quadro </w:t>
      </w:r>
      <w:r w:rsidR="004D1D76">
        <w:rPr>
          <w:noProof/>
        </w:rPr>
        <w:t>7</w:t>
      </w:r>
      <w:r w:rsidRPr="00DA6A87">
        <w:rPr>
          <w:rFonts w:cs="Arial"/>
        </w:rPr>
        <w:fldChar w:fldCharType="end"/>
      </w:r>
      <w:r w:rsidRPr="00DA6A87">
        <w:rPr>
          <w:rFonts w:cs="Arial"/>
        </w:rPr>
        <w:t xml:space="preserve"> apresenta os resultados obtidos para o cenário previsível do município de Córrego Novo.</w:t>
      </w:r>
    </w:p>
    <w:p w:rsidR="005A0D0E" w:rsidRPr="00DA6A87" w:rsidRDefault="005A0D0E" w:rsidP="005A0D0E">
      <w:pPr>
        <w:pStyle w:val="Legenda"/>
        <w:rPr>
          <w:lang w:val="pt-BR"/>
        </w:rPr>
      </w:pPr>
      <w:bookmarkStart w:id="94" w:name="_Ref484678928"/>
      <w:bookmarkStart w:id="95" w:name="_Toc433969062"/>
      <w:bookmarkStart w:id="96" w:name="_Toc482622520"/>
      <w:bookmarkStart w:id="97" w:name="_Toc497469128"/>
      <w:r w:rsidRPr="00DA6A87">
        <w:t xml:space="preserve">Quadro </w:t>
      </w:r>
      <w:r w:rsidR="00D71C43">
        <w:fldChar w:fldCharType="begin"/>
      </w:r>
      <w:r w:rsidR="00D71C43">
        <w:instrText xml:space="preserve"> SEQ Quadro \* ARABIC </w:instrText>
      </w:r>
      <w:r w:rsidR="00D71C43">
        <w:fldChar w:fldCharType="separate"/>
      </w:r>
      <w:r w:rsidR="004D1D76">
        <w:rPr>
          <w:noProof/>
        </w:rPr>
        <w:t>7</w:t>
      </w:r>
      <w:r w:rsidR="00D71C43">
        <w:rPr>
          <w:noProof/>
        </w:rPr>
        <w:fldChar w:fldCharType="end"/>
      </w:r>
      <w:bookmarkEnd w:id="94"/>
      <w:r w:rsidRPr="00DA6A87">
        <w:t xml:space="preserve"> - Evolução da vazão de esgoto doméstico </w:t>
      </w:r>
      <w:bookmarkEnd w:id="95"/>
      <w:bookmarkEnd w:id="96"/>
      <w:r w:rsidRPr="00DA6A87">
        <w:rPr>
          <w:lang w:val="pt-BR"/>
        </w:rPr>
        <w:t>do município</w:t>
      </w:r>
      <w:r w:rsidRPr="00DA6A87">
        <w:t xml:space="preserve"> </w:t>
      </w:r>
      <w:r w:rsidRPr="00DA6A87">
        <w:rPr>
          <w:lang w:val="pt-BR"/>
        </w:rPr>
        <w:t xml:space="preserve">de </w:t>
      </w:r>
      <w:r w:rsidRPr="00DA6A87">
        <w:t>Córrego Novo</w:t>
      </w:r>
      <w:r w:rsidRPr="00DA6A87">
        <w:rPr>
          <w:lang w:val="pt-BR"/>
        </w:rPr>
        <w:t xml:space="preserve"> no cenário previsível</w:t>
      </w:r>
      <w:bookmarkEnd w:id="97"/>
    </w:p>
    <w:tbl>
      <w:tblPr>
        <w:tblW w:w="5000" w:type="pct"/>
        <w:tblCellMar>
          <w:left w:w="70" w:type="dxa"/>
          <w:right w:w="70" w:type="dxa"/>
        </w:tblCellMar>
        <w:tblLook w:val="04A0" w:firstRow="1" w:lastRow="0" w:firstColumn="1" w:lastColumn="0" w:noHBand="0" w:noVBand="1"/>
      </w:tblPr>
      <w:tblGrid>
        <w:gridCol w:w="709"/>
        <w:gridCol w:w="1253"/>
        <w:gridCol w:w="1448"/>
        <w:gridCol w:w="1253"/>
        <w:gridCol w:w="1264"/>
        <w:gridCol w:w="898"/>
        <w:gridCol w:w="773"/>
        <w:gridCol w:w="948"/>
        <w:gridCol w:w="948"/>
      </w:tblGrid>
      <w:tr w:rsidR="00B7206B" w:rsidRPr="00B7206B" w:rsidTr="002828C8">
        <w:trPr>
          <w:trHeight w:val="340"/>
          <w:tblHeader/>
        </w:trPr>
        <w:tc>
          <w:tcPr>
            <w:tcW w:w="37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b/>
                <w:bCs/>
                <w:color w:val="000000"/>
                <w:sz w:val="22"/>
                <w:lang w:eastAsia="pt-BR"/>
              </w:rPr>
            </w:pPr>
            <w:r w:rsidRPr="00B7206B">
              <w:rPr>
                <w:rFonts w:eastAsia="Times New Roman" w:cs="Arial"/>
                <w:b/>
                <w:bCs/>
                <w:color w:val="000000"/>
                <w:sz w:val="22"/>
                <w:lang w:eastAsia="pt-BR"/>
              </w:rPr>
              <w:t>Ano</w:t>
            </w:r>
          </w:p>
        </w:tc>
        <w:tc>
          <w:tcPr>
            <w:tcW w:w="66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b/>
                <w:bCs/>
                <w:color w:val="000000"/>
                <w:sz w:val="22"/>
                <w:lang w:eastAsia="pt-BR"/>
              </w:rPr>
            </w:pPr>
            <w:r w:rsidRPr="00B7206B">
              <w:rPr>
                <w:rFonts w:eastAsia="Times New Roman" w:cs="Arial"/>
                <w:b/>
                <w:bCs/>
                <w:color w:val="000000"/>
                <w:sz w:val="22"/>
                <w:lang w:eastAsia="pt-BR"/>
              </w:rPr>
              <w:t>População Urbana (hab)</w:t>
            </w:r>
          </w:p>
        </w:tc>
        <w:tc>
          <w:tcPr>
            <w:tcW w:w="76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b/>
                <w:bCs/>
                <w:color w:val="000000"/>
                <w:sz w:val="22"/>
                <w:lang w:eastAsia="pt-BR"/>
              </w:rPr>
            </w:pPr>
            <w:r w:rsidRPr="00B7206B">
              <w:rPr>
                <w:rFonts w:eastAsia="Times New Roman" w:cs="Arial"/>
                <w:b/>
                <w:bCs/>
                <w:color w:val="000000"/>
                <w:sz w:val="22"/>
                <w:lang w:eastAsia="pt-BR"/>
              </w:rPr>
              <w:t>Índice de atendimento (%)</w:t>
            </w:r>
          </w:p>
        </w:tc>
        <w:tc>
          <w:tcPr>
            <w:tcW w:w="66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b/>
                <w:bCs/>
                <w:color w:val="000000"/>
                <w:sz w:val="22"/>
                <w:lang w:eastAsia="pt-BR"/>
              </w:rPr>
            </w:pPr>
            <w:r w:rsidRPr="00B7206B">
              <w:rPr>
                <w:rFonts w:eastAsia="Times New Roman" w:cs="Arial"/>
                <w:b/>
                <w:bCs/>
                <w:color w:val="000000"/>
                <w:sz w:val="22"/>
                <w:lang w:eastAsia="pt-BR"/>
              </w:rPr>
              <w:t>População Urbana Atendida (hab)</w:t>
            </w:r>
          </w:p>
        </w:tc>
        <w:tc>
          <w:tcPr>
            <w:tcW w:w="66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b/>
                <w:bCs/>
                <w:color w:val="000000"/>
                <w:sz w:val="22"/>
                <w:lang w:eastAsia="pt-BR"/>
              </w:rPr>
            </w:pPr>
            <w:r w:rsidRPr="00B7206B">
              <w:rPr>
                <w:rFonts w:eastAsia="Times New Roman" w:cs="Arial"/>
                <w:b/>
                <w:bCs/>
                <w:color w:val="000000"/>
                <w:sz w:val="22"/>
                <w:lang w:eastAsia="pt-BR"/>
              </w:rPr>
              <w:t xml:space="preserve">Consumo </w:t>
            </w:r>
            <w:r w:rsidRPr="00B7206B">
              <w:rPr>
                <w:rFonts w:eastAsia="Times New Roman" w:cs="Arial"/>
                <w:b/>
                <w:bCs/>
                <w:i/>
                <w:iCs/>
                <w:color w:val="000000"/>
                <w:sz w:val="22"/>
                <w:lang w:eastAsia="pt-BR"/>
              </w:rPr>
              <w:t>per capita</w:t>
            </w:r>
            <w:r w:rsidRPr="00B7206B">
              <w:rPr>
                <w:rFonts w:eastAsia="Times New Roman" w:cs="Arial"/>
                <w:b/>
                <w:bCs/>
                <w:color w:val="000000"/>
                <w:sz w:val="22"/>
                <w:lang w:eastAsia="pt-BR"/>
              </w:rPr>
              <w:t xml:space="preserve"> de água (L/hab.dia)</w:t>
            </w:r>
          </w:p>
        </w:tc>
        <w:tc>
          <w:tcPr>
            <w:tcW w:w="1878" w:type="pct"/>
            <w:gridSpan w:val="4"/>
            <w:tcBorders>
              <w:top w:val="single" w:sz="4" w:space="0" w:color="auto"/>
              <w:left w:val="nil"/>
              <w:bottom w:val="single" w:sz="4" w:space="0" w:color="auto"/>
              <w:right w:val="single" w:sz="4" w:space="0" w:color="auto"/>
            </w:tcBorders>
            <w:shd w:val="clear" w:color="auto" w:fill="auto"/>
            <w:noWrap/>
            <w:vAlign w:val="center"/>
            <w:hideMark/>
          </w:tcPr>
          <w:p w:rsidR="00B7206B" w:rsidRPr="00B7206B" w:rsidRDefault="00B7206B" w:rsidP="00B7206B">
            <w:pPr>
              <w:spacing w:line="240" w:lineRule="auto"/>
              <w:jc w:val="center"/>
              <w:rPr>
                <w:rFonts w:eastAsia="Times New Roman" w:cs="Arial"/>
                <w:b/>
                <w:bCs/>
                <w:color w:val="000000"/>
                <w:sz w:val="22"/>
                <w:lang w:eastAsia="pt-BR"/>
              </w:rPr>
            </w:pPr>
            <w:r w:rsidRPr="00B7206B">
              <w:rPr>
                <w:rFonts w:eastAsia="Times New Roman" w:cs="Arial"/>
                <w:b/>
                <w:bCs/>
                <w:color w:val="000000"/>
                <w:sz w:val="22"/>
                <w:lang w:eastAsia="pt-BR"/>
              </w:rPr>
              <w:t>Vazão esgoto doméstico (L/s)</w:t>
            </w:r>
          </w:p>
        </w:tc>
      </w:tr>
      <w:tr w:rsidR="00B7206B" w:rsidRPr="00B7206B" w:rsidTr="002828C8">
        <w:trPr>
          <w:trHeight w:val="340"/>
          <w:tblHeader/>
        </w:trPr>
        <w:tc>
          <w:tcPr>
            <w:tcW w:w="374" w:type="pct"/>
            <w:vMerge/>
            <w:tcBorders>
              <w:top w:val="single" w:sz="4" w:space="0" w:color="auto"/>
              <w:left w:val="single" w:sz="4" w:space="0" w:color="auto"/>
              <w:bottom w:val="single" w:sz="4" w:space="0" w:color="auto"/>
              <w:right w:val="single" w:sz="4" w:space="0" w:color="auto"/>
            </w:tcBorders>
            <w:vAlign w:val="center"/>
            <w:hideMark/>
          </w:tcPr>
          <w:p w:rsidR="00B7206B" w:rsidRPr="00B7206B" w:rsidRDefault="00B7206B" w:rsidP="00B7206B">
            <w:pPr>
              <w:spacing w:line="240" w:lineRule="auto"/>
              <w:jc w:val="left"/>
              <w:rPr>
                <w:rFonts w:eastAsia="Times New Roman" w:cs="Arial"/>
                <w:b/>
                <w:bCs/>
                <w:color w:val="000000"/>
                <w:sz w:val="22"/>
                <w:lang w:eastAsia="pt-BR"/>
              </w:rPr>
            </w:pPr>
          </w:p>
        </w:tc>
        <w:tc>
          <w:tcPr>
            <w:tcW w:w="660" w:type="pct"/>
            <w:vMerge/>
            <w:tcBorders>
              <w:top w:val="single" w:sz="4" w:space="0" w:color="auto"/>
              <w:left w:val="single" w:sz="4" w:space="0" w:color="auto"/>
              <w:bottom w:val="single" w:sz="4" w:space="0" w:color="auto"/>
              <w:right w:val="single" w:sz="4" w:space="0" w:color="auto"/>
            </w:tcBorders>
            <w:vAlign w:val="center"/>
            <w:hideMark/>
          </w:tcPr>
          <w:p w:rsidR="00B7206B" w:rsidRPr="00B7206B" w:rsidRDefault="00B7206B" w:rsidP="00B7206B">
            <w:pPr>
              <w:spacing w:line="240" w:lineRule="auto"/>
              <w:jc w:val="left"/>
              <w:rPr>
                <w:rFonts w:eastAsia="Times New Roman" w:cs="Arial"/>
                <w:b/>
                <w:bCs/>
                <w:color w:val="000000"/>
                <w:sz w:val="22"/>
                <w:lang w:eastAsia="pt-BR"/>
              </w:rPr>
            </w:pPr>
          </w:p>
        </w:tc>
        <w:tc>
          <w:tcPr>
            <w:tcW w:w="763" w:type="pct"/>
            <w:vMerge/>
            <w:tcBorders>
              <w:top w:val="single" w:sz="4" w:space="0" w:color="auto"/>
              <w:left w:val="single" w:sz="4" w:space="0" w:color="auto"/>
              <w:bottom w:val="single" w:sz="4" w:space="0" w:color="000000"/>
              <w:right w:val="single" w:sz="4" w:space="0" w:color="auto"/>
            </w:tcBorders>
            <w:vAlign w:val="center"/>
            <w:hideMark/>
          </w:tcPr>
          <w:p w:rsidR="00B7206B" w:rsidRPr="00B7206B" w:rsidRDefault="00B7206B" w:rsidP="00B7206B">
            <w:pPr>
              <w:spacing w:line="240" w:lineRule="auto"/>
              <w:jc w:val="left"/>
              <w:rPr>
                <w:rFonts w:eastAsia="Times New Roman" w:cs="Arial"/>
                <w:b/>
                <w:bCs/>
                <w:color w:val="000000"/>
                <w:sz w:val="22"/>
                <w:lang w:eastAsia="pt-BR"/>
              </w:rPr>
            </w:pPr>
          </w:p>
        </w:tc>
        <w:tc>
          <w:tcPr>
            <w:tcW w:w="660" w:type="pct"/>
            <w:vMerge/>
            <w:tcBorders>
              <w:top w:val="single" w:sz="4" w:space="0" w:color="auto"/>
              <w:left w:val="single" w:sz="4" w:space="0" w:color="auto"/>
              <w:bottom w:val="single" w:sz="4" w:space="0" w:color="auto"/>
              <w:right w:val="single" w:sz="4" w:space="0" w:color="auto"/>
            </w:tcBorders>
            <w:vAlign w:val="center"/>
            <w:hideMark/>
          </w:tcPr>
          <w:p w:rsidR="00B7206B" w:rsidRPr="00B7206B" w:rsidRDefault="00B7206B" w:rsidP="00B7206B">
            <w:pPr>
              <w:spacing w:line="240" w:lineRule="auto"/>
              <w:jc w:val="left"/>
              <w:rPr>
                <w:rFonts w:eastAsia="Times New Roman" w:cs="Arial"/>
                <w:b/>
                <w:bCs/>
                <w:color w:val="000000"/>
                <w:sz w:val="22"/>
                <w:lang w:eastAsia="pt-BR"/>
              </w:rPr>
            </w:pPr>
          </w:p>
        </w:tc>
        <w:tc>
          <w:tcPr>
            <w:tcW w:w="666" w:type="pct"/>
            <w:vMerge/>
            <w:tcBorders>
              <w:top w:val="single" w:sz="4" w:space="0" w:color="auto"/>
              <w:left w:val="single" w:sz="4" w:space="0" w:color="auto"/>
              <w:bottom w:val="single" w:sz="4" w:space="0" w:color="auto"/>
              <w:right w:val="single" w:sz="4" w:space="0" w:color="auto"/>
            </w:tcBorders>
            <w:vAlign w:val="center"/>
            <w:hideMark/>
          </w:tcPr>
          <w:p w:rsidR="00B7206B" w:rsidRPr="00B7206B" w:rsidRDefault="00B7206B" w:rsidP="00B7206B">
            <w:pPr>
              <w:spacing w:line="240" w:lineRule="auto"/>
              <w:jc w:val="left"/>
              <w:rPr>
                <w:rFonts w:eastAsia="Times New Roman" w:cs="Arial"/>
                <w:b/>
                <w:bCs/>
                <w:color w:val="000000"/>
                <w:sz w:val="22"/>
                <w:lang w:eastAsia="pt-BR"/>
              </w:rPr>
            </w:pPr>
          </w:p>
        </w:tc>
        <w:tc>
          <w:tcPr>
            <w:tcW w:w="473"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b/>
                <w:bCs/>
                <w:color w:val="000000"/>
                <w:sz w:val="22"/>
                <w:lang w:eastAsia="pt-BR"/>
              </w:rPr>
            </w:pPr>
            <w:r w:rsidRPr="00B7206B">
              <w:rPr>
                <w:rFonts w:eastAsia="Times New Roman" w:cs="Arial"/>
                <w:b/>
                <w:bCs/>
                <w:color w:val="000000"/>
                <w:sz w:val="22"/>
                <w:lang w:eastAsia="pt-BR"/>
              </w:rPr>
              <w:t>Mínima</w:t>
            </w:r>
          </w:p>
        </w:tc>
        <w:tc>
          <w:tcPr>
            <w:tcW w:w="407"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b/>
                <w:bCs/>
                <w:color w:val="000000"/>
                <w:sz w:val="22"/>
                <w:lang w:eastAsia="pt-BR"/>
              </w:rPr>
            </w:pPr>
            <w:r w:rsidRPr="00B7206B">
              <w:rPr>
                <w:rFonts w:eastAsia="Times New Roman" w:cs="Arial"/>
                <w:b/>
                <w:bCs/>
                <w:color w:val="000000"/>
                <w:sz w:val="22"/>
                <w:lang w:eastAsia="pt-BR"/>
              </w:rPr>
              <w:t>Média</w:t>
            </w:r>
          </w:p>
        </w:tc>
        <w:tc>
          <w:tcPr>
            <w:tcW w:w="499"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b/>
                <w:bCs/>
                <w:color w:val="000000"/>
                <w:sz w:val="22"/>
                <w:lang w:eastAsia="pt-BR"/>
              </w:rPr>
            </w:pPr>
            <w:r w:rsidRPr="00B7206B">
              <w:rPr>
                <w:rFonts w:eastAsia="Times New Roman" w:cs="Arial"/>
                <w:b/>
                <w:bCs/>
                <w:color w:val="000000"/>
                <w:sz w:val="22"/>
                <w:lang w:eastAsia="pt-BR"/>
              </w:rPr>
              <w:t>Máxima Diária</w:t>
            </w:r>
          </w:p>
        </w:tc>
        <w:tc>
          <w:tcPr>
            <w:tcW w:w="499"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b/>
                <w:bCs/>
                <w:color w:val="000000"/>
                <w:sz w:val="22"/>
                <w:lang w:eastAsia="pt-BR"/>
              </w:rPr>
            </w:pPr>
            <w:r w:rsidRPr="00B7206B">
              <w:rPr>
                <w:rFonts w:eastAsia="Times New Roman" w:cs="Arial"/>
                <w:b/>
                <w:bCs/>
                <w:color w:val="000000"/>
                <w:sz w:val="22"/>
                <w:lang w:eastAsia="pt-BR"/>
              </w:rPr>
              <w:t>Máxima Horária</w:t>
            </w:r>
          </w:p>
        </w:tc>
      </w:tr>
      <w:tr w:rsidR="00B7206B" w:rsidRPr="00B7206B" w:rsidTr="002828C8">
        <w:trPr>
          <w:trHeight w:val="340"/>
        </w:trPr>
        <w:tc>
          <w:tcPr>
            <w:tcW w:w="374" w:type="pct"/>
            <w:tcBorders>
              <w:top w:val="nil"/>
              <w:left w:val="single" w:sz="4" w:space="0" w:color="auto"/>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2017</w:t>
            </w:r>
          </w:p>
        </w:tc>
        <w:tc>
          <w:tcPr>
            <w:tcW w:w="660"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1.983</w:t>
            </w:r>
          </w:p>
        </w:tc>
        <w:tc>
          <w:tcPr>
            <w:tcW w:w="763" w:type="pct"/>
            <w:tcBorders>
              <w:top w:val="nil"/>
              <w:left w:val="single" w:sz="4" w:space="0" w:color="auto"/>
              <w:bottom w:val="single" w:sz="4" w:space="0" w:color="auto"/>
              <w:right w:val="nil"/>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75,00</w:t>
            </w:r>
          </w:p>
        </w:tc>
        <w:tc>
          <w:tcPr>
            <w:tcW w:w="660" w:type="pct"/>
            <w:tcBorders>
              <w:top w:val="nil"/>
              <w:left w:val="single" w:sz="4" w:space="0" w:color="auto"/>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1.487</w:t>
            </w:r>
          </w:p>
        </w:tc>
        <w:tc>
          <w:tcPr>
            <w:tcW w:w="666"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137,00</w:t>
            </w:r>
          </w:p>
        </w:tc>
        <w:tc>
          <w:tcPr>
            <w:tcW w:w="473"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1,26</w:t>
            </w:r>
          </w:p>
        </w:tc>
        <w:tc>
          <w:tcPr>
            <w:tcW w:w="407"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2,52</w:t>
            </w:r>
          </w:p>
        </w:tc>
        <w:tc>
          <w:tcPr>
            <w:tcW w:w="499"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3,02</w:t>
            </w:r>
          </w:p>
        </w:tc>
        <w:tc>
          <w:tcPr>
            <w:tcW w:w="499"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4,53</w:t>
            </w:r>
          </w:p>
        </w:tc>
      </w:tr>
      <w:tr w:rsidR="00B7206B" w:rsidRPr="00B7206B" w:rsidTr="002828C8">
        <w:trPr>
          <w:trHeight w:val="340"/>
        </w:trPr>
        <w:tc>
          <w:tcPr>
            <w:tcW w:w="374" w:type="pct"/>
            <w:tcBorders>
              <w:top w:val="nil"/>
              <w:left w:val="single" w:sz="4" w:space="0" w:color="auto"/>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2018</w:t>
            </w:r>
          </w:p>
        </w:tc>
        <w:tc>
          <w:tcPr>
            <w:tcW w:w="660"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1.969</w:t>
            </w:r>
          </w:p>
        </w:tc>
        <w:tc>
          <w:tcPr>
            <w:tcW w:w="763" w:type="pct"/>
            <w:tcBorders>
              <w:top w:val="nil"/>
              <w:left w:val="single" w:sz="4" w:space="0" w:color="auto"/>
              <w:bottom w:val="single" w:sz="4" w:space="0" w:color="auto"/>
              <w:right w:val="nil"/>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75,00</w:t>
            </w:r>
          </w:p>
        </w:tc>
        <w:tc>
          <w:tcPr>
            <w:tcW w:w="660" w:type="pct"/>
            <w:tcBorders>
              <w:top w:val="nil"/>
              <w:left w:val="single" w:sz="4" w:space="0" w:color="auto"/>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1.477</w:t>
            </w:r>
          </w:p>
        </w:tc>
        <w:tc>
          <w:tcPr>
            <w:tcW w:w="666"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137,00</w:t>
            </w:r>
          </w:p>
        </w:tc>
        <w:tc>
          <w:tcPr>
            <w:tcW w:w="473"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1,25</w:t>
            </w:r>
          </w:p>
        </w:tc>
        <w:tc>
          <w:tcPr>
            <w:tcW w:w="407"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2,50</w:t>
            </w:r>
          </w:p>
        </w:tc>
        <w:tc>
          <w:tcPr>
            <w:tcW w:w="499"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3,00</w:t>
            </w:r>
          </w:p>
        </w:tc>
        <w:tc>
          <w:tcPr>
            <w:tcW w:w="499"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4,50</w:t>
            </w:r>
          </w:p>
        </w:tc>
      </w:tr>
      <w:tr w:rsidR="00B7206B" w:rsidRPr="00B7206B" w:rsidTr="002828C8">
        <w:trPr>
          <w:trHeight w:val="340"/>
        </w:trPr>
        <w:tc>
          <w:tcPr>
            <w:tcW w:w="374" w:type="pct"/>
            <w:tcBorders>
              <w:top w:val="nil"/>
              <w:left w:val="single" w:sz="4" w:space="0" w:color="auto"/>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2019</w:t>
            </w:r>
          </w:p>
        </w:tc>
        <w:tc>
          <w:tcPr>
            <w:tcW w:w="660"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1.959</w:t>
            </w:r>
          </w:p>
        </w:tc>
        <w:tc>
          <w:tcPr>
            <w:tcW w:w="763" w:type="pct"/>
            <w:tcBorders>
              <w:top w:val="nil"/>
              <w:left w:val="single" w:sz="4" w:space="0" w:color="auto"/>
              <w:bottom w:val="single" w:sz="4" w:space="0" w:color="auto"/>
              <w:right w:val="nil"/>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75,00</w:t>
            </w:r>
          </w:p>
        </w:tc>
        <w:tc>
          <w:tcPr>
            <w:tcW w:w="660" w:type="pct"/>
            <w:tcBorders>
              <w:top w:val="nil"/>
              <w:left w:val="single" w:sz="4" w:space="0" w:color="auto"/>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1.469</w:t>
            </w:r>
          </w:p>
        </w:tc>
        <w:tc>
          <w:tcPr>
            <w:tcW w:w="666"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137,00</w:t>
            </w:r>
          </w:p>
        </w:tc>
        <w:tc>
          <w:tcPr>
            <w:tcW w:w="473"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1,24</w:t>
            </w:r>
          </w:p>
        </w:tc>
        <w:tc>
          <w:tcPr>
            <w:tcW w:w="407"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2,49</w:t>
            </w:r>
          </w:p>
        </w:tc>
        <w:tc>
          <w:tcPr>
            <w:tcW w:w="499"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2,98</w:t>
            </w:r>
          </w:p>
        </w:tc>
        <w:tc>
          <w:tcPr>
            <w:tcW w:w="499"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4,47</w:t>
            </w:r>
          </w:p>
        </w:tc>
      </w:tr>
      <w:tr w:rsidR="00B7206B" w:rsidRPr="00B7206B" w:rsidTr="002828C8">
        <w:trPr>
          <w:trHeight w:val="340"/>
        </w:trPr>
        <w:tc>
          <w:tcPr>
            <w:tcW w:w="374" w:type="pct"/>
            <w:tcBorders>
              <w:top w:val="nil"/>
              <w:left w:val="single" w:sz="4" w:space="0" w:color="auto"/>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2020</w:t>
            </w:r>
          </w:p>
        </w:tc>
        <w:tc>
          <w:tcPr>
            <w:tcW w:w="660"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1.956</w:t>
            </w:r>
          </w:p>
        </w:tc>
        <w:tc>
          <w:tcPr>
            <w:tcW w:w="763" w:type="pct"/>
            <w:tcBorders>
              <w:top w:val="nil"/>
              <w:left w:val="single" w:sz="4" w:space="0" w:color="auto"/>
              <w:bottom w:val="single" w:sz="4" w:space="0" w:color="auto"/>
              <w:right w:val="nil"/>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75,00</w:t>
            </w:r>
          </w:p>
        </w:tc>
        <w:tc>
          <w:tcPr>
            <w:tcW w:w="660" w:type="pct"/>
            <w:tcBorders>
              <w:top w:val="nil"/>
              <w:left w:val="single" w:sz="4" w:space="0" w:color="auto"/>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1.467</w:t>
            </w:r>
          </w:p>
        </w:tc>
        <w:tc>
          <w:tcPr>
            <w:tcW w:w="666"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137,00</w:t>
            </w:r>
          </w:p>
        </w:tc>
        <w:tc>
          <w:tcPr>
            <w:tcW w:w="473"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1,24</w:t>
            </w:r>
          </w:p>
        </w:tc>
        <w:tc>
          <w:tcPr>
            <w:tcW w:w="407"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2,48</w:t>
            </w:r>
          </w:p>
        </w:tc>
        <w:tc>
          <w:tcPr>
            <w:tcW w:w="499"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2,98</w:t>
            </w:r>
          </w:p>
        </w:tc>
        <w:tc>
          <w:tcPr>
            <w:tcW w:w="499"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4,47</w:t>
            </w:r>
          </w:p>
        </w:tc>
      </w:tr>
      <w:tr w:rsidR="00B7206B" w:rsidRPr="00B7206B" w:rsidTr="002828C8">
        <w:trPr>
          <w:trHeight w:val="340"/>
        </w:trPr>
        <w:tc>
          <w:tcPr>
            <w:tcW w:w="374" w:type="pct"/>
            <w:tcBorders>
              <w:top w:val="nil"/>
              <w:left w:val="single" w:sz="4" w:space="0" w:color="auto"/>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2021</w:t>
            </w:r>
          </w:p>
        </w:tc>
        <w:tc>
          <w:tcPr>
            <w:tcW w:w="660"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1.942</w:t>
            </w:r>
          </w:p>
        </w:tc>
        <w:tc>
          <w:tcPr>
            <w:tcW w:w="763" w:type="pct"/>
            <w:tcBorders>
              <w:top w:val="nil"/>
              <w:left w:val="single" w:sz="4" w:space="0" w:color="auto"/>
              <w:bottom w:val="single" w:sz="4" w:space="0" w:color="auto"/>
              <w:right w:val="nil"/>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75,00</w:t>
            </w:r>
          </w:p>
        </w:tc>
        <w:tc>
          <w:tcPr>
            <w:tcW w:w="660" w:type="pct"/>
            <w:tcBorders>
              <w:top w:val="nil"/>
              <w:left w:val="single" w:sz="4" w:space="0" w:color="auto"/>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1.457</w:t>
            </w:r>
          </w:p>
        </w:tc>
        <w:tc>
          <w:tcPr>
            <w:tcW w:w="666"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137,00</w:t>
            </w:r>
          </w:p>
        </w:tc>
        <w:tc>
          <w:tcPr>
            <w:tcW w:w="473"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1,23</w:t>
            </w:r>
          </w:p>
        </w:tc>
        <w:tc>
          <w:tcPr>
            <w:tcW w:w="407"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2,46</w:t>
            </w:r>
          </w:p>
        </w:tc>
        <w:tc>
          <w:tcPr>
            <w:tcW w:w="499"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2,96</w:t>
            </w:r>
          </w:p>
        </w:tc>
        <w:tc>
          <w:tcPr>
            <w:tcW w:w="499"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4,43</w:t>
            </w:r>
          </w:p>
        </w:tc>
      </w:tr>
      <w:tr w:rsidR="00B7206B" w:rsidRPr="00B7206B" w:rsidTr="002828C8">
        <w:trPr>
          <w:trHeight w:val="340"/>
        </w:trPr>
        <w:tc>
          <w:tcPr>
            <w:tcW w:w="374" w:type="pct"/>
            <w:tcBorders>
              <w:top w:val="nil"/>
              <w:left w:val="single" w:sz="4" w:space="0" w:color="auto"/>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2022</w:t>
            </w:r>
          </w:p>
        </w:tc>
        <w:tc>
          <w:tcPr>
            <w:tcW w:w="660"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1.925</w:t>
            </w:r>
          </w:p>
        </w:tc>
        <w:tc>
          <w:tcPr>
            <w:tcW w:w="763" w:type="pct"/>
            <w:tcBorders>
              <w:top w:val="nil"/>
              <w:left w:val="single" w:sz="4" w:space="0" w:color="auto"/>
              <w:bottom w:val="single" w:sz="4" w:space="0" w:color="auto"/>
              <w:right w:val="nil"/>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75,00</w:t>
            </w:r>
          </w:p>
        </w:tc>
        <w:tc>
          <w:tcPr>
            <w:tcW w:w="660" w:type="pct"/>
            <w:tcBorders>
              <w:top w:val="nil"/>
              <w:left w:val="single" w:sz="4" w:space="0" w:color="auto"/>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1.444</w:t>
            </w:r>
          </w:p>
        </w:tc>
        <w:tc>
          <w:tcPr>
            <w:tcW w:w="666"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137,00</w:t>
            </w:r>
          </w:p>
        </w:tc>
        <w:tc>
          <w:tcPr>
            <w:tcW w:w="473"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1,22</w:t>
            </w:r>
          </w:p>
        </w:tc>
        <w:tc>
          <w:tcPr>
            <w:tcW w:w="407"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2,44</w:t>
            </w:r>
          </w:p>
        </w:tc>
        <w:tc>
          <w:tcPr>
            <w:tcW w:w="499"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2,93</w:t>
            </w:r>
          </w:p>
        </w:tc>
        <w:tc>
          <w:tcPr>
            <w:tcW w:w="499"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4,40</w:t>
            </w:r>
          </w:p>
        </w:tc>
      </w:tr>
      <w:tr w:rsidR="00B7206B" w:rsidRPr="00B7206B" w:rsidTr="002828C8">
        <w:trPr>
          <w:trHeight w:val="340"/>
        </w:trPr>
        <w:tc>
          <w:tcPr>
            <w:tcW w:w="374" w:type="pct"/>
            <w:tcBorders>
              <w:top w:val="nil"/>
              <w:left w:val="single" w:sz="4" w:space="0" w:color="auto"/>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lastRenderedPageBreak/>
              <w:t>2023</w:t>
            </w:r>
          </w:p>
        </w:tc>
        <w:tc>
          <w:tcPr>
            <w:tcW w:w="660"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1.910</w:t>
            </w:r>
          </w:p>
        </w:tc>
        <w:tc>
          <w:tcPr>
            <w:tcW w:w="763" w:type="pct"/>
            <w:tcBorders>
              <w:top w:val="nil"/>
              <w:left w:val="single" w:sz="4" w:space="0" w:color="auto"/>
              <w:bottom w:val="single" w:sz="4" w:space="0" w:color="auto"/>
              <w:right w:val="nil"/>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75,00</w:t>
            </w:r>
          </w:p>
        </w:tc>
        <w:tc>
          <w:tcPr>
            <w:tcW w:w="660" w:type="pct"/>
            <w:tcBorders>
              <w:top w:val="nil"/>
              <w:left w:val="single" w:sz="4" w:space="0" w:color="auto"/>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1.433</w:t>
            </w:r>
          </w:p>
        </w:tc>
        <w:tc>
          <w:tcPr>
            <w:tcW w:w="666"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137,00</w:t>
            </w:r>
          </w:p>
        </w:tc>
        <w:tc>
          <w:tcPr>
            <w:tcW w:w="473"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1,21</w:t>
            </w:r>
          </w:p>
        </w:tc>
        <w:tc>
          <w:tcPr>
            <w:tcW w:w="407"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2,42</w:t>
            </w:r>
          </w:p>
        </w:tc>
        <w:tc>
          <w:tcPr>
            <w:tcW w:w="499"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2,91</w:t>
            </w:r>
          </w:p>
        </w:tc>
        <w:tc>
          <w:tcPr>
            <w:tcW w:w="499"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4,36</w:t>
            </w:r>
          </w:p>
        </w:tc>
      </w:tr>
      <w:tr w:rsidR="00B7206B" w:rsidRPr="00B7206B" w:rsidTr="002828C8">
        <w:trPr>
          <w:trHeight w:val="340"/>
        </w:trPr>
        <w:tc>
          <w:tcPr>
            <w:tcW w:w="374" w:type="pct"/>
            <w:tcBorders>
              <w:top w:val="nil"/>
              <w:left w:val="single" w:sz="4" w:space="0" w:color="auto"/>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2024</w:t>
            </w:r>
          </w:p>
        </w:tc>
        <w:tc>
          <w:tcPr>
            <w:tcW w:w="660"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1.906</w:t>
            </w:r>
          </w:p>
        </w:tc>
        <w:tc>
          <w:tcPr>
            <w:tcW w:w="763" w:type="pct"/>
            <w:tcBorders>
              <w:top w:val="nil"/>
              <w:left w:val="single" w:sz="4" w:space="0" w:color="auto"/>
              <w:bottom w:val="single" w:sz="4" w:space="0" w:color="auto"/>
              <w:right w:val="nil"/>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75,00</w:t>
            </w:r>
          </w:p>
        </w:tc>
        <w:tc>
          <w:tcPr>
            <w:tcW w:w="660" w:type="pct"/>
            <w:tcBorders>
              <w:top w:val="nil"/>
              <w:left w:val="single" w:sz="4" w:space="0" w:color="auto"/>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1.430</w:t>
            </w:r>
          </w:p>
        </w:tc>
        <w:tc>
          <w:tcPr>
            <w:tcW w:w="666"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137,00</w:t>
            </w:r>
          </w:p>
        </w:tc>
        <w:tc>
          <w:tcPr>
            <w:tcW w:w="473"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1,21</w:t>
            </w:r>
          </w:p>
        </w:tc>
        <w:tc>
          <w:tcPr>
            <w:tcW w:w="407"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2,42</w:t>
            </w:r>
          </w:p>
        </w:tc>
        <w:tc>
          <w:tcPr>
            <w:tcW w:w="499"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2,90</w:t>
            </w:r>
          </w:p>
        </w:tc>
        <w:tc>
          <w:tcPr>
            <w:tcW w:w="499"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4,35</w:t>
            </w:r>
          </w:p>
        </w:tc>
      </w:tr>
      <w:tr w:rsidR="00B7206B" w:rsidRPr="00B7206B" w:rsidTr="002828C8">
        <w:trPr>
          <w:trHeight w:val="340"/>
        </w:trPr>
        <w:tc>
          <w:tcPr>
            <w:tcW w:w="374" w:type="pct"/>
            <w:tcBorders>
              <w:top w:val="nil"/>
              <w:left w:val="single" w:sz="4" w:space="0" w:color="auto"/>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2025</w:t>
            </w:r>
          </w:p>
        </w:tc>
        <w:tc>
          <w:tcPr>
            <w:tcW w:w="660"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1.891</w:t>
            </w:r>
          </w:p>
        </w:tc>
        <w:tc>
          <w:tcPr>
            <w:tcW w:w="763" w:type="pct"/>
            <w:tcBorders>
              <w:top w:val="nil"/>
              <w:left w:val="single" w:sz="4" w:space="0" w:color="auto"/>
              <w:bottom w:val="single" w:sz="4" w:space="0" w:color="auto"/>
              <w:right w:val="nil"/>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75,00</w:t>
            </w:r>
          </w:p>
        </w:tc>
        <w:tc>
          <w:tcPr>
            <w:tcW w:w="660" w:type="pct"/>
            <w:tcBorders>
              <w:top w:val="nil"/>
              <w:left w:val="single" w:sz="4" w:space="0" w:color="auto"/>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1.418</w:t>
            </w:r>
          </w:p>
        </w:tc>
        <w:tc>
          <w:tcPr>
            <w:tcW w:w="666"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137,00</w:t>
            </w:r>
          </w:p>
        </w:tc>
        <w:tc>
          <w:tcPr>
            <w:tcW w:w="473"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1,20</w:t>
            </w:r>
          </w:p>
        </w:tc>
        <w:tc>
          <w:tcPr>
            <w:tcW w:w="407"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2,40</w:t>
            </w:r>
          </w:p>
        </w:tc>
        <w:tc>
          <w:tcPr>
            <w:tcW w:w="499"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2,88</w:t>
            </w:r>
          </w:p>
        </w:tc>
        <w:tc>
          <w:tcPr>
            <w:tcW w:w="499"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4,32</w:t>
            </w:r>
          </w:p>
        </w:tc>
      </w:tr>
      <w:tr w:rsidR="00B7206B" w:rsidRPr="00B7206B" w:rsidTr="002828C8">
        <w:trPr>
          <w:trHeight w:val="340"/>
        </w:trPr>
        <w:tc>
          <w:tcPr>
            <w:tcW w:w="374" w:type="pct"/>
            <w:tcBorders>
              <w:top w:val="nil"/>
              <w:left w:val="single" w:sz="4" w:space="0" w:color="auto"/>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2026</w:t>
            </w:r>
          </w:p>
        </w:tc>
        <w:tc>
          <w:tcPr>
            <w:tcW w:w="660"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1.881</w:t>
            </w:r>
          </w:p>
        </w:tc>
        <w:tc>
          <w:tcPr>
            <w:tcW w:w="763" w:type="pct"/>
            <w:tcBorders>
              <w:top w:val="nil"/>
              <w:left w:val="single" w:sz="4" w:space="0" w:color="auto"/>
              <w:bottom w:val="single" w:sz="4" w:space="0" w:color="auto"/>
              <w:right w:val="nil"/>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75,00</w:t>
            </w:r>
          </w:p>
        </w:tc>
        <w:tc>
          <w:tcPr>
            <w:tcW w:w="660" w:type="pct"/>
            <w:tcBorders>
              <w:top w:val="nil"/>
              <w:left w:val="single" w:sz="4" w:space="0" w:color="auto"/>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1.411</w:t>
            </w:r>
          </w:p>
        </w:tc>
        <w:tc>
          <w:tcPr>
            <w:tcW w:w="666"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137,00</w:t>
            </w:r>
          </w:p>
        </w:tc>
        <w:tc>
          <w:tcPr>
            <w:tcW w:w="473"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1,19</w:t>
            </w:r>
          </w:p>
        </w:tc>
        <w:tc>
          <w:tcPr>
            <w:tcW w:w="407"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2,39</w:t>
            </w:r>
          </w:p>
        </w:tc>
        <w:tc>
          <w:tcPr>
            <w:tcW w:w="499"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2,86</w:t>
            </w:r>
          </w:p>
        </w:tc>
        <w:tc>
          <w:tcPr>
            <w:tcW w:w="499"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4,29</w:t>
            </w:r>
          </w:p>
        </w:tc>
      </w:tr>
      <w:tr w:rsidR="00B7206B" w:rsidRPr="00B7206B" w:rsidTr="002828C8">
        <w:trPr>
          <w:trHeight w:val="340"/>
        </w:trPr>
        <w:tc>
          <w:tcPr>
            <w:tcW w:w="374" w:type="pct"/>
            <w:tcBorders>
              <w:top w:val="nil"/>
              <w:left w:val="single" w:sz="4" w:space="0" w:color="auto"/>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2027</w:t>
            </w:r>
          </w:p>
        </w:tc>
        <w:tc>
          <w:tcPr>
            <w:tcW w:w="660"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1.862</w:t>
            </w:r>
          </w:p>
        </w:tc>
        <w:tc>
          <w:tcPr>
            <w:tcW w:w="763" w:type="pct"/>
            <w:tcBorders>
              <w:top w:val="nil"/>
              <w:left w:val="single" w:sz="4" w:space="0" w:color="auto"/>
              <w:bottom w:val="single" w:sz="4" w:space="0" w:color="auto"/>
              <w:right w:val="nil"/>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75,00</w:t>
            </w:r>
          </w:p>
        </w:tc>
        <w:tc>
          <w:tcPr>
            <w:tcW w:w="660" w:type="pct"/>
            <w:tcBorders>
              <w:top w:val="nil"/>
              <w:left w:val="single" w:sz="4" w:space="0" w:color="auto"/>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1.397</w:t>
            </w:r>
          </w:p>
        </w:tc>
        <w:tc>
          <w:tcPr>
            <w:tcW w:w="666"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137,00</w:t>
            </w:r>
          </w:p>
        </w:tc>
        <w:tc>
          <w:tcPr>
            <w:tcW w:w="473"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1,18</w:t>
            </w:r>
          </w:p>
        </w:tc>
        <w:tc>
          <w:tcPr>
            <w:tcW w:w="407"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2,36</w:t>
            </w:r>
          </w:p>
        </w:tc>
        <w:tc>
          <w:tcPr>
            <w:tcW w:w="499"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2,83</w:t>
            </w:r>
          </w:p>
        </w:tc>
        <w:tc>
          <w:tcPr>
            <w:tcW w:w="499"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4,25</w:t>
            </w:r>
          </w:p>
        </w:tc>
      </w:tr>
      <w:tr w:rsidR="00B7206B" w:rsidRPr="00B7206B" w:rsidTr="002828C8">
        <w:trPr>
          <w:trHeight w:val="340"/>
        </w:trPr>
        <w:tc>
          <w:tcPr>
            <w:tcW w:w="374" w:type="pct"/>
            <w:tcBorders>
              <w:top w:val="nil"/>
              <w:left w:val="single" w:sz="4" w:space="0" w:color="auto"/>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2028</w:t>
            </w:r>
          </w:p>
        </w:tc>
        <w:tc>
          <w:tcPr>
            <w:tcW w:w="660"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1.851</w:t>
            </w:r>
          </w:p>
        </w:tc>
        <w:tc>
          <w:tcPr>
            <w:tcW w:w="763" w:type="pct"/>
            <w:tcBorders>
              <w:top w:val="nil"/>
              <w:left w:val="single" w:sz="4" w:space="0" w:color="auto"/>
              <w:bottom w:val="single" w:sz="4" w:space="0" w:color="auto"/>
              <w:right w:val="nil"/>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75,00</w:t>
            </w:r>
          </w:p>
        </w:tc>
        <w:tc>
          <w:tcPr>
            <w:tcW w:w="660" w:type="pct"/>
            <w:tcBorders>
              <w:top w:val="nil"/>
              <w:left w:val="single" w:sz="4" w:space="0" w:color="auto"/>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1.388</w:t>
            </w:r>
          </w:p>
        </w:tc>
        <w:tc>
          <w:tcPr>
            <w:tcW w:w="666"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137,00</w:t>
            </w:r>
          </w:p>
        </w:tc>
        <w:tc>
          <w:tcPr>
            <w:tcW w:w="473"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1,17</w:t>
            </w:r>
          </w:p>
        </w:tc>
        <w:tc>
          <w:tcPr>
            <w:tcW w:w="407"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2,35</w:t>
            </w:r>
          </w:p>
        </w:tc>
        <w:tc>
          <w:tcPr>
            <w:tcW w:w="499"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2,82</w:t>
            </w:r>
          </w:p>
        </w:tc>
        <w:tc>
          <w:tcPr>
            <w:tcW w:w="499"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4,23</w:t>
            </w:r>
          </w:p>
        </w:tc>
      </w:tr>
      <w:tr w:rsidR="00B7206B" w:rsidRPr="00B7206B" w:rsidTr="002828C8">
        <w:trPr>
          <w:trHeight w:val="340"/>
        </w:trPr>
        <w:tc>
          <w:tcPr>
            <w:tcW w:w="374" w:type="pct"/>
            <w:tcBorders>
              <w:top w:val="nil"/>
              <w:left w:val="single" w:sz="4" w:space="0" w:color="auto"/>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2029</w:t>
            </w:r>
          </w:p>
        </w:tc>
        <w:tc>
          <w:tcPr>
            <w:tcW w:w="660"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1.836</w:t>
            </w:r>
          </w:p>
        </w:tc>
        <w:tc>
          <w:tcPr>
            <w:tcW w:w="763" w:type="pct"/>
            <w:tcBorders>
              <w:top w:val="nil"/>
              <w:left w:val="single" w:sz="4" w:space="0" w:color="auto"/>
              <w:bottom w:val="single" w:sz="4" w:space="0" w:color="auto"/>
              <w:right w:val="nil"/>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75,00</w:t>
            </w:r>
          </w:p>
        </w:tc>
        <w:tc>
          <w:tcPr>
            <w:tcW w:w="660" w:type="pct"/>
            <w:tcBorders>
              <w:top w:val="nil"/>
              <w:left w:val="single" w:sz="4" w:space="0" w:color="auto"/>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1.377</w:t>
            </w:r>
          </w:p>
        </w:tc>
        <w:tc>
          <w:tcPr>
            <w:tcW w:w="666"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137,00</w:t>
            </w:r>
          </w:p>
        </w:tc>
        <w:tc>
          <w:tcPr>
            <w:tcW w:w="473"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1,16</w:t>
            </w:r>
          </w:p>
        </w:tc>
        <w:tc>
          <w:tcPr>
            <w:tcW w:w="407"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2,33</w:t>
            </w:r>
          </w:p>
        </w:tc>
        <w:tc>
          <w:tcPr>
            <w:tcW w:w="499"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2,79</w:t>
            </w:r>
          </w:p>
        </w:tc>
        <w:tc>
          <w:tcPr>
            <w:tcW w:w="499"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4,19</w:t>
            </w:r>
          </w:p>
        </w:tc>
      </w:tr>
      <w:tr w:rsidR="00B7206B" w:rsidRPr="00B7206B" w:rsidTr="002828C8">
        <w:trPr>
          <w:trHeight w:val="340"/>
        </w:trPr>
        <w:tc>
          <w:tcPr>
            <w:tcW w:w="374" w:type="pct"/>
            <w:tcBorders>
              <w:top w:val="nil"/>
              <w:left w:val="single" w:sz="4" w:space="0" w:color="auto"/>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2030</w:t>
            </w:r>
          </w:p>
        </w:tc>
        <w:tc>
          <w:tcPr>
            <w:tcW w:w="660"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1.813</w:t>
            </w:r>
          </w:p>
        </w:tc>
        <w:tc>
          <w:tcPr>
            <w:tcW w:w="763" w:type="pct"/>
            <w:tcBorders>
              <w:top w:val="nil"/>
              <w:left w:val="single" w:sz="4" w:space="0" w:color="auto"/>
              <w:bottom w:val="single" w:sz="4" w:space="0" w:color="auto"/>
              <w:right w:val="nil"/>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75,00</w:t>
            </w:r>
          </w:p>
        </w:tc>
        <w:tc>
          <w:tcPr>
            <w:tcW w:w="660" w:type="pct"/>
            <w:tcBorders>
              <w:top w:val="nil"/>
              <w:left w:val="single" w:sz="4" w:space="0" w:color="auto"/>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1.360</w:t>
            </w:r>
          </w:p>
        </w:tc>
        <w:tc>
          <w:tcPr>
            <w:tcW w:w="666"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137,00</w:t>
            </w:r>
          </w:p>
        </w:tc>
        <w:tc>
          <w:tcPr>
            <w:tcW w:w="473"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1,15</w:t>
            </w:r>
          </w:p>
        </w:tc>
        <w:tc>
          <w:tcPr>
            <w:tcW w:w="407"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2,30</w:t>
            </w:r>
          </w:p>
        </w:tc>
        <w:tc>
          <w:tcPr>
            <w:tcW w:w="499"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2,76</w:t>
            </w:r>
          </w:p>
        </w:tc>
        <w:tc>
          <w:tcPr>
            <w:tcW w:w="499"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4,14</w:t>
            </w:r>
          </w:p>
        </w:tc>
      </w:tr>
      <w:tr w:rsidR="00B7206B" w:rsidRPr="00B7206B" w:rsidTr="002828C8">
        <w:trPr>
          <w:trHeight w:val="340"/>
        </w:trPr>
        <w:tc>
          <w:tcPr>
            <w:tcW w:w="374" w:type="pct"/>
            <w:tcBorders>
              <w:top w:val="nil"/>
              <w:left w:val="single" w:sz="4" w:space="0" w:color="auto"/>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2031</w:t>
            </w:r>
          </w:p>
        </w:tc>
        <w:tc>
          <w:tcPr>
            <w:tcW w:w="660"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1.795</w:t>
            </w:r>
          </w:p>
        </w:tc>
        <w:tc>
          <w:tcPr>
            <w:tcW w:w="763" w:type="pct"/>
            <w:tcBorders>
              <w:top w:val="nil"/>
              <w:left w:val="single" w:sz="4" w:space="0" w:color="auto"/>
              <w:bottom w:val="single" w:sz="4" w:space="0" w:color="auto"/>
              <w:right w:val="nil"/>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75,00</w:t>
            </w:r>
          </w:p>
        </w:tc>
        <w:tc>
          <w:tcPr>
            <w:tcW w:w="660" w:type="pct"/>
            <w:tcBorders>
              <w:top w:val="nil"/>
              <w:left w:val="single" w:sz="4" w:space="0" w:color="auto"/>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1.346</w:t>
            </w:r>
          </w:p>
        </w:tc>
        <w:tc>
          <w:tcPr>
            <w:tcW w:w="666"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137,00</w:t>
            </w:r>
          </w:p>
        </w:tc>
        <w:tc>
          <w:tcPr>
            <w:tcW w:w="473"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1,14</w:t>
            </w:r>
          </w:p>
        </w:tc>
        <w:tc>
          <w:tcPr>
            <w:tcW w:w="407"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2,28</w:t>
            </w:r>
          </w:p>
        </w:tc>
        <w:tc>
          <w:tcPr>
            <w:tcW w:w="499"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2,73</w:t>
            </w:r>
          </w:p>
        </w:tc>
        <w:tc>
          <w:tcPr>
            <w:tcW w:w="499"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4,10</w:t>
            </w:r>
          </w:p>
        </w:tc>
      </w:tr>
      <w:tr w:rsidR="00B7206B" w:rsidRPr="00B7206B" w:rsidTr="002828C8">
        <w:trPr>
          <w:trHeight w:val="340"/>
        </w:trPr>
        <w:tc>
          <w:tcPr>
            <w:tcW w:w="374" w:type="pct"/>
            <w:tcBorders>
              <w:top w:val="nil"/>
              <w:left w:val="single" w:sz="4" w:space="0" w:color="auto"/>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2032</w:t>
            </w:r>
          </w:p>
        </w:tc>
        <w:tc>
          <w:tcPr>
            <w:tcW w:w="660"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1.779</w:t>
            </w:r>
          </w:p>
        </w:tc>
        <w:tc>
          <w:tcPr>
            <w:tcW w:w="763" w:type="pct"/>
            <w:tcBorders>
              <w:top w:val="nil"/>
              <w:left w:val="single" w:sz="4" w:space="0" w:color="auto"/>
              <w:bottom w:val="single" w:sz="4" w:space="0" w:color="auto"/>
              <w:right w:val="nil"/>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75,00</w:t>
            </w:r>
          </w:p>
        </w:tc>
        <w:tc>
          <w:tcPr>
            <w:tcW w:w="660" w:type="pct"/>
            <w:tcBorders>
              <w:top w:val="nil"/>
              <w:left w:val="single" w:sz="4" w:space="0" w:color="auto"/>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1.334</w:t>
            </w:r>
          </w:p>
        </w:tc>
        <w:tc>
          <w:tcPr>
            <w:tcW w:w="666"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137,00</w:t>
            </w:r>
          </w:p>
        </w:tc>
        <w:tc>
          <w:tcPr>
            <w:tcW w:w="473"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1,13</w:t>
            </w:r>
          </w:p>
        </w:tc>
        <w:tc>
          <w:tcPr>
            <w:tcW w:w="407"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2,26</w:t>
            </w:r>
          </w:p>
        </w:tc>
        <w:tc>
          <w:tcPr>
            <w:tcW w:w="499"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2,71</w:t>
            </w:r>
          </w:p>
        </w:tc>
        <w:tc>
          <w:tcPr>
            <w:tcW w:w="499"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4,06</w:t>
            </w:r>
          </w:p>
        </w:tc>
      </w:tr>
      <w:tr w:rsidR="00B7206B" w:rsidRPr="00B7206B" w:rsidTr="002828C8">
        <w:trPr>
          <w:trHeight w:val="340"/>
        </w:trPr>
        <w:tc>
          <w:tcPr>
            <w:tcW w:w="374" w:type="pct"/>
            <w:tcBorders>
              <w:top w:val="nil"/>
              <w:left w:val="single" w:sz="4" w:space="0" w:color="auto"/>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2033</w:t>
            </w:r>
          </w:p>
        </w:tc>
        <w:tc>
          <w:tcPr>
            <w:tcW w:w="660"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1.770</w:t>
            </w:r>
          </w:p>
        </w:tc>
        <w:tc>
          <w:tcPr>
            <w:tcW w:w="763" w:type="pct"/>
            <w:tcBorders>
              <w:top w:val="nil"/>
              <w:left w:val="single" w:sz="4" w:space="0" w:color="auto"/>
              <w:bottom w:val="single" w:sz="4" w:space="0" w:color="auto"/>
              <w:right w:val="nil"/>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75,00</w:t>
            </w:r>
          </w:p>
        </w:tc>
        <w:tc>
          <w:tcPr>
            <w:tcW w:w="660" w:type="pct"/>
            <w:tcBorders>
              <w:top w:val="nil"/>
              <w:left w:val="single" w:sz="4" w:space="0" w:color="auto"/>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1.328</w:t>
            </w:r>
          </w:p>
        </w:tc>
        <w:tc>
          <w:tcPr>
            <w:tcW w:w="666"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137,00</w:t>
            </w:r>
          </w:p>
        </w:tc>
        <w:tc>
          <w:tcPr>
            <w:tcW w:w="473"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1,12</w:t>
            </w:r>
          </w:p>
        </w:tc>
        <w:tc>
          <w:tcPr>
            <w:tcW w:w="407"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2,25</w:t>
            </w:r>
          </w:p>
        </w:tc>
        <w:tc>
          <w:tcPr>
            <w:tcW w:w="499"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2,69</w:t>
            </w:r>
          </w:p>
        </w:tc>
        <w:tc>
          <w:tcPr>
            <w:tcW w:w="499"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4,04</w:t>
            </w:r>
          </w:p>
        </w:tc>
      </w:tr>
      <w:tr w:rsidR="00B7206B" w:rsidRPr="00B7206B" w:rsidTr="002828C8">
        <w:trPr>
          <w:trHeight w:val="340"/>
        </w:trPr>
        <w:tc>
          <w:tcPr>
            <w:tcW w:w="374" w:type="pct"/>
            <w:tcBorders>
              <w:top w:val="nil"/>
              <w:left w:val="single" w:sz="4" w:space="0" w:color="auto"/>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2034</w:t>
            </w:r>
          </w:p>
        </w:tc>
        <w:tc>
          <w:tcPr>
            <w:tcW w:w="660"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1.751</w:t>
            </w:r>
          </w:p>
        </w:tc>
        <w:tc>
          <w:tcPr>
            <w:tcW w:w="763" w:type="pct"/>
            <w:tcBorders>
              <w:top w:val="nil"/>
              <w:left w:val="single" w:sz="4" w:space="0" w:color="auto"/>
              <w:bottom w:val="single" w:sz="4" w:space="0" w:color="auto"/>
              <w:right w:val="nil"/>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75,00</w:t>
            </w:r>
          </w:p>
        </w:tc>
        <w:tc>
          <w:tcPr>
            <w:tcW w:w="660" w:type="pct"/>
            <w:tcBorders>
              <w:top w:val="nil"/>
              <w:left w:val="single" w:sz="4" w:space="0" w:color="auto"/>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1.313</w:t>
            </w:r>
          </w:p>
        </w:tc>
        <w:tc>
          <w:tcPr>
            <w:tcW w:w="666"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137,00</w:t>
            </w:r>
          </w:p>
        </w:tc>
        <w:tc>
          <w:tcPr>
            <w:tcW w:w="473"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1,11</w:t>
            </w:r>
          </w:p>
        </w:tc>
        <w:tc>
          <w:tcPr>
            <w:tcW w:w="407"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2,22</w:t>
            </w:r>
          </w:p>
        </w:tc>
        <w:tc>
          <w:tcPr>
            <w:tcW w:w="499"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2,67</w:t>
            </w:r>
          </w:p>
        </w:tc>
        <w:tc>
          <w:tcPr>
            <w:tcW w:w="499"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4,00</w:t>
            </w:r>
          </w:p>
        </w:tc>
      </w:tr>
      <w:tr w:rsidR="00B7206B" w:rsidRPr="00B7206B" w:rsidTr="002828C8">
        <w:trPr>
          <w:trHeight w:val="340"/>
        </w:trPr>
        <w:tc>
          <w:tcPr>
            <w:tcW w:w="374" w:type="pct"/>
            <w:tcBorders>
              <w:top w:val="nil"/>
              <w:left w:val="single" w:sz="4" w:space="0" w:color="auto"/>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2035</w:t>
            </w:r>
          </w:p>
        </w:tc>
        <w:tc>
          <w:tcPr>
            <w:tcW w:w="660"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1.730</w:t>
            </w:r>
          </w:p>
        </w:tc>
        <w:tc>
          <w:tcPr>
            <w:tcW w:w="763" w:type="pct"/>
            <w:tcBorders>
              <w:top w:val="nil"/>
              <w:left w:val="single" w:sz="4" w:space="0" w:color="auto"/>
              <w:bottom w:val="single" w:sz="4" w:space="0" w:color="auto"/>
              <w:right w:val="nil"/>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75,00</w:t>
            </w:r>
          </w:p>
        </w:tc>
        <w:tc>
          <w:tcPr>
            <w:tcW w:w="660" w:type="pct"/>
            <w:tcBorders>
              <w:top w:val="nil"/>
              <w:left w:val="single" w:sz="4" w:space="0" w:color="auto"/>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1.298</w:t>
            </w:r>
          </w:p>
        </w:tc>
        <w:tc>
          <w:tcPr>
            <w:tcW w:w="666"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137,00</w:t>
            </w:r>
          </w:p>
        </w:tc>
        <w:tc>
          <w:tcPr>
            <w:tcW w:w="473"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1,10</w:t>
            </w:r>
          </w:p>
        </w:tc>
        <w:tc>
          <w:tcPr>
            <w:tcW w:w="407"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2,19</w:t>
            </w:r>
          </w:p>
        </w:tc>
        <w:tc>
          <w:tcPr>
            <w:tcW w:w="499"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2,63</w:t>
            </w:r>
          </w:p>
        </w:tc>
        <w:tc>
          <w:tcPr>
            <w:tcW w:w="499"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3,95</w:t>
            </w:r>
          </w:p>
        </w:tc>
      </w:tr>
      <w:tr w:rsidR="00B7206B" w:rsidRPr="00B7206B" w:rsidTr="002828C8">
        <w:trPr>
          <w:trHeight w:val="340"/>
        </w:trPr>
        <w:tc>
          <w:tcPr>
            <w:tcW w:w="374" w:type="pct"/>
            <w:tcBorders>
              <w:top w:val="nil"/>
              <w:left w:val="single" w:sz="4" w:space="0" w:color="auto"/>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2036</w:t>
            </w:r>
          </w:p>
        </w:tc>
        <w:tc>
          <w:tcPr>
            <w:tcW w:w="660"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1.711</w:t>
            </w:r>
          </w:p>
        </w:tc>
        <w:tc>
          <w:tcPr>
            <w:tcW w:w="763" w:type="pct"/>
            <w:tcBorders>
              <w:top w:val="nil"/>
              <w:left w:val="single" w:sz="4" w:space="0" w:color="auto"/>
              <w:bottom w:val="single" w:sz="4" w:space="0" w:color="auto"/>
              <w:right w:val="nil"/>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75,00</w:t>
            </w:r>
          </w:p>
        </w:tc>
        <w:tc>
          <w:tcPr>
            <w:tcW w:w="660" w:type="pct"/>
            <w:tcBorders>
              <w:top w:val="nil"/>
              <w:left w:val="single" w:sz="4" w:space="0" w:color="auto"/>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1.283</w:t>
            </w:r>
          </w:p>
        </w:tc>
        <w:tc>
          <w:tcPr>
            <w:tcW w:w="666"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137,00</w:t>
            </w:r>
          </w:p>
        </w:tc>
        <w:tc>
          <w:tcPr>
            <w:tcW w:w="473"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1,09</w:t>
            </w:r>
          </w:p>
        </w:tc>
        <w:tc>
          <w:tcPr>
            <w:tcW w:w="407"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2,17</w:t>
            </w:r>
          </w:p>
        </w:tc>
        <w:tc>
          <w:tcPr>
            <w:tcW w:w="499"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2,60</w:t>
            </w:r>
          </w:p>
        </w:tc>
        <w:tc>
          <w:tcPr>
            <w:tcW w:w="499"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3,91</w:t>
            </w:r>
          </w:p>
        </w:tc>
      </w:tr>
      <w:tr w:rsidR="00B7206B" w:rsidRPr="00B7206B" w:rsidTr="002828C8">
        <w:trPr>
          <w:trHeight w:val="340"/>
        </w:trPr>
        <w:tc>
          <w:tcPr>
            <w:tcW w:w="374" w:type="pct"/>
            <w:tcBorders>
              <w:top w:val="nil"/>
              <w:left w:val="single" w:sz="4" w:space="0" w:color="auto"/>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2037</w:t>
            </w:r>
          </w:p>
        </w:tc>
        <w:tc>
          <w:tcPr>
            <w:tcW w:w="660"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1.702</w:t>
            </w:r>
          </w:p>
        </w:tc>
        <w:tc>
          <w:tcPr>
            <w:tcW w:w="763" w:type="pct"/>
            <w:tcBorders>
              <w:top w:val="nil"/>
              <w:left w:val="single" w:sz="4" w:space="0" w:color="auto"/>
              <w:bottom w:val="single" w:sz="4" w:space="0" w:color="auto"/>
              <w:right w:val="nil"/>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75,00</w:t>
            </w:r>
          </w:p>
        </w:tc>
        <w:tc>
          <w:tcPr>
            <w:tcW w:w="660" w:type="pct"/>
            <w:tcBorders>
              <w:top w:val="nil"/>
              <w:left w:val="single" w:sz="4" w:space="0" w:color="auto"/>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1.277</w:t>
            </w:r>
          </w:p>
        </w:tc>
        <w:tc>
          <w:tcPr>
            <w:tcW w:w="666"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137,00</w:t>
            </w:r>
          </w:p>
        </w:tc>
        <w:tc>
          <w:tcPr>
            <w:tcW w:w="473"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1,08</w:t>
            </w:r>
          </w:p>
        </w:tc>
        <w:tc>
          <w:tcPr>
            <w:tcW w:w="407"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2,16</w:t>
            </w:r>
          </w:p>
        </w:tc>
        <w:tc>
          <w:tcPr>
            <w:tcW w:w="499"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2,59</w:t>
            </w:r>
          </w:p>
        </w:tc>
        <w:tc>
          <w:tcPr>
            <w:tcW w:w="499"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3,89</w:t>
            </w:r>
          </w:p>
        </w:tc>
      </w:tr>
      <w:tr w:rsidR="00B7206B" w:rsidRPr="00B7206B" w:rsidTr="002828C8">
        <w:trPr>
          <w:trHeight w:val="340"/>
        </w:trPr>
        <w:tc>
          <w:tcPr>
            <w:tcW w:w="374" w:type="pct"/>
            <w:tcBorders>
              <w:top w:val="nil"/>
              <w:left w:val="single" w:sz="4" w:space="0" w:color="auto"/>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2038</w:t>
            </w:r>
          </w:p>
        </w:tc>
        <w:tc>
          <w:tcPr>
            <w:tcW w:w="660"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1.691</w:t>
            </w:r>
          </w:p>
        </w:tc>
        <w:tc>
          <w:tcPr>
            <w:tcW w:w="763" w:type="pct"/>
            <w:tcBorders>
              <w:top w:val="nil"/>
              <w:left w:val="single" w:sz="4" w:space="0" w:color="auto"/>
              <w:bottom w:val="single" w:sz="4" w:space="0" w:color="auto"/>
              <w:right w:val="nil"/>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75,00</w:t>
            </w:r>
          </w:p>
        </w:tc>
        <w:tc>
          <w:tcPr>
            <w:tcW w:w="660" w:type="pct"/>
            <w:tcBorders>
              <w:top w:val="nil"/>
              <w:left w:val="single" w:sz="4" w:space="0" w:color="auto"/>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1.268</w:t>
            </w:r>
          </w:p>
        </w:tc>
        <w:tc>
          <w:tcPr>
            <w:tcW w:w="666"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137,00</w:t>
            </w:r>
          </w:p>
        </w:tc>
        <w:tc>
          <w:tcPr>
            <w:tcW w:w="473"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1,07</w:t>
            </w:r>
          </w:p>
        </w:tc>
        <w:tc>
          <w:tcPr>
            <w:tcW w:w="407"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2,15</w:t>
            </w:r>
          </w:p>
        </w:tc>
        <w:tc>
          <w:tcPr>
            <w:tcW w:w="499"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2,57</w:t>
            </w:r>
          </w:p>
        </w:tc>
        <w:tc>
          <w:tcPr>
            <w:tcW w:w="499" w:type="pct"/>
            <w:tcBorders>
              <w:top w:val="nil"/>
              <w:left w:val="nil"/>
              <w:bottom w:val="single" w:sz="4" w:space="0" w:color="auto"/>
              <w:right w:val="single" w:sz="4" w:space="0" w:color="auto"/>
            </w:tcBorders>
            <w:shd w:val="clear" w:color="auto" w:fill="auto"/>
            <w:vAlign w:val="center"/>
            <w:hideMark/>
          </w:tcPr>
          <w:p w:rsidR="00B7206B" w:rsidRPr="00B7206B" w:rsidRDefault="00B7206B" w:rsidP="00B7206B">
            <w:pPr>
              <w:spacing w:line="240" w:lineRule="auto"/>
              <w:jc w:val="center"/>
              <w:rPr>
                <w:rFonts w:eastAsia="Times New Roman" w:cs="Arial"/>
                <w:color w:val="000000"/>
                <w:sz w:val="22"/>
                <w:lang w:eastAsia="pt-BR"/>
              </w:rPr>
            </w:pPr>
            <w:r w:rsidRPr="00B7206B">
              <w:rPr>
                <w:rFonts w:eastAsia="Times New Roman" w:cs="Arial"/>
                <w:color w:val="000000"/>
                <w:sz w:val="22"/>
                <w:lang w:eastAsia="pt-BR"/>
              </w:rPr>
              <w:t>3,86</w:t>
            </w:r>
          </w:p>
        </w:tc>
      </w:tr>
    </w:tbl>
    <w:p w:rsidR="005A0D0E" w:rsidRPr="00E972F5" w:rsidRDefault="00E972F5" w:rsidP="00E972F5">
      <w:pPr>
        <w:pStyle w:val="Fonte"/>
        <w:rPr>
          <w:rStyle w:val="Forte"/>
          <w:b w:val="0"/>
          <w:bCs w:val="0"/>
        </w:rPr>
      </w:pPr>
      <w:r w:rsidRPr="00E972F5">
        <w:rPr>
          <w:rStyle w:val="Forte"/>
          <w:b w:val="0"/>
          <w:bCs w:val="0"/>
        </w:rPr>
        <w:t>Fonte: SHS, 2017.</w:t>
      </w:r>
    </w:p>
    <w:p w:rsidR="005A0D0E" w:rsidRPr="00AE2764" w:rsidRDefault="005A0D0E" w:rsidP="002828C8">
      <w:pPr>
        <w:spacing w:before="120" w:after="120"/>
        <w:ind w:firstLine="709"/>
        <w:contextualSpacing/>
        <w:rPr>
          <w:lang w:eastAsia="pt-BR"/>
        </w:rPr>
      </w:pPr>
      <w:r w:rsidRPr="00AE2764">
        <w:rPr>
          <w:rFonts w:cs="Arial"/>
          <w:szCs w:val="24"/>
        </w:rPr>
        <w:t>Para o cálculo das vazões de infiltração, foi adotada uma taxa de infiltração de 0,2 L/</w:t>
      </w:r>
      <w:hyperlink r:id="rId25" w:tgtFrame="_blank" w:history="1">
        <w:r w:rsidRPr="00AE2764">
          <w:rPr>
            <w:rFonts w:cs="Arial"/>
            <w:szCs w:val="24"/>
          </w:rPr>
          <w:t>s.km</w:t>
        </w:r>
      </w:hyperlink>
      <w:r w:rsidRPr="00AE2764">
        <w:rPr>
          <w:rFonts w:cs="Arial"/>
          <w:szCs w:val="24"/>
        </w:rPr>
        <w:t xml:space="preserve"> (JORDÃO E PESSÔA, 2005). De acordo com o SNIS, em 2011, a extensão da rede existente era igual a </w:t>
      </w:r>
      <w:r w:rsidRPr="00AE2764">
        <w:rPr>
          <w:szCs w:val="24"/>
        </w:rPr>
        <w:t>15 </w:t>
      </w:r>
      <w:r w:rsidRPr="00AE2764">
        <w:rPr>
          <w:rFonts w:cs="Arial"/>
          <w:szCs w:val="24"/>
        </w:rPr>
        <w:t>km</w:t>
      </w:r>
      <w:r w:rsidR="0091724F" w:rsidRPr="00AE2764">
        <w:rPr>
          <w:rFonts w:cs="Arial"/>
          <w:szCs w:val="24"/>
        </w:rPr>
        <w:t xml:space="preserve"> e</w:t>
      </w:r>
      <w:r w:rsidR="00F93D81">
        <w:rPr>
          <w:rFonts w:cs="Arial"/>
          <w:szCs w:val="24"/>
        </w:rPr>
        <w:t>,</w:t>
      </w:r>
      <w:r w:rsidR="0091724F" w:rsidRPr="00AE2764">
        <w:rPr>
          <w:rFonts w:cs="Arial"/>
          <w:szCs w:val="24"/>
        </w:rPr>
        <w:t xml:space="preserve"> segundo a </w:t>
      </w:r>
      <w:r w:rsidR="00AE2764" w:rsidRPr="00AE2764">
        <w:rPr>
          <w:rFonts w:cs="Arial"/>
          <w:szCs w:val="24"/>
        </w:rPr>
        <w:t>P</w:t>
      </w:r>
      <w:r w:rsidR="0091724F" w:rsidRPr="00AE2764">
        <w:rPr>
          <w:rFonts w:cs="Arial"/>
          <w:szCs w:val="24"/>
        </w:rPr>
        <w:t xml:space="preserve">refeitura </w:t>
      </w:r>
      <w:r w:rsidR="00AE2764" w:rsidRPr="00AE2764">
        <w:rPr>
          <w:rFonts w:cs="Arial"/>
          <w:szCs w:val="24"/>
        </w:rPr>
        <w:t>Municipal</w:t>
      </w:r>
      <w:r w:rsidR="00F93D81">
        <w:rPr>
          <w:rFonts w:cs="Arial"/>
          <w:szCs w:val="24"/>
        </w:rPr>
        <w:t>,</w:t>
      </w:r>
      <w:r w:rsidR="00AE2764" w:rsidRPr="00AE2764">
        <w:rPr>
          <w:rFonts w:cs="Arial"/>
          <w:szCs w:val="24"/>
        </w:rPr>
        <w:t xml:space="preserve"> </w:t>
      </w:r>
      <w:r w:rsidR="0091724F" w:rsidRPr="00AE2764">
        <w:rPr>
          <w:rFonts w:cs="Arial"/>
          <w:szCs w:val="24"/>
        </w:rPr>
        <w:t>foi para 17 km em 2017</w:t>
      </w:r>
      <w:r w:rsidR="00AE2764" w:rsidRPr="00AE2764">
        <w:rPr>
          <w:rFonts w:cs="Arial"/>
          <w:szCs w:val="24"/>
        </w:rPr>
        <w:t xml:space="preserve">. Foi utilizado o </w:t>
      </w:r>
      <w:r w:rsidR="00A80B45" w:rsidRPr="00AE2764">
        <w:rPr>
          <w:rFonts w:cs="Arial"/>
          <w:szCs w:val="24"/>
        </w:rPr>
        <w:t>dado mais atualizado</w:t>
      </w:r>
      <w:r w:rsidRPr="00AE2764">
        <w:rPr>
          <w:rFonts w:cs="Arial"/>
          <w:szCs w:val="24"/>
        </w:rPr>
        <w:t xml:space="preserve">. </w:t>
      </w:r>
      <w:r w:rsidRPr="00AE2764">
        <w:rPr>
          <w:lang w:eastAsia="pt-BR"/>
        </w:rPr>
        <w:t>Pode-se observar que a população para este município decresce com o passar dos anos e por isso a extensão de rede prevista (futura)</w:t>
      </w:r>
      <w:r w:rsidR="00984457" w:rsidRPr="00AE2764">
        <w:rPr>
          <w:lang w:eastAsia="pt-BR"/>
        </w:rPr>
        <w:t>,</w:t>
      </w:r>
      <w:r w:rsidRPr="00AE2764">
        <w:rPr>
          <w:lang w:eastAsia="pt-BR"/>
        </w:rPr>
        <w:t xml:space="preserve"> que é calculada pelo aumento de número de habitantes</w:t>
      </w:r>
      <w:r w:rsidR="00984457" w:rsidRPr="00AE2764">
        <w:rPr>
          <w:lang w:eastAsia="pt-BR"/>
        </w:rPr>
        <w:t>,</w:t>
      </w:r>
      <w:r w:rsidRPr="00AE2764">
        <w:rPr>
          <w:lang w:eastAsia="pt-BR"/>
        </w:rPr>
        <w:t xml:space="preserve"> é nula, ou seja, não haverá expansão de rede de esgoto em fu</w:t>
      </w:r>
      <w:r w:rsidR="00902713" w:rsidRPr="00AE2764">
        <w:rPr>
          <w:lang w:eastAsia="pt-BR"/>
        </w:rPr>
        <w:t xml:space="preserve">nção do decréscimo populacional. A extensão da rede em 17 km já </w:t>
      </w:r>
      <w:r w:rsidR="00AE2764" w:rsidRPr="00AE2764">
        <w:rPr>
          <w:lang w:eastAsia="pt-BR"/>
        </w:rPr>
        <w:t>será</w:t>
      </w:r>
      <w:r w:rsidR="00902713" w:rsidRPr="00AE2764">
        <w:rPr>
          <w:lang w:eastAsia="pt-BR"/>
        </w:rPr>
        <w:t xml:space="preserve"> suficiente para quando a população atingir 100% de</w:t>
      </w:r>
      <w:r w:rsidR="005548B1" w:rsidRPr="00AE2764">
        <w:rPr>
          <w:lang w:eastAsia="pt-BR"/>
        </w:rPr>
        <w:t xml:space="preserve"> índice de</w:t>
      </w:r>
      <w:r w:rsidR="00902713" w:rsidRPr="00AE2764">
        <w:rPr>
          <w:lang w:eastAsia="pt-BR"/>
        </w:rPr>
        <w:t xml:space="preserve"> cobertura.</w:t>
      </w:r>
    </w:p>
    <w:p w:rsidR="005A0D0E" w:rsidRDefault="005A0D0E" w:rsidP="002828C8">
      <w:pPr>
        <w:shd w:val="clear" w:color="auto" w:fill="FFFFFF"/>
        <w:spacing w:before="120" w:after="120"/>
        <w:ind w:firstLine="709"/>
        <w:contextualSpacing/>
        <w:rPr>
          <w:rFonts w:cs="Arial"/>
          <w:szCs w:val="24"/>
        </w:rPr>
      </w:pPr>
      <w:r w:rsidRPr="00AE2764">
        <w:rPr>
          <w:rFonts w:cs="Arial"/>
          <w:szCs w:val="24"/>
        </w:rPr>
        <w:t xml:space="preserve">Com base nesses valores, foram </w:t>
      </w:r>
      <w:r w:rsidRPr="00DA6A87">
        <w:rPr>
          <w:rFonts w:cs="Arial"/>
          <w:szCs w:val="24"/>
        </w:rPr>
        <w:t xml:space="preserve">obtidas as vazões de infiltração para o cenário previsível. O </w:t>
      </w:r>
      <w:r w:rsidRPr="00DA6A87">
        <w:rPr>
          <w:rFonts w:cs="Arial"/>
          <w:szCs w:val="24"/>
        </w:rPr>
        <w:fldChar w:fldCharType="begin"/>
      </w:r>
      <w:r w:rsidRPr="00DA6A87">
        <w:rPr>
          <w:rFonts w:cs="Arial"/>
          <w:szCs w:val="24"/>
        </w:rPr>
        <w:instrText xml:space="preserve"> REF _Ref484678435 \h  \* MERGEFORMAT </w:instrText>
      </w:r>
      <w:r w:rsidRPr="00DA6A87">
        <w:rPr>
          <w:rFonts w:cs="Arial"/>
          <w:szCs w:val="24"/>
        </w:rPr>
      </w:r>
      <w:r w:rsidRPr="00DA6A87">
        <w:rPr>
          <w:rFonts w:cs="Arial"/>
          <w:szCs w:val="24"/>
        </w:rPr>
        <w:fldChar w:fldCharType="separate"/>
      </w:r>
      <w:r w:rsidR="004D1D76" w:rsidRPr="00DA6A87">
        <w:t xml:space="preserve">Quadro </w:t>
      </w:r>
      <w:r w:rsidR="004D1D76">
        <w:t>8</w:t>
      </w:r>
      <w:r w:rsidRPr="00DA6A87">
        <w:rPr>
          <w:rFonts w:cs="Arial"/>
          <w:szCs w:val="24"/>
        </w:rPr>
        <w:fldChar w:fldCharType="end"/>
      </w:r>
      <w:r w:rsidRPr="00DA6A87">
        <w:rPr>
          <w:rFonts w:cs="Arial"/>
          <w:szCs w:val="24"/>
        </w:rPr>
        <w:t xml:space="preserve"> apresenta os resultados obtidos para Córrego Novo.</w:t>
      </w:r>
    </w:p>
    <w:p w:rsidR="008E4542" w:rsidRDefault="008E4542" w:rsidP="002828C8">
      <w:pPr>
        <w:shd w:val="clear" w:color="auto" w:fill="FFFFFF"/>
        <w:spacing w:before="120" w:after="120"/>
        <w:ind w:firstLine="709"/>
        <w:contextualSpacing/>
        <w:rPr>
          <w:rFonts w:cs="Arial"/>
          <w:szCs w:val="24"/>
        </w:rPr>
      </w:pPr>
    </w:p>
    <w:p w:rsidR="0068600A" w:rsidRDefault="0068600A" w:rsidP="005A0D0E">
      <w:pPr>
        <w:shd w:val="clear" w:color="auto" w:fill="FFFFFF"/>
        <w:ind w:firstLine="709"/>
        <w:rPr>
          <w:rFonts w:cs="Arial"/>
          <w:szCs w:val="24"/>
        </w:rPr>
      </w:pPr>
    </w:p>
    <w:p w:rsidR="008E4542" w:rsidRDefault="008E4542" w:rsidP="005A0D0E">
      <w:pPr>
        <w:shd w:val="clear" w:color="auto" w:fill="FFFFFF"/>
        <w:ind w:firstLine="709"/>
        <w:rPr>
          <w:rFonts w:cs="Arial"/>
          <w:szCs w:val="24"/>
        </w:rPr>
      </w:pPr>
    </w:p>
    <w:p w:rsidR="005A0D0E" w:rsidRPr="00DA6A87" w:rsidRDefault="005A0D0E" w:rsidP="005A0D0E">
      <w:pPr>
        <w:pStyle w:val="Legenda"/>
      </w:pPr>
      <w:bookmarkStart w:id="98" w:name="_Ref484678435"/>
      <w:bookmarkStart w:id="99" w:name="_Toc433969066"/>
      <w:bookmarkStart w:id="100" w:name="_Toc482622524"/>
      <w:bookmarkStart w:id="101" w:name="_Toc497469129"/>
      <w:r w:rsidRPr="00DA6A87">
        <w:lastRenderedPageBreak/>
        <w:t xml:space="preserve">Quadro </w:t>
      </w:r>
      <w:r w:rsidR="00D71C43">
        <w:fldChar w:fldCharType="begin"/>
      </w:r>
      <w:r w:rsidR="00D71C43">
        <w:instrText xml:space="preserve"> SEQ Quadro \* ARABIC </w:instrText>
      </w:r>
      <w:r w:rsidR="00D71C43">
        <w:fldChar w:fldCharType="separate"/>
      </w:r>
      <w:r w:rsidR="004D1D76">
        <w:rPr>
          <w:noProof/>
        </w:rPr>
        <w:t>8</w:t>
      </w:r>
      <w:r w:rsidR="00D71C43">
        <w:rPr>
          <w:noProof/>
        </w:rPr>
        <w:fldChar w:fldCharType="end"/>
      </w:r>
      <w:bookmarkEnd w:id="98"/>
      <w:r w:rsidRPr="00DA6A87">
        <w:t xml:space="preserve"> - Evolução da contribuição de infiltração </w:t>
      </w:r>
      <w:bookmarkEnd w:id="99"/>
      <w:bookmarkEnd w:id="100"/>
      <w:r w:rsidRPr="00DA6A87">
        <w:rPr>
          <w:lang w:val="pt-BR"/>
        </w:rPr>
        <w:t>do município</w:t>
      </w:r>
      <w:r w:rsidRPr="00DA6A87">
        <w:t xml:space="preserve"> de Córrego Novo</w:t>
      </w:r>
      <w:bookmarkEnd w:id="101"/>
    </w:p>
    <w:tbl>
      <w:tblPr>
        <w:tblW w:w="5000" w:type="pct"/>
        <w:tblCellMar>
          <w:left w:w="70" w:type="dxa"/>
          <w:right w:w="70" w:type="dxa"/>
        </w:tblCellMar>
        <w:tblLook w:val="04A0" w:firstRow="1" w:lastRow="0" w:firstColumn="1" w:lastColumn="0" w:noHBand="0" w:noVBand="1"/>
      </w:tblPr>
      <w:tblGrid>
        <w:gridCol w:w="935"/>
        <w:gridCol w:w="1559"/>
        <w:gridCol w:w="1504"/>
        <w:gridCol w:w="1318"/>
        <w:gridCol w:w="1039"/>
        <w:gridCol w:w="1559"/>
        <w:gridCol w:w="1580"/>
      </w:tblGrid>
      <w:tr w:rsidR="004F5AE2" w:rsidRPr="002F5DE3" w:rsidTr="002828C8">
        <w:trPr>
          <w:trHeight w:val="340"/>
        </w:trPr>
        <w:tc>
          <w:tcPr>
            <w:tcW w:w="49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b/>
                <w:bCs/>
                <w:color w:val="000000"/>
                <w:sz w:val="22"/>
                <w:lang w:eastAsia="pt-BR"/>
              </w:rPr>
            </w:pPr>
            <w:r w:rsidRPr="002F5DE3">
              <w:rPr>
                <w:rFonts w:eastAsia="Times New Roman" w:cs="Arial"/>
                <w:b/>
                <w:bCs/>
                <w:color w:val="000000"/>
                <w:sz w:val="22"/>
                <w:lang w:eastAsia="pt-BR"/>
              </w:rPr>
              <w:t>Ano</w:t>
            </w:r>
          </w:p>
        </w:tc>
        <w:tc>
          <w:tcPr>
            <w:tcW w:w="82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F5AE2" w:rsidRPr="002F5DE3" w:rsidRDefault="004F5AE2" w:rsidP="00642595">
            <w:pPr>
              <w:spacing w:line="240" w:lineRule="auto"/>
              <w:jc w:val="center"/>
              <w:rPr>
                <w:rFonts w:eastAsia="Times New Roman" w:cs="Arial"/>
                <w:b/>
                <w:bCs/>
                <w:color w:val="000000"/>
                <w:sz w:val="22"/>
                <w:lang w:eastAsia="pt-BR"/>
              </w:rPr>
            </w:pPr>
            <w:r w:rsidRPr="002F5DE3">
              <w:rPr>
                <w:rFonts w:eastAsia="Times New Roman" w:cs="Arial"/>
                <w:b/>
                <w:bCs/>
                <w:color w:val="000000"/>
                <w:sz w:val="22"/>
                <w:lang w:eastAsia="pt-BR"/>
              </w:rPr>
              <w:t>População urbana atendida (hab.)</w:t>
            </w:r>
          </w:p>
        </w:tc>
        <w:tc>
          <w:tcPr>
            <w:tcW w:w="2033" w:type="pct"/>
            <w:gridSpan w:val="3"/>
            <w:tcBorders>
              <w:top w:val="single" w:sz="4" w:space="0" w:color="auto"/>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b/>
                <w:bCs/>
                <w:color w:val="000000"/>
                <w:sz w:val="22"/>
                <w:lang w:eastAsia="pt-BR"/>
              </w:rPr>
            </w:pPr>
            <w:r w:rsidRPr="002F5DE3">
              <w:rPr>
                <w:rFonts w:eastAsia="Times New Roman" w:cs="Arial"/>
                <w:b/>
                <w:bCs/>
                <w:color w:val="000000"/>
                <w:sz w:val="22"/>
                <w:lang w:eastAsia="pt-BR"/>
              </w:rPr>
              <w:t>Extensão (m)</w:t>
            </w:r>
          </w:p>
        </w:tc>
        <w:tc>
          <w:tcPr>
            <w:tcW w:w="1653" w:type="pct"/>
            <w:gridSpan w:val="2"/>
            <w:tcBorders>
              <w:top w:val="single" w:sz="4" w:space="0" w:color="auto"/>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b/>
                <w:bCs/>
                <w:color w:val="000000"/>
                <w:sz w:val="22"/>
                <w:lang w:eastAsia="pt-BR"/>
              </w:rPr>
            </w:pPr>
            <w:r w:rsidRPr="002F5DE3">
              <w:rPr>
                <w:rFonts w:eastAsia="Times New Roman" w:cs="Arial"/>
                <w:b/>
                <w:bCs/>
                <w:color w:val="000000"/>
                <w:sz w:val="22"/>
                <w:lang w:eastAsia="pt-BR"/>
              </w:rPr>
              <w:t>Contribuição de infiltração</w:t>
            </w:r>
          </w:p>
        </w:tc>
      </w:tr>
      <w:tr w:rsidR="004F5AE2" w:rsidRPr="002F5DE3" w:rsidTr="002828C8">
        <w:trPr>
          <w:trHeight w:val="340"/>
        </w:trPr>
        <w:tc>
          <w:tcPr>
            <w:tcW w:w="492" w:type="pct"/>
            <w:vMerge/>
            <w:tcBorders>
              <w:top w:val="single" w:sz="4" w:space="0" w:color="auto"/>
              <w:left w:val="single" w:sz="4" w:space="0" w:color="auto"/>
              <w:bottom w:val="single" w:sz="4" w:space="0" w:color="auto"/>
              <w:right w:val="single" w:sz="4" w:space="0" w:color="auto"/>
            </w:tcBorders>
            <w:vAlign w:val="center"/>
            <w:hideMark/>
          </w:tcPr>
          <w:p w:rsidR="004F5AE2" w:rsidRPr="002F5DE3" w:rsidRDefault="004F5AE2" w:rsidP="00642595">
            <w:pPr>
              <w:spacing w:line="240" w:lineRule="auto"/>
              <w:jc w:val="left"/>
              <w:rPr>
                <w:rFonts w:eastAsia="Times New Roman" w:cs="Arial"/>
                <w:b/>
                <w:bCs/>
                <w:color w:val="000000"/>
                <w:sz w:val="22"/>
                <w:lang w:eastAsia="pt-BR"/>
              </w:rPr>
            </w:pPr>
          </w:p>
        </w:tc>
        <w:tc>
          <w:tcPr>
            <w:tcW w:w="821" w:type="pct"/>
            <w:vMerge/>
            <w:tcBorders>
              <w:top w:val="single" w:sz="4" w:space="0" w:color="auto"/>
              <w:left w:val="single" w:sz="4" w:space="0" w:color="auto"/>
              <w:bottom w:val="single" w:sz="4" w:space="0" w:color="auto"/>
              <w:right w:val="single" w:sz="4" w:space="0" w:color="auto"/>
            </w:tcBorders>
            <w:vAlign w:val="center"/>
            <w:hideMark/>
          </w:tcPr>
          <w:p w:rsidR="004F5AE2" w:rsidRPr="002F5DE3" w:rsidRDefault="004F5AE2" w:rsidP="00642595">
            <w:pPr>
              <w:spacing w:line="240" w:lineRule="auto"/>
              <w:jc w:val="left"/>
              <w:rPr>
                <w:rFonts w:eastAsia="Times New Roman" w:cs="Arial"/>
                <w:b/>
                <w:bCs/>
                <w:color w:val="000000"/>
                <w:sz w:val="22"/>
                <w:lang w:eastAsia="pt-BR"/>
              </w:rPr>
            </w:pPr>
          </w:p>
        </w:tc>
        <w:tc>
          <w:tcPr>
            <w:tcW w:w="792"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b/>
                <w:bCs/>
                <w:color w:val="000000"/>
                <w:sz w:val="22"/>
                <w:lang w:eastAsia="pt-BR"/>
              </w:rPr>
            </w:pPr>
            <w:r w:rsidRPr="002F5DE3">
              <w:rPr>
                <w:rFonts w:eastAsia="Times New Roman" w:cs="Arial"/>
                <w:b/>
                <w:bCs/>
                <w:color w:val="000000"/>
                <w:sz w:val="22"/>
                <w:lang w:eastAsia="pt-BR"/>
              </w:rPr>
              <w:t>Existente</w:t>
            </w:r>
          </w:p>
        </w:tc>
        <w:tc>
          <w:tcPr>
            <w:tcW w:w="694"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b/>
                <w:bCs/>
                <w:color w:val="000000"/>
                <w:sz w:val="22"/>
                <w:lang w:eastAsia="pt-BR"/>
              </w:rPr>
            </w:pPr>
            <w:r w:rsidRPr="002F5DE3">
              <w:rPr>
                <w:rFonts w:eastAsia="Times New Roman" w:cs="Arial"/>
                <w:b/>
                <w:bCs/>
                <w:color w:val="000000"/>
                <w:sz w:val="22"/>
                <w:lang w:eastAsia="pt-BR"/>
              </w:rPr>
              <w:t>Prevista</w:t>
            </w:r>
          </w:p>
        </w:tc>
        <w:tc>
          <w:tcPr>
            <w:tcW w:w="547"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b/>
                <w:bCs/>
                <w:color w:val="000000"/>
                <w:sz w:val="22"/>
                <w:lang w:eastAsia="pt-BR"/>
              </w:rPr>
            </w:pPr>
            <w:r w:rsidRPr="002F5DE3">
              <w:rPr>
                <w:rFonts w:eastAsia="Times New Roman" w:cs="Arial"/>
                <w:b/>
                <w:bCs/>
                <w:color w:val="000000"/>
                <w:sz w:val="22"/>
                <w:lang w:eastAsia="pt-BR"/>
              </w:rPr>
              <w:t>Total</w:t>
            </w:r>
          </w:p>
        </w:tc>
        <w:tc>
          <w:tcPr>
            <w:tcW w:w="821" w:type="pct"/>
            <w:tcBorders>
              <w:top w:val="nil"/>
              <w:left w:val="nil"/>
              <w:bottom w:val="single" w:sz="4" w:space="0" w:color="auto"/>
              <w:right w:val="single" w:sz="4" w:space="0" w:color="auto"/>
            </w:tcBorders>
            <w:shd w:val="clear" w:color="auto" w:fill="auto"/>
            <w:vAlign w:val="center"/>
            <w:hideMark/>
          </w:tcPr>
          <w:p w:rsidR="004F5AE2" w:rsidRPr="002F5DE3" w:rsidRDefault="004F5AE2" w:rsidP="00642595">
            <w:pPr>
              <w:spacing w:line="240" w:lineRule="auto"/>
              <w:jc w:val="center"/>
              <w:rPr>
                <w:rFonts w:eastAsia="Times New Roman" w:cs="Arial"/>
                <w:b/>
                <w:bCs/>
                <w:color w:val="000000"/>
                <w:sz w:val="22"/>
                <w:lang w:eastAsia="pt-BR"/>
              </w:rPr>
            </w:pPr>
            <w:r w:rsidRPr="002F5DE3">
              <w:rPr>
                <w:rFonts w:eastAsia="Times New Roman" w:cs="Arial"/>
                <w:b/>
                <w:bCs/>
                <w:color w:val="000000"/>
                <w:sz w:val="22"/>
                <w:lang w:eastAsia="pt-BR"/>
              </w:rPr>
              <w:t>Taxa (L/s.Km)</w:t>
            </w:r>
          </w:p>
        </w:tc>
        <w:tc>
          <w:tcPr>
            <w:tcW w:w="832" w:type="pct"/>
            <w:tcBorders>
              <w:top w:val="nil"/>
              <w:left w:val="nil"/>
              <w:bottom w:val="single" w:sz="4" w:space="0" w:color="auto"/>
              <w:right w:val="single" w:sz="4" w:space="0" w:color="auto"/>
            </w:tcBorders>
            <w:shd w:val="clear" w:color="auto" w:fill="auto"/>
            <w:vAlign w:val="center"/>
            <w:hideMark/>
          </w:tcPr>
          <w:p w:rsidR="004F5AE2" w:rsidRPr="002F5DE3" w:rsidRDefault="004F5AE2" w:rsidP="00642595">
            <w:pPr>
              <w:spacing w:line="240" w:lineRule="auto"/>
              <w:jc w:val="center"/>
              <w:rPr>
                <w:rFonts w:eastAsia="Times New Roman" w:cs="Arial"/>
                <w:b/>
                <w:bCs/>
                <w:color w:val="000000"/>
                <w:sz w:val="22"/>
                <w:lang w:eastAsia="pt-BR"/>
              </w:rPr>
            </w:pPr>
            <w:r w:rsidRPr="002F5DE3">
              <w:rPr>
                <w:rFonts w:eastAsia="Times New Roman" w:cs="Arial"/>
                <w:b/>
                <w:bCs/>
                <w:color w:val="000000"/>
                <w:sz w:val="22"/>
                <w:lang w:eastAsia="pt-BR"/>
              </w:rPr>
              <w:t>Vazão (L/s)</w:t>
            </w:r>
          </w:p>
        </w:tc>
      </w:tr>
      <w:tr w:rsidR="004F5AE2" w:rsidRPr="002F5DE3" w:rsidTr="002828C8">
        <w:trPr>
          <w:trHeight w:val="340"/>
        </w:trPr>
        <w:tc>
          <w:tcPr>
            <w:tcW w:w="492" w:type="pct"/>
            <w:tcBorders>
              <w:top w:val="nil"/>
              <w:left w:val="single" w:sz="4" w:space="0" w:color="auto"/>
              <w:bottom w:val="single" w:sz="4" w:space="0" w:color="auto"/>
              <w:right w:val="single" w:sz="4" w:space="0" w:color="auto"/>
            </w:tcBorders>
            <w:shd w:val="clear" w:color="auto" w:fill="auto"/>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2017</w:t>
            </w:r>
          </w:p>
        </w:tc>
        <w:tc>
          <w:tcPr>
            <w:tcW w:w="821" w:type="pct"/>
            <w:tcBorders>
              <w:top w:val="nil"/>
              <w:left w:val="nil"/>
              <w:bottom w:val="single" w:sz="4" w:space="0" w:color="auto"/>
              <w:right w:val="single" w:sz="4" w:space="0" w:color="auto"/>
            </w:tcBorders>
            <w:shd w:val="clear" w:color="auto" w:fill="auto"/>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1.487</w:t>
            </w:r>
          </w:p>
        </w:tc>
        <w:tc>
          <w:tcPr>
            <w:tcW w:w="792"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17.000</w:t>
            </w:r>
          </w:p>
        </w:tc>
        <w:tc>
          <w:tcPr>
            <w:tcW w:w="694"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0</w:t>
            </w:r>
          </w:p>
        </w:tc>
        <w:tc>
          <w:tcPr>
            <w:tcW w:w="547"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17.000</w:t>
            </w:r>
          </w:p>
        </w:tc>
        <w:tc>
          <w:tcPr>
            <w:tcW w:w="821"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0,2</w:t>
            </w:r>
          </w:p>
        </w:tc>
        <w:tc>
          <w:tcPr>
            <w:tcW w:w="832"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3,40</w:t>
            </w:r>
          </w:p>
        </w:tc>
      </w:tr>
      <w:tr w:rsidR="004F5AE2" w:rsidRPr="002F5DE3" w:rsidTr="002828C8">
        <w:trPr>
          <w:trHeight w:val="340"/>
        </w:trPr>
        <w:tc>
          <w:tcPr>
            <w:tcW w:w="492" w:type="pct"/>
            <w:tcBorders>
              <w:top w:val="nil"/>
              <w:left w:val="single" w:sz="4" w:space="0" w:color="auto"/>
              <w:bottom w:val="single" w:sz="4" w:space="0" w:color="auto"/>
              <w:right w:val="single" w:sz="4" w:space="0" w:color="auto"/>
            </w:tcBorders>
            <w:shd w:val="clear" w:color="auto" w:fill="auto"/>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2018</w:t>
            </w:r>
          </w:p>
        </w:tc>
        <w:tc>
          <w:tcPr>
            <w:tcW w:w="821" w:type="pct"/>
            <w:tcBorders>
              <w:top w:val="nil"/>
              <w:left w:val="nil"/>
              <w:bottom w:val="single" w:sz="4" w:space="0" w:color="auto"/>
              <w:right w:val="single" w:sz="4" w:space="0" w:color="auto"/>
            </w:tcBorders>
            <w:shd w:val="clear" w:color="auto" w:fill="auto"/>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1.477</w:t>
            </w:r>
          </w:p>
        </w:tc>
        <w:tc>
          <w:tcPr>
            <w:tcW w:w="792"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17.000</w:t>
            </w:r>
          </w:p>
        </w:tc>
        <w:tc>
          <w:tcPr>
            <w:tcW w:w="694"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0</w:t>
            </w:r>
          </w:p>
        </w:tc>
        <w:tc>
          <w:tcPr>
            <w:tcW w:w="547"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17.000</w:t>
            </w:r>
          </w:p>
        </w:tc>
        <w:tc>
          <w:tcPr>
            <w:tcW w:w="821"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0,2</w:t>
            </w:r>
          </w:p>
        </w:tc>
        <w:tc>
          <w:tcPr>
            <w:tcW w:w="832"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3,40</w:t>
            </w:r>
          </w:p>
        </w:tc>
      </w:tr>
      <w:tr w:rsidR="004F5AE2" w:rsidRPr="002F5DE3" w:rsidTr="002828C8">
        <w:trPr>
          <w:trHeight w:val="340"/>
        </w:trPr>
        <w:tc>
          <w:tcPr>
            <w:tcW w:w="492" w:type="pct"/>
            <w:tcBorders>
              <w:top w:val="nil"/>
              <w:left w:val="single" w:sz="4" w:space="0" w:color="auto"/>
              <w:bottom w:val="single" w:sz="4" w:space="0" w:color="auto"/>
              <w:right w:val="single" w:sz="4" w:space="0" w:color="auto"/>
            </w:tcBorders>
            <w:shd w:val="clear" w:color="auto" w:fill="auto"/>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2019</w:t>
            </w:r>
          </w:p>
        </w:tc>
        <w:tc>
          <w:tcPr>
            <w:tcW w:w="821" w:type="pct"/>
            <w:tcBorders>
              <w:top w:val="nil"/>
              <w:left w:val="nil"/>
              <w:bottom w:val="single" w:sz="4" w:space="0" w:color="auto"/>
              <w:right w:val="single" w:sz="4" w:space="0" w:color="auto"/>
            </w:tcBorders>
            <w:shd w:val="clear" w:color="auto" w:fill="auto"/>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1.469</w:t>
            </w:r>
          </w:p>
        </w:tc>
        <w:tc>
          <w:tcPr>
            <w:tcW w:w="792"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17.000</w:t>
            </w:r>
          </w:p>
        </w:tc>
        <w:tc>
          <w:tcPr>
            <w:tcW w:w="694"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0</w:t>
            </w:r>
          </w:p>
        </w:tc>
        <w:tc>
          <w:tcPr>
            <w:tcW w:w="547"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17.000</w:t>
            </w:r>
          </w:p>
        </w:tc>
        <w:tc>
          <w:tcPr>
            <w:tcW w:w="821"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0,2</w:t>
            </w:r>
          </w:p>
        </w:tc>
        <w:tc>
          <w:tcPr>
            <w:tcW w:w="832"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3,40</w:t>
            </w:r>
          </w:p>
        </w:tc>
      </w:tr>
      <w:tr w:rsidR="004F5AE2" w:rsidRPr="002F5DE3" w:rsidTr="002828C8">
        <w:trPr>
          <w:trHeight w:val="340"/>
        </w:trPr>
        <w:tc>
          <w:tcPr>
            <w:tcW w:w="492" w:type="pct"/>
            <w:tcBorders>
              <w:top w:val="nil"/>
              <w:left w:val="single" w:sz="4" w:space="0" w:color="auto"/>
              <w:bottom w:val="single" w:sz="4" w:space="0" w:color="auto"/>
              <w:right w:val="single" w:sz="4" w:space="0" w:color="auto"/>
            </w:tcBorders>
            <w:shd w:val="clear" w:color="auto" w:fill="auto"/>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2020</w:t>
            </w:r>
          </w:p>
        </w:tc>
        <w:tc>
          <w:tcPr>
            <w:tcW w:w="821" w:type="pct"/>
            <w:tcBorders>
              <w:top w:val="nil"/>
              <w:left w:val="nil"/>
              <w:bottom w:val="single" w:sz="4" w:space="0" w:color="auto"/>
              <w:right w:val="single" w:sz="4" w:space="0" w:color="auto"/>
            </w:tcBorders>
            <w:shd w:val="clear" w:color="auto" w:fill="auto"/>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1.467</w:t>
            </w:r>
          </w:p>
        </w:tc>
        <w:tc>
          <w:tcPr>
            <w:tcW w:w="792"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17.000</w:t>
            </w:r>
          </w:p>
        </w:tc>
        <w:tc>
          <w:tcPr>
            <w:tcW w:w="694"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0</w:t>
            </w:r>
          </w:p>
        </w:tc>
        <w:tc>
          <w:tcPr>
            <w:tcW w:w="547"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17.000</w:t>
            </w:r>
          </w:p>
        </w:tc>
        <w:tc>
          <w:tcPr>
            <w:tcW w:w="821"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0,2</w:t>
            </w:r>
          </w:p>
        </w:tc>
        <w:tc>
          <w:tcPr>
            <w:tcW w:w="832"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3,40</w:t>
            </w:r>
          </w:p>
        </w:tc>
      </w:tr>
      <w:tr w:rsidR="004F5AE2" w:rsidRPr="002F5DE3" w:rsidTr="002828C8">
        <w:trPr>
          <w:trHeight w:val="340"/>
        </w:trPr>
        <w:tc>
          <w:tcPr>
            <w:tcW w:w="492" w:type="pct"/>
            <w:tcBorders>
              <w:top w:val="nil"/>
              <w:left w:val="single" w:sz="4" w:space="0" w:color="auto"/>
              <w:bottom w:val="single" w:sz="4" w:space="0" w:color="auto"/>
              <w:right w:val="single" w:sz="4" w:space="0" w:color="auto"/>
            </w:tcBorders>
            <w:shd w:val="clear" w:color="auto" w:fill="auto"/>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2021</w:t>
            </w:r>
          </w:p>
        </w:tc>
        <w:tc>
          <w:tcPr>
            <w:tcW w:w="821" w:type="pct"/>
            <w:tcBorders>
              <w:top w:val="nil"/>
              <w:left w:val="nil"/>
              <w:bottom w:val="single" w:sz="4" w:space="0" w:color="auto"/>
              <w:right w:val="single" w:sz="4" w:space="0" w:color="auto"/>
            </w:tcBorders>
            <w:shd w:val="clear" w:color="auto" w:fill="auto"/>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1.457</w:t>
            </w:r>
          </w:p>
        </w:tc>
        <w:tc>
          <w:tcPr>
            <w:tcW w:w="792"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17.000</w:t>
            </w:r>
          </w:p>
        </w:tc>
        <w:tc>
          <w:tcPr>
            <w:tcW w:w="694"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0</w:t>
            </w:r>
          </w:p>
        </w:tc>
        <w:tc>
          <w:tcPr>
            <w:tcW w:w="547"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17.000</w:t>
            </w:r>
          </w:p>
        </w:tc>
        <w:tc>
          <w:tcPr>
            <w:tcW w:w="821"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0,2</w:t>
            </w:r>
          </w:p>
        </w:tc>
        <w:tc>
          <w:tcPr>
            <w:tcW w:w="832"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3,40</w:t>
            </w:r>
          </w:p>
        </w:tc>
      </w:tr>
      <w:tr w:rsidR="004F5AE2" w:rsidRPr="002F5DE3" w:rsidTr="002828C8">
        <w:trPr>
          <w:trHeight w:val="340"/>
        </w:trPr>
        <w:tc>
          <w:tcPr>
            <w:tcW w:w="492" w:type="pct"/>
            <w:tcBorders>
              <w:top w:val="nil"/>
              <w:left w:val="single" w:sz="4" w:space="0" w:color="auto"/>
              <w:bottom w:val="single" w:sz="4" w:space="0" w:color="auto"/>
              <w:right w:val="single" w:sz="4" w:space="0" w:color="auto"/>
            </w:tcBorders>
            <w:shd w:val="clear" w:color="auto" w:fill="auto"/>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2022</w:t>
            </w:r>
          </w:p>
        </w:tc>
        <w:tc>
          <w:tcPr>
            <w:tcW w:w="821" w:type="pct"/>
            <w:tcBorders>
              <w:top w:val="nil"/>
              <w:left w:val="nil"/>
              <w:bottom w:val="single" w:sz="4" w:space="0" w:color="auto"/>
              <w:right w:val="single" w:sz="4" w:space="0" w:color="auto"/>
            </w:tcBorders>
            <w:shd w:val="clear" w:color="auto" w:fill="auto"/>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1.444</w:t>
            </w:r>
          </w:p>
        </w:tc>
        <w:tc>
          <w:tcPr>
            <w:tcW w:w="792"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17.000</w:t>
            </w:r>
          </w:p>
        </w:tc>
        <w:tc>
          <w:tcPr>
            <w:tcW w:w="694"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0</w:t>
            </w:r>
          </w:p>
        </w:tc>
        <w:tc>
          <w:tcPr>
            <w:tcW w:w="547"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17.000</w:t>
            </w:r>
          </w:p>
        </w:tc>
        <w:tc>
          <w:tcPr>
            <w:tcW w:w="821"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0,2</w:t>
            </w:r>
          </w:p>
        </w:tc>
        <w:tc>
          <w:tcPr>
            <w:tcW w:w="832"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3,40</w:t>
            </w:r>
          </w:p>
        </w:tc>
      </w:tr>
      <w:tr w:rsidR="004F5AE2" w:rsidRPr="002F5DE3" w:rsidTr="002828C8">
        <w:trPr>
          <w:trHeight w:val="340"/>
        </w:trPr>
        <w:tc>
          <w:tcPr>
            <w:tcW w:w="492" w:type="pct"/>
            <w:tcBorders>
              <w:top w:val="nil"/>
              <w:left w:val="single" w:sz="4" w:space="0" w:color="auto"/>
              <w:bottom w:val="single" w:sz="4" w:space="0" w:color="auto"/>
              <w:right w:val="single" w:sz="4" w:space="0" w:color="auto"/>
            </w:tcBorders>
            <w:shd w:val="clear" w:color="auto" w:fill="auto"/>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2023</w:t>
            </w:r>
          </w:p>
        </w:tc>
        <w:tc>
          <w:tcPr>
            <w:tcW w:w="821" w:type="pct"/>
            <w:tcBorders>
              <w:top w:val="nil"/>
              <w:left w:val="nil"/>
              <w:bottom w:val="single" w:sz="4" w:space="0" w:color="auto"/>
              <w:right w:val="single" w:sz="4" w:space="0" w:color="auto"/>
            </w:tcBorders>
            <w:shd w:val="clear" w:color="auto" w:fill="auto"/>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1.433</w:t>
            </w:r>
          </w:p>
        </w:tc>
        <w:tc>
          <w:tcPr>
            <w:tcW w:w="792"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17.000</w:t>
            </w:r>
          </w:p>
        </w:tc>
        <w:tc>
          <w:tcPr>
            <w:tcW w:w="694"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0</w:t>
            </w:r>
          </w:p>
        </w:tc>
        <w:tc>
          <w:tcPr>
            <w:tcW w:w="547"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17.000</w:t>
            </w:r>
          </w:p>
        </w:tc>
        <w:tc>
          <w:tcPr>
            <w:tcW w:w="821"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0,2</w:t>
            </w:r>
          </w:p>
        </w:tc>
        <w:tc>
          <w:tcPr>
            <w:tcW w:w="832"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3,40</w:t>
            </w:r>
          </w:p>
        </w:tc>
      </w:tr>
      <w:tr w:rsidR="004F5AE2" w:rsidRPr="002F5DE3" w:rsidTr="002828C8">
        <w:trPr>
          <w:trHeight w:val="340"/>
        </w:trPr>
        <w:tc>
          <w:tcPr>
            <w:tcW w:w="492" w:type="pct"/>
            <w:tcBorders>
              <w:top w:val="nil"/>
              <w:left w:val="single" w:sz="4" w:space="0" w:color="auto"/>
              <w:bottom w:val="single" w:sz="4" w:space="0" w:color="auto"/>
              <w:right w:val="single" w:sz="4" w:space="0" w:color="auto"/>
            </w:tcBorders>
            <w:shd w:val="clear" w:color="auto" w:fill="auto"/>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2024</w:t>
            </w:r>
          </w:p>
        </w:tc>
        <w:tc>
          <w:tcPr>
            <w:tcW w:w="821" w:type="pct"/>
            <w:tcBorders>
              <w:top w:val="nil"/>
              <w:left w:val="nil"/>
              <w:bottom w:val="single" w:sz="4" w:space="0" w:color="auto"/>
              <w:right w:val="single" w:sz="4" w:space="0" w:color="auto"/>
            </w:tcBorders>
            <w:shd w:val="clear" w:color="auto" w:fill="auto"/>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1.430</w:t>
            </w:r>
          </w:p>
        </w:tc>
        <w:tc>
          <w:tcPr>
            <w:tcW w:w="792"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17.000</w:t>
            </w:r>
          </w:p>
        </w:tc>
        <w:tc>
          <w:tcPr>
            <w:tcW w:w="694"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0</w:t>
            </w:r>
          </w:p>
        </w:tc>
        <w:tc>
          <w:tcPr>
            <w:tcW w:w="547"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17.000</w:t>
            </w:r>
          </w:p>
        </w:tc>
        <w:tc>
          <w:tcPr>
            <w:tcW w:w="821"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0,2</w:t>
            </w:r>
          </w:p>
        </w:tc>
        <w:tc>
          <w:tcPr>
            <w:tcW w:w="832"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3,40</w:t>
            </w:r>
          </w:p>
        </w:tc>
      </w:tr>
      <w:tr w:rsidR="004F5AE2" w:rsidRPr="002F5DE3" w:rsidTr="002828C8">
        <w:trPr>
          <w:trHeight w:val="340"/>
        </w:trPr>
        <w:tc>
          <w:tcPr>
            <w:tcW w:w="492" w:type="pct"/>
            <w:tcBorders>
              <w:top w:val="nil"/>
              <w:left w:val="single" w:sz="4" w:space="0" w:color="auto"/>
              <w:bottom w:val="single" w:sz="4" w:space="0" w:color="auto"/>
              <w:right w:val="single" w:sz="4" w:space="0" w:color="auto"/>
            </w:tcBorders>
            <w:shd w:val="clear" w:color="auto" w:fill="auto"/>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2025</w:t>
            </w:r>
          </w:p>
        </w:tc>
        <w:tc>
          <w:tcPr>
            <w:tcW w:w="821" w:type="pct"/>
            <w:tcBorders>
              <w:top w:val="nil"/>
              <w:left w:val="nil"/>
              <w:bottom w:val="single" w:sz="4" w:space="0" w:color="auto"/>
              <w:right w:val="single" w:sz="4" w:space="0" w:color="auto"/>
            </w:tcBorders>
            <w:shd w:val="clear" w:color="auto" w:fill="auto"/>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1.418</w:t>
            </w:r>
          </w:p>
        </w:tc>
        <w:tc>
          <w:tcPr>
            <w:tcW w:w="792"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17.000</w:t>
            </w:r>
          </w:p>
        </w:tc>
        <w:tc>
          <w:tcPr>
            <w:tcW w:w="694"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0</w:t>
            </w:r>
          </w:p>
        </w:tc>
        <w:tc>
          <w:tcPr>
            <w:tcW w:w="547"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17.000</w:t>
            </w:r>
          </w:p>
        </w:tc>
        <w:tc>
          <w:tcPr>
            <w:tcW w:w="821"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0,2</w:t>
            </w:r>
          </w:p>
        </w:tc>
        <w:tc>
          <w:tcPr>
            <w:tcW w:w="832"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3,40</w:t>
            </w:r>
          </w:p>
        </w:tc>
      </w:tr>
      <w:tr w:rsidR="004F5AE2" w:rsidRPr="002F5DE3" w:rsidTr="002828C8">
        <w:trPr>
          <w:trHeight w:val="340"/>
        </w:trPr>
        <w:tc>
          <w:tcPr>
            <w:tcW w:w="492" w:type="pct"/>
            <w:tcBorders>
              <w:top w:val="nil"/>
              <w:left w:val="single" w:sz="4" w:space="0" w:color="auto"/>
              <w:bottom w:val="single" w:sz="4" w:space="0" w:color="auto"/>
              <w:right w:val="single" w:sz="4" w:space="0" w:color="auto"/>
            </w:tcBorders>
            <w:shd w:val="clear" w:color="auto" w:fill="auto"/>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2026</w:t>
            </w:r>
          </w:p>
        </w:tc>
        <w:tc>
          <w:tcPr>
            <w:tcW w:w="821" w:type="pct"/>
            <w:tcBorders>
              <w:top w:val="nil"/>
              <w:left w:val="nil"/>
              <w:bottom w:val="single" w:sz="4" w:space="0" w:color="auto"/>
              <w:right w:val="single" w:sz="4" w:space="0" w:color="auto"/>
            </w:tcBorders>
            <w:shd w:val="clear" w:color="auto" w:fill="auto"/>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1.411</w:t>
            </w:r>
          </w:p>
        </w:tc>
        <w:tc>
          <w:tcPr>
            <w:tcW w:w="792"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17.000</w:t>
            </w:r>
          </w:p>
        </w:tc>
        <w:tc>
          <w:tcPr>
            <w:tcW w:w="694"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0</w:t>
            </w:r>
          </w:p>
        </w:tc>
        <w:tc>
          <w:tcPr>
            <w:tcW w:w="547"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17.000</w:t>
            </w:r>
          </w:p>
        </w:tc>
        <w:tc>
          <w:tcPr>
            <w:tcW w:w="821"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0,2</w:t>
            </w:r>
          </w:p>
        </w:tc>
        <w:tc>
          <w:tcPr>
            <w:tcW w:w="832"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3,40</w:t>
            </w:r>
          </w:p>
        </w:tc>
      </w:tr>
      <w:tr w:rsidR="004F5AE2" w:rsidRPr="002F5DE3" w:rsidTr="002828C8">
        <w:trPr>
          <w:trHeight w:val="340"/>
        </w:trPr>
        <w:tc>
          <w:tcPr>
            <w:tcW w:w="492" w:type="pct"/>
            <w:tcBorders>
              <w:top w:val="nil"/>
              <w:left w:val="single" w:sz="4" w:space="0" w:color="auto"/>
              <w:bottom w:val="single" w:sz="4" w:space="0" w:color="auto"/>
              <w:right w:val="single" w:sz="4" w:space="0" w:color="auto"/>
            </w:tcBorders>
            <w:shd w:val="clear" w:color="auto" w:fill="auto"/>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2027</w:t>
            </w:r>
          </w:p>
        </w:tc>
        <w:tc>
          <w:tcPr>
            <w:tcW w:w="821" w:type="pct"/>
            <w:tcBorders>
              <w:top w:val="nil"/>
              <w:left w:val="nil"/>
              <w:bottom w:val="single" w:sz="4" w:space="0" w:color="auto"/>
              <w:right w:val="single" w:sz="4" w:space="0" w:color="auto"/>
            </w:tcBorders>
            <w:shd w:val="clear" w:color="auto" w:fill="auto"/>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1.397</w:t>
            </w:r>
          </w:p>
        </w:tc>
        <w:tc>
          <w:tcPr>
            <w:tcW w:w="792"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17.000</w:t>
            </w:r>
          </w:p>
        </w:tc>
        <w:tc>
          <w:tcPr>
            <w:tcW w:w="694"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0</w:t>
            </w:r>
          </w:p>
        </w:tc>
        <w:tc>
          <w:tcPr>
            <w:tcW w:w="547"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17.000</w:t>
            </w:r>
          </w:p>
        </w:tc>
        <w:tc>
          <w:tcPr>
            <w:tcW w:w="821"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0,2</w:t>
            </w:r>
          </w:p>
        </w:tc>
        <w:tc>
          <w:tcPr>
            <w:tcW w:w="832"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3,40</w:t>
            </w:r>
          </w:p>
        </w:tc>
      </w:tr>
      <w:tr w:rsidR="004F5AE2" w:rsidRPr="002F5DE3" w:rsidTr="002828C8">
        <w:trPr>
          <w:trHeight w:val="340"/>
        </w:trPr>
        <w:tc>
          <w:tcPr>
            <w:tcW w:w="492" w:type="pct"/>
            <w:tcBorders>
              <w:top w:val="nil"/>
              <w:left w:val="single" w:sz="4" w:space="0" w:color="auto"/>
              <w:bottom w:val="single" w:sz="4" w:space="0" w:color="auto"/>
              <w:right w:val="single" w:sz="4" w:space="0" w:color="auto"/>
            </w:tcBorders>
            <w:shd w:val="clear" w:color="auto" w:fill="auto"/>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2028</w:t>
            </w:r>
          </w:p>
        </w:tc>
        <w:tc>
          <w:tcPr>
            <w:tcW w:w="821" w:type="pct"/>
            <w:tcBorders>
              <w:top w:val="nil"/>
              <w:left w:val="nil"/>
              <w:bottom w:val="single" w:sz="4" w:space="0" w:color="auto"/>
              <w:right w:val="single" w:sz="4" w:space="0" w:color="auto"/>
            </w:tcBorders>
            <w:shd w:val="clear" w:color="auto" w:fill="auto"/>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1.388</w:t>
            </w:r>
          </w:p>
        </w:tc>
        <w:tc>
          <w:tcPr>
            <w:tcW w:w="792"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17.000</w:t>
            </w:r>
          </w:p>
        </w:tc>
        <w:tc>
          <w:tcPr>
            <w:tcW w:w="694"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0</w:t>
            </w:r>
          </w:p>
        </w:tc>
        <w:tc>
          <w:tcPr>
            <w:tcW w:w="547"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17.000</w:t>
            </w:r>
          </w:p>
        </w:tc>
        <w:tc>
          <w:tcPr>
            <w:tcW w:w="821"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0,2</w:t>
            </w:r>
          </w:p>
        </w:tc>
        <w:tc>
          <w:tcPr>
            <w:tcW w:w="832"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3,40</w:t>
            </w:r>
          </w:p>
        </w:tc>
      </w:tr>
      <w:tr w:rsidR="004F5AE2" w:rsidRPr="002F5DE3" w:rsidTr="002828C8">
        <w:trPr>
          <w:trHeight w:val="340"/>
        </w:trPr>
        <w:tc>
          <w:tcPr>
            <w:tcW w:w="492" w:type="pct"/>
            <w:tcBorders>
              <w:top w:val="nil"/>
              <w:left w:val="single" w:sz="4" w:space="0" w:color="auto"/>
              <w:bottom w:val="single" w:sz="4" w:space="0" w:color="auto"/>
              <w:right w:val="single" w:sz="4" w:space="0" w:color="auto"/>
            </w:tcBorders>
            <w:shd w:val="clear" w:color="auto" w:fill="auto"/>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2029</w:t>
            </w:r>
          </w:p>
        </w:tc>
        <w:tc>
          <w:tcPr>
            <w:tcW w:w="821" w:type="pct"/>
            <w:tcBorders>
              <w:top w:val="nil"/>
              <w:left w:val="nil"/>
              <w:bottom w:val="single" w:sz="4" w:space="0" w:color="auto"/>
              <w:right w:val="single" w:sz="4" w:space="0" w:color="auto"/>
            </w:tcBorders>
            <w:shd w:val="clear" w:color="auto" w:fill="auto"/>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1.377</w:t>
            </w:r>
          </w:p>
        </w:tc>
        <w:tc>
          <w:tcPr>
            <w:tcW w:w="792"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17.000</w:t>
            </w:r>
          </w:p>
        </w:tc>
        <w:tc>
          <w:tcPr>
            <w:tcW w:w="694"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0</w:t>
            </w:r>
          </w:p>
        </w:tc>
        <w:tc>
          <w:tcPr>
            <w:tcW w:w="547"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17.000</w:t>
            </w:r>
          </w:p>
        </w:tc>
        <w:tc>
          <w:tcPr>
            <w:tcW w:w="821"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0,2</w:t>
            </w:r>
          </w:p>
        </w:tc>
        <w:tc>
          <w:tcPr>
            <w:tcW w:w="832"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3,40</w:t>
            </w:r>
          </w:p>
        </w:tc>
      </w:tr>
      <w:tr w:rsidR="004F5AE2" w:rsidRPr="002F5DE3" w:rsidTr="002828C8">
        <w:trPr>
          <w:trHeight w:val="340"/>
        </w:trPr>
        <w:tc>
          <w:tcPr>
            <w:tcW w:w="492" w:type="pct"/>
            <w:tcBorders>
              <w:top w:val="nil"/>
              <w:left w:val="single" w:sz="4" w:space="0" w:color="auto"/>
              <w:bottom w:val="single" w:sz="4" w:space="0" w:color="auto"/>
              <w:right w:val="single" w:sz="4" w:space="0" w:color="auto"/>
            </w:tcBorders>
            <w:shd w:val="clear" w:color="auto" w:fill="auto"/>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2030</w:t>
            </w:r>
          </w:p>
        </w:tc>
        <w:tc>
          <w:tcPr>
            <w:tcW w:w="821" w:type="pct"/>
            <w:tcBorders>
              <w:top w:val="nil"/>
              <w:left w:val="nil"/>
              <w:bottom w:val="single" w:sz="4" w:space="0" w:color="auto"/>
              <w:right w:val="single" w:sz="4" w:space="0" w:color="auto"/>
            </w:tcBorders>
            <w:shd w:val="clear" w:color="auto" w:fill="auto"/>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1.360</w:t>
            </w:r>
          </w:p>
        </w:tc>
        <w:tc>
          <w:tcPr>
            <w:tcW w:w="792"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17.000</w:t>
            </w:r>
          </w:p>
        </w:tc>
        <w:tc>
          <w:tcPr>
            <w:tcW w:w="694"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0</w:t>
            </w:r>
          </w:p>
        </w:tc>
        <w:tc>
          <w:tcPr>
            <w:tcW w:w="547"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17.000</w:t>
            </w:r>
          </w:p>
        </w:tc>
        <w:tc>
          <w:tcPr>
            <w:tcW w:w="821"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0,2</w:t>
            </w:r>
          </w:p>
        </w:tc>
        <w:tc>
          <w:tcPr>
            <w:tcW w:w="832"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3,40</w:t>
            </w:r>
          </w:p>
        </w:tc>
      </w:tr>
      <w:tr w:rsidR="004F5AE2" w:rsidRPr="002F5DE3" w:rsidTr="002828C8">
        <w:trPr>
          <w:trHeight w:val="340"/>
        </w:trPr>
        <w:tc>
          <w:tcPr>
            <w:tcW w:w="492" w:type="pct"/>
            <w:tcBorders>
              <w:top w:val="nil"/>
              <w:left w:val="single" w:sz="4" w:space="0" w:color="auto"/>
              <w:bottom w:val="single" w:sz="4" w:space="0" w:color="auto"/>
              <w:right w:val="single" w:sz="4" w:space="0" w:color="auto"/>
            </w:tcBorders>
            <w:shd w:val="clear" w:color="auto" w:fill="auto"/>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2031</w:t>
            </w:r>
          </w:p>
        </w:tc>
        <w:tc>
          <w:tcPr>
            <w:tcW w:w="821" w:type="pct"/>
            <w:tcBorders>
              <w:top w:val="nil"/>
              <w:left w:val="nil"/>
              <w:bottom w:val="single" w:sz="4" w:space="0" w:color="auto"/>
              <w:right w:val="single" w:sz="4" w:space="0" w:color="auto"/>
            </w:tcBorders>
            <w:shd w:val="clear" w:color="auto" w:fill="auto"/>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1.346</w:t>
            </w:r>
          </w:p>
        </w:tc>
        <w:tc>
          <w:tcPr>
            <w:tcW w:w="792"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17.000</w:t>
            </w:r>
          </w:p>
        </w:tc>
        <w:tc>
          <w:tcPr>
            <w:tcW w:w="694"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0</w:t>
            </w:r>
          </w:p>
        </w:tc>
        <w:tc>
          <w:tcPr>
            <w:tcW w:w="547"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17.000</w:t>
            </w:r>
          </w:p>
        </w:tc>
        <w:tc>
          <w:tcPr>
            <w:tcW w:w="821"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0,2</w:t>
            </w:r>
          </w:p>
        </w:tc>
        <w:tc>
          <w:tcPr>
            <w:tcW w:w="832"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3,40</w:t>
            </w:r>
          </w:p>
        </w:tc>
      </w:tr>
      <w:tr w:rsidR="004F5AE2" w:rsidRPr="002F5DE3" w:rsidTr="002828C8">
        <w:trPr>
          <w:trHeight w:val="340"/>
        </w:trPr>
        <w:tc>
          <w:tcPr>
            <w:tcW w:w="492" w:type="pct"/>
            <w:tcBorders>
              <w:top w:val="nil"/>
              <w:left w:val="single" w:sz="4" w:space="0" w:color="auto"/>
              <w:bottom w:val="single" w:sz="4" w:space="0" w:color="auto"/>
              <w:right w:val="single" w:sz="4" w:space="0" w:color="auto"/>
            </w:tcBorders>
            <w:shd w:val="clear" w:color="auto" w:fill="auto"/>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2032</w:t>
            </w:r>
          </w:p>
        </w:tc>
        <w:tc>
          <w:tcPr>
            <w:tcW w:w="821" w:type="pct"/>
            <w:tcBorders>
              <w:top w:val="nil"/>
              <w:left w:val="nil"/>
              <w:bottom w:val="single" w:sz="4" w:space="0" w:color="auto"/>
              <w:right w:val="single" w:sz="4" w:space="0" w:color="auto"/>
            </w:tcBorders>
            <w:shd w:val="clear" w:color="auto" w:fill="auto"/>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1.334</w:t>
            </w:r>
          </w:p>
        </w:tc>
        <w:tc>
          <w:tcPr>
            <w:tcW w:w="792"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17.000</w:t>
            </w:r>
          </w:p>
        </w:tc>
        <w:tc>
          <w:tcPr>
            <w:tcW w:w="694"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0</w:t>
            </w:r>
          </w:p>
        </w:tc>
        <w:tc>
          <w:tcPr>
            <w:tcW w:w="547"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17.000</w:t>
            </w:r>
          </w:p>
        </w:tc>
        <w:tc>
          <w:tcPr>
            <w:tcW w:w="821"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0,2</w:t>
            </w:r>
          </w:p>
        </w:tc>
        <w:tc>
          <w:tcPr>
            <w:tcW w:w="832"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3,40</w:t>
            </w:r>
          </w:p>
        </w:tc>
      </w:tr>
      <w:tr w:rsidR="004F5AE2" w:rsidRPr="002F5DE3" w:rsidTr="002828C8">
        <w:trPr>
          <w:trHeight w:val="340"/>
        </w:trPr>
        <w:tc>
          <w:tcPr>
            <w:tcW w:w="492" w:type="pct"/>
            <w:tcBorders>
              <w:top w:val="nil"/>
              <w:left w:val="single" w:sz="4" w:space="0" w:color="auto"/>
              <w:bottom w:val="single" w:sz="4" w:space="0" w:color="auto"/>
              <w:right w:val="single" w:sz="4" w:space="0" w:color="auto"/>
            </w:tcBorders>
            <w:shd w:val="clear" w:color="auto" w:fill="auto"/>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2033</w:t>
            </w:r>
          </w:p>
        </w:tc>
        <w:tc>
          <w:tcPr>
            <w:tcW w:w="821" w:type="pct"/>
            <w:tcBorders>
              <w:top w:val="nil"/>
              <w:left w:val="nil"/>
              <w:bottom w:val="single" w:sz="4" w:space="0" w:color="auto"/>
              <w:right w:val="single" w:sz="4" w:space="0" w:color="auto"/>
            </w:tcBorders>
            <w:shd w:val="clear" w:color="auto" w:fill="auto"/>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1.328</w:t>
            </w:r>
          </w:p>
        </w:tc>
        <w:tc>
          <w:tcPr>
            <w:tcW w:w="792"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17.000</w:t>
            </w:r>
          </w:p>
        </w:tc>
        <w:tc>
          <w:tcPr>
            <w:tcW w:w="694"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0</w:t>
            </w:r>
          </w:p>
        </w:tc>
        <w:tc>
          <w:tcPr>
            <w:tcW w:w="547"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17.000</w:t>
            </w:r>
          </w:p>
        </w:tc>
        <w:tc>
          <w:tcPr>
            <w:tcW w:w="821"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0,2</w:t>
            </w:r>
          </w:p>
        </w:tc>
        <w:tc>
          <w:tcPr>
            <w:tcW w:w="832"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3,40</w:t>
            </w:r>
          </w:p>
        </w:tc>
      </w:tr>
      <w:tr w:rsidR="004F5AE2" w:rsidRPr="002F5DE3" w:rsidTr="002828C8">
        <w:trPr>
          <w:trHeight w:val="340"/>
        </w:trPr>
        <w:tc>
          <w:tcPr>
            <w:tcW w:w="492" w:type="pct"/>
            <w:tcBorders>
              <w:top w:val="nil"/>
              <w:left w:val="single" w:sz="4" w:space="0" w:color="auto"/>
              <w:bottom w:val="single" w:sz="4" w:space="0" w:color="auto"/>
              <w:right w:val="single" w:sz="4" w:space="0" w:color="auto"/>
            </w:tcBorders>
            <w:shd w:val="clear" w:color="auto" w:fill="auto"/>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2034</w:t>
            </w:r>
          </w:p>
        </w:tc>
        <w:tc>
          <w:tcPr>
            <w:tcW w:w="821" w:type="pct"/>
            <w:tcBorders>
              <w:top w:val="nil"/>
              <w:left w:val="nil"/>
              <w:bottom w:val="single" w:sz="4" w:space="0" w:color="auto"/>
              <w:right w:val="single" w:sz="4" w:space="0" w:color="auto"/>
            </w:tcBorders>
            <w:shd w:val="clear" w:color="auto" w:fill="auto"/>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1.313</w:t>
            </w:r>
          </w:p>
        </w:tc>
        <w:tc>
          <w:tcPr>
            <w:tcW w:w="792"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17.000</w:t>
            </w:r>
          </w:p>
        </w:tc>
        <w:tc>
          <w:tcPr>
            <w:tcW w:w="694"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0</w:t>
            </w:r>
          </w:p>
        </w:tc>
        <w:tc>
          <w:tcPr>
            <w:tcW w:w="547"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17.000</w:t>
            </w:r>
          </w:p>
        </w:tc>
        <w:tc>
          <w:tcPr>
            <w:tcW w:w="821"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0,2</w:t>
            </w:r>
          </w:p>
        </w:tc>
        <w:tc>
          <w:tcPr>
            <w:tcW w:w="832"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3,40</w:t>
            </w:r>
          </w:p>
        </w:tc>
      </w:tr>
      <w:tr w:rsidR="004F5AE2" w:rsidRPr="002F5DE3" w:rsidTr="002828C8">
        <w:trPr>
          <w:trHeight w:val="340"/>
        </w:trPr>
        <w:tc>
          <w:tcPr>
            <w:tcW w:w="492" w:type="pct"/>
            <w:tcBorders>
              <w:top w:val="nil"/>
              <w:left w:val="single" w:sz="4" w:space="0" w:color="auto"/>
              <w:bottom w:val="single" w:sz="4" w:space="0" w:color="auto"/>
              <w:right w:val="single" w:sz="4" w:space="0" w:color="auto"/>
            </w:tcBorders>
            <w:shd w:val="clear" w:color="auto" w:fill="auto"/>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2035</w:t>
            </w:r>
          </w:p>
        </w:tc>
        <w:tc>
          <w:tcPr>
            <w:tcW w:w="821" w:type="pct"/>
            <w:tcBorders>
              <w:top w:val="nil"/>
              <w:left w:val="nil"/>
              <w:bottom w:val="single" w:sz="4" w:space="0" w:color="auto"/>
              <w:right w:val="single" w:sz="4" w:space="0" w:color="auto"/>
            </w:tcBorders>
            <w:shd w:val="clear" w:color="auto" w:fill="auto"/>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1.298</w:t>
            </w:r>
          </w:p>
        </w:tc>
        <w:tc>
          <w:tcPr>
            <w:tcW w:w="792"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17.000</w:t>
            </w:r>
          </w:p>
        </w:tc>
        <w:tc>
          <w:tcPr>
            <w:tcW w:w="694"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0</w:t>
            </w:r>
          </w:p>
        </w:tc>
        <w:tc>
          <w:tcPr>
            <w:tcW w:w="547"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17.000</w:t>
            </w:r>
          </w:p>
        </w:tc>
        <w:tc>
          <w:tcPr>
            <w:tcW w:w="821"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0,2</w:t>
            </w:r>
          </w:p>
        </w:tc>
        <w:tc>
          <w:tcPr>
            <w:tcW w:w="832"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3,40</w:t>
            </w:r>
          </w:p>
        </w:tc>
      </w:tr>
      <w:tr w:rsidR="004F5AE2" w:rsidRPr="002F5DE3" w:rsidTr="002828C8">
        <w:trPr>
          <w:trHeight w:val="340"/>
        </w:trPr>
        <w:tc>
          <w:tcPr>
            <w:tcW w:w="492" w:type="pct"/>
            <w:tcBorders>
              <w:top w:val="nil"/>
              <w:left w:val="single" w:sz="4" w:space="0" w:color="auto"/>
              <w:bottom w:val="single" w:sz="4" w:space="0" w:color="auto"/>
              <w:right w:val="single" w:sz="4" w:space="0" w:color="auto"/>
            </w:tcBorders>
            <w:shd w:val="clear" w:color="auto" w:fill="auto"/>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2036</w:t>
            </w:r>
          </w:p>
        </w:tc>
        <w:tc>
          <w:tcPr>
            <w:tcW w:w="821" w:type="pct"/>
            <w:tcBorders>
              <w:top w:val="nil"/>
              <w:left w:val="nil"/>
              <w:bottom w:val="single" w:sz="4" w:space="0" w:color="auto"/>
              <w:right w:val="single" w:sz="4" w:space="0" w:color="auto"/>
            </w:tcBorders>
            <w:shd w:val="clear" w:color="auto" w:fill="auto"/>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1.283</w:t>
            </w:r>
          </w:p>
        </w:tc>
        <w:tc>
          <w:tcPr>
            <w:tcW w:w="792"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17.000</w:t>
            </w:r>
          </w:p>
        </w:tc>
        <w:tc>
          <w:tcPr>
            <w:tcW w:w="694"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0</w:t>
            </w:r>
          </w:p>
        </w:tc>
        <w:tc>
          <w:tcPr>
            <w:tcW w:w="547"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17.000</w:t>
            </w:r>
          </w:p>
        </w:tc>
        <w:tc>
          <w:tcPr>
            <w:tcW w:w="821"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0,2</w:t>
            </w:r>
          </w:p>
        </w:tc>
        <w:tc>
          <w:tcPr>
            <w:tcW w:w="832"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3,40</w:t>
            </w:r>
          </w:p>
        </w:tc>
      </w:tr>
      <w:tr w:rsidR="004F5AE2" w:rsidRPr="002F5DE3" w:rsidTr="002828C8">
        <w:trPr>
          <w:trHeight w:val="340"/>
        </w:trPr>
        <w:tc>
          <w:tcPr>
            <w:tcW w:w="492" w:type="pct"/>
            <w:tcBorders>
              <w:top w:val="nil"/>
              <w:left w:val="single" w:sz="4" w:space="0" w:color="auto"/>
              <w:bottom w:val="single" w:sz="4" w:space="0" w:color="auto"/>
              <w:right w:val="single" w:sz="4" w:space="0" w:color="auto"/>
            </w:tcBorders>
            <w:shd w:val="clear" w:color="auto" w:fill="auto"/>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2037</w:t>
            </w:r>
          </w:p>
        </w:tc>
        <w:tc>
          <w:tcPr>
            <w:tcW w:w="821" w:type="pct"/>
            <w:tcBorders>
              <w:top w:val="nil"/>
              <w:left w:val="nil"/>
              <w:bottom w:val="single" w:sz="4" w:space="0" w:color="auto"/>
              <w:right w:val="single" w:sz="4" w:space="0" w:color="auto"/>
            </w:tcBorders>
            <w:shd w:val="clear" w:color="auto" w:fill="auto"/>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1.277</w:t>
            </w:r>
          </w:p>
        </w:tc>
        <w:tc>
          <w:tcPr>
            <w:tcW w:w="792"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17.000</w:t>
            </w:r>
          </w:p>
        </w:tc>
        <w:tc>
          <w:tcPr>
            <w:tcW w:w="694"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0</w:t>
            </w:r>
          </w:p>
        </w:tc>
        <w:tc>
          <w:tcPr>
            <w:tcW w:w="547"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17.000</w:t>
            </w:r>
          </w:p>
        </w:tc>
        <w:tc>
          <w:tcPr>
            <w:tcW w:w="821"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0,2</w:t>
            </w:r>
          </w:p>
        </w:tc>
        <w:tc>
          <w:tcPr>
            <w:tcW w:w="832"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3,40</w:t>
            </w:r>
          </w:p>
        </w:tc>
      </w:tr>
      <w:tr w:rsidR="004F5AE2" w:rsidRPr="002F5DE3" w:rsidTr="002828C8">
        <w:trPr>
          <w:trHeight w:val="340"/>
        </w:trPr>
        <w:tc>
          <w:tcPr>
            <w:tcW w:w="492" w:type="pct"/>
            <w:tcBorders>
              <w:top w:val="nil"/>
              <w:left w:val="single" w:sz="4" w:space="0" w:color="auto"/>
              <w:bottom w:val="single" w:sz="4" w:space="0" w:color="auto"/>
              <w:right w:val="single" w:sz="4" w:space="0" w:color="auto"/>
            </w:tcBorders>
            <w:shd w:val="clear" w:color="auto" w:fill="auto"/>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2038</w:t>
            </w:r>
          </w:p>
        </w:tc>
        <w:tc>
          <w:tcPr>
            <w:tcW w:w="821" w:type="pct"/>
            <w:tcBorders>
              <w:top w:val="nil"/>
              <w:left w:val="nil"/>
              <w:bottom w:val="single" w:sz="4" w:space="0" w:color="auto"/>
              <w:right w:val="single" w:sz="4" w:space="0" w:color="auto"/>
            </w:tcBorders>
            <w:shd w:val="clear" w:color="auto" w:fill="auto"/>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1.268</w:t>
            </w:r>
          </w:p>
        </w:tc>
        <w:tc>
          <w:tcPr>
            <w:tcW w:w="792"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17.000</w:t>
            </w:r>
          </w:p>
        </w:tc>
        <w:tc>
          <w:tcPr>
            <w:tcW w:w="694"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0</w:t>
            </w:r>
          </w:p>
        </w:tc>
        <w:tc>
          <w:tcPr>
            <w:tcW w:w="547"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17.000</w:t>
            </w:r>
          </w:p>
        </w:tc>
        <w:tc>
          <w:tcPr>
            <w:tcW w:w="821"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0,2</w:t>
            </w:r>
          </w:p>
        </w:tc>
        <w:tc>
          <w:tcPr>
            <w:tcW w:w="832" w:type="pct"/>
            <w:tcBorders>
              <w:top w:val="nil"/>
              <w:left w:val="nil"/>
              <w:bottom w:val="single" w:sz="4" w:space="0" w:color="auto"/>
              <w:right w:val="single" w:sz="4" w:space="0" w:color="auto"/>
            </w:tcBorders>
            <w:shd w:val="clear" w:color="auto" w:fill="auto"/>
            <w:noWrap/>
            <w:vAlign w:val="center"/>
            <w:hideMark/>
          </w:tcPr>
          <w:p w:rsidR="004F5AE2" w:rsidRPr="002F5DE3" w:rsidRDefault="004F5AE2" w:rsidP="00642595">
            <w:pPr>
              <w:spacing w:line="240" w:lineRule="auto"/>
              <w:jc w:val="center"/>
              <w:rPr>
                <w:rFonts w:eastAsia="Times New Roman" w:cs="Arial"/>
                <w:color w:val="000000"/>
                <w:sz w:val="22"/>
                <w:lang w:eastAsia="pt-BR"/>
              </w:rPr>
            </w:pPr>
            <w:r w:rsidRPr="002F5DE3">
              <w:rPr>
                <w:rFonts w:eastAsia="Times New Roman" w:cs="Arial"/>
                <w:color w:val="000000"/>
                <w:sz w:val="22"/>
                <w:lang w:eastAsia="pt-BR"/>
              </w:rPr>
              <w:t>3,40</w:t>
            </w:r>
          </w:p>
        </w:tc>
      </w:tr>
    </w:tbl>
    <w:p w:rsidR="004F5AE2" w:rsidRDefault="001D28B0" w:rsidP="00984457">
      <w:pPr>
        <w:pStyle w:val="Fonte"/>
        <w:rPr>
          <w:rStyle w:val="Forte"/>
          <w:b w:val="0"/>
          <w:bCs w:val="0"/>
        </w:rPr>
      </w:pPr>
      <w:r w:rsidRPr="00E972F5">
        <w:rPr>
          <w:rStyle w:val="Forte"/>
          <w:b w:val="0"/>
          <w:bCs w:val="0"/>
        </w:rPr>
        <w:t>Fonte: SHS, 2017.</w:t>
      </w:r>
    </w:p>
    <w:p w:rsidR="005A0D0E" w:rsidRDefault="005A0D0E" w:rsidP="005A0D0E">
      <w:pPr>
        <w:shd w:val="clear" w:color="auto" w:fill="FFFFFF"/>
        <w:ind w:firstLine="709"/>
        <w:rPr>
          <w:rFonts w:cs="Arial"/>
          <w:szCs w:val="24"/>
        </w:rPr>
      </w:pPr>
      <w:r w:rsidRPr="00DA6A87">
        <w:rPr>
          <w:rFonts w:cs="Arial"/>
          <w:szCs w:val="24"/>
        </w:rPr>
        <w:t xml:space="preserve">Conhecendo-se a vazão de esgotos e de infiltração, foi determinada a vazão sanitária, que é a soma da vazão de esgotos doméstica com a vazão de infiltração. Os valores obtidos para o cenário previsível </w:t>
      </w:r>
      <w:r w:rsidRPr="00DA6A87">
        <w:rPr>
          <w:rFonts w:cs="Arial"/>
        </w:rPr>
        <w:t xml:space="preserve">do município encontram-se no </w:t>
      </w:r>
      <w:r w:rsidRPr="00DA6A87">
        <w:rPr>
          <w:rFonts w:cs="Arial"/>
        </w:rPr>
        <w:fldChar w:fldCharType="begin"/>
      </w:r>
      <w:r w:rsidRPr="00DA6A87">
        <w:rPr>
          <w:rFonts w:cs="Arial"/>
        </w:rPr>
        <w:instrText xml:space="preserve"> REF _Ref484678573 \h  \* MERGEFORMAT </w:instrText>
      </w:r>
      <w:r w:rsidRPr="00DA6A87">
        <w:rPr>
          <w:rFonts w:cs="Arial"/>
        </w:rPr>
      </w:r>
      <w:r w:rsidRPr="00DA6A87">
        <w:rPr>
          <w:rFonts w:cs="Arial"/>
        </w:rPr>
        <w:fldChar w:fldCharType="separate"/>
      </w:r>
      <w:r w:rsidR="004D1D76" w:rsidRPr="00DA6A87">
        <w:t xml:space="preserve">Quadro </w:t>
      </w:r>
      <w:r w:rsidR="004D1D76">
        <w:t>9</w:t>
      </w:r>
      <w:r w:rsidRPr="00DA6A87">
        <w:rPr>
          <w:rFonts w:cs="Arial"/>
        </w:rPr>
        <w:fldChar w:fldCharType="end"/>
      </w:r>
      <w:r w:rsidRPr="00DA6A87">
        <w:rPr>
          <w:rFonts w:cs="Arial"/>
          <w:szCs w:val="24"/>
        </w:rPr>
        <w:t>.</w:t>
      </w:r>
    </w:p>
    <w:p w:rsidR="002F5DE3" w:rsidRDefault="002F5DE3" w:rsidP="005A0D0E">
      <w:pPr>
        <w:shd w:val="clear" w:color="auto" w:fill="FFFFFF"/>
        <w:ind w:firstLine="709"/>
        <w:rPr>
          <w:rFonts w:cs="Arial"/>
          <w:szCs w:val="24"/>
        </w:rPr>
      </w:pPr>
    </w:p>
    <w:p w:rsidR="002F5DE3" w:rsidRDefault="002F5DE3" w:rsidP="005A0D0E">
      <w:pPr>
        <w:shd w:val="clear" w:color="auto" w:fill="FFFFFF"/>
        <w:ind w:firstLine="709"/>
        <w:rPr>
          <w:rFonts w:cs="Arial"/>
          <w:szCs w:val="24"/>
        </w:rPr>
      </w:pPr>
    </w:p>
    <w:p w:rsidR="002F5DE3" w:rsidRDefault="002F5DE3" w:rsidP="005A0D0E">
      <w:pPr>
        <w:shd w:val="clear" w:color="auto" w:fill="FFFFFF"/>
        <w:ind w:firstLine="709"/>
        <w:rPr>
          <w:rFonts w:cs="Arial"/>
          <w:szCs w:val="24"/>
        </w:rPr>
      </w:pPr>
    </w:p>
    <w:p w:rsidR="002F5DE3" w:rsidRDefault="002F5DE3" w:rsidP="005A0D0E">
      <w:pPr>
        <w:shd w:val="clear" w:color="auto" w:fill="FFFFFF"/>
        <w:ind w:firstLine="709"/>
        <w:rPr>
          <w:rFonts w:cs="Arial"/>
          <w:szCs w:val="24"/>
        </w:rPr>
      </w:pPr>
    </w:p>
    <w:p w:rsidR="002F5DE3" w:rsidRDefault="002F5DE3" w:rsidP="005A0D0E">
      <w:pPr>
        <w:shd w:val="clear" w:color="auto" w:fill="FFFFFF"/>
        <w:ind w:firstLine="709"/>
        <w:rPr>
          <w:rFonts w:cs="Arial"/>
          <w:szCs w:val="24"/>
        </w:rPr>
      </w:pPr>
    </w:p>
    <w:p w:rsidR="005A0D0E" w:rsidRDefault="005A0D0E" w:rsidP="005A0D0E">
      <w:pPr>
        <w:pStyle w:val="Legenda"/>
        <w:rPr>
          <w:lang w:val="pt-BR"/>
        </w:rPr>
      </w:pPr>
      <w:bookmarkStart w:id="102" w:name="_Ref484678573"/>
      <w:bookmarkStart w:id="103" w:name="_Toc433969070"/>
      <w:bookmarkStart w:id="104" w:name="_Toc482622528"/>
      <w:bookmarkStart w:id="105" w:name="_Toc497469130"/>
      <w:r w:rsidRPr="00DA6A87">
        <w:lastRenderedPageBreak/>
        <w:t xml:space="preserve">Quadro </w:t>
      </w:r>
      <w:r w:rsidR="00D71C43">
        <w:fldChar w:fldCharType="begin"/>
      </w:r>
      <w:r w:rsidR="00D71C43">
        <w:instrText xml:space="preserve"> SEQ Quadro \* ARABIC </w:instrText>
      </w:r>
      <w:r w:rsidR="00D71C43">
        <w:fldChar w:fldCharType="separate"/>
      </w:r>
      <w:r w:rsidR="004D1D76">
        <w:rPr>
          <w:noProof/>
        </w:rPr>
        <w:t>9</w:t>
      </w:r>
      <w:r w:rsidR="00D71C43">
        <w:rPr>
          <w:noProof/>
        </w:rPr>
        <w:fldChar w:fldCharType="end"/>
      </w:r>
      <w:bookmarkEnd w:id="102"/>
      <w:r w:rsidRPr="00DA6A87">
        <w:t xml:space="preserve"> - Evolução da vazão sanitária para o cenário previsível</w:t>
      </w:r>
      <w:r w:rsidRPr="00DA6A87">
        <w:rPr>
          <w:lang w:val="pt-BR"/>
        </w:rPr>
        <w:t xml:space="preserve"> </w:t>
      </w:r>
      <w:bookmarkEnd w:id="103"/>
      <w:bookmarkEnd w:id="104"/>
      <w:r w:rsidRPr="00DA6A87">
        <w:rPr>
          <w:lang w:val="pt-BR"/>
        </w:rPr>
        <w:t>do município</w:t>
      </w:r>
      <w:r w:rsidRPr="00DA6A87">
        <w:t xml:space="preserve"> de Córrego Novo</w:t>
      </w:r>
      <w:bookmarkEnd w:id="105"/>
    </w:p>
    <w:tbl>
      <w:tblPr>
        <w:tblW w:w="5000" w:type="pct"/>
        <w:tblCellMar>
          <w:left w:w="70" w:type="dxa"/>
          <w:right w:w="70" w:type="dxa"/>
        </w:tblCellMar>
        <w:tblLook w:val="04A0" w:firstRow="1" w:lastRow="0" w:firstColumn="1" w:lastColumn="0" w:noHBand="0" w:noVBand="1"/>
      </w:tblPr>
      <w:tblGrid>
        <w:gridCol w:w="1088"/>
        <w:gridCol w:w="1880"/>
        <w:gridCol w:w="1631"/>
        <w:gridCol w:w="1631"/>
        <w:gridCol w:w="1631"/>
        <w:gridCol w:w="1633"/>
      </w:tblGrid>
      <w:tr w:rsidR="00684E08" w:rsidRPr="00684E08" w:rsidTr="002828C8">
        <w:trPr>
          <w:trHeight w:val="340"/>
        </w:trPr>
        <w:tc>
          <w:tcPr>
            <w:tcW w:w="57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4E08" w:rsidRPr="00684E08" w:rsidRDefault="00684E08" w:rsidP="00684E08">
            <w:pPr>
              <w:spacing w:line="240" w:lineRule="auto"/>
              <w:jc w:val="center"/>
              <w:rPr>
                <w:rFonts w:eastAsia="Times New Roman" w:cs="Arial"/>
                <w:b/>
                <w:bCs/>
                <w:color w:val="000000"/>
                <w:sz w:val="22"/>
                <w:lang w:eastAsia="pt-BR"/>
              </w:rPr>
            </w:pPr>
            <w:r w:rsidRPr="00684E08">
              <w:rPr>
                <w:rFonts w:eastAsia="Times New Roman" w:cs="Arial"/>
                <w:b/>
                <w:bCs/>
                <w:color w:val="000000"/>
                <w:sz w:val="22"/>
                <w:lang w:eastAsia="pt-BR"/>
              </w:rPr>
              <w:t>Ano</w:t>
            </w:r>
          </w:p>
        </w:tc>
        <w:tc>
          <w:tcPr>
            <w:tcW w:w="9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b/>
                <w:bCs/>
                <w:color w:val="000000"/>
                <w:sz w:val="22"/>
                <w:lang w:eastAsia="pt-BR"/>
              </w:rPr>
            </w:pPr>
            <w:r w:rsidRPr="00684E08">
              <w:rPr>
                <w:rFonts w:eastAsia="Times New Roman" w:cs="Arial"/>
                <w:b/>
                <w:bCs/>
                <w:color w:val="000000"/>
                <w:sz w:val="22"/>
                <w:lang w:eastAsia="pt-BR"/>
              </w:rPr>
              <w:t>População urbana atendida (hab.)</w:t>
            </w:r>
          </w:p>
        </w:tc>
        <w:tc>
          <w:tcPr>
            <w:tcW w:w="3437" w:type="pct"/>
            <w:gridSpan w:val="4"/>
            <w:tcBorders>
              <w:top w:val="single" w:sz="4" w:space="0" w:color="auto"/>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b/>
                <w:bCs/>
                <w:color w:val="000000"/>
                <w:sz w:val="22"/>
                <w:lang w:eastAsia="pt-BR"/>
              </w:rPr>
            </w:pPr>
            <w:r w:rsidRPr="00684E08">
              <w:rPr>
                <w:rFonts w:eastAsia="Times New Roman" w:cs="Arial"/>
                <w:b/>
                <w:bCs/>
                <w:color w:val="000000"/>
                <w:sz w:val="22"/>
                <w:lang w:eastAsia="pt-BR"/>
              </w:rPr>
              <w:t>Vazão sanitária (L/s)</w:t>
            </w:r>
          </w:p>
        </w:tc>
      </w:tr>
      <w:tr w:rsidR="00684E08" w:rsidRPr="00684E08" w:rsidTr="002828C8">
        <w:trPr>
          <w:trHeight w:val="340"/>
        </w:trPr>
        <w:tc>
          <w:tcPr>
            <w:tcW w:w="573" w:type="pct"/>
            <w:vMerge/>
            <w:tcBorders>
              <w:top w:val="single" w:sz="4" w:space="0" w:color="auto"/>
              <w:left w:val="single" w:sz="4" w:space="0" w:color="auto"/>
              <w:bottom w:val="single" w:sz="4" w:space="0" w:color="auto"/>
              <w:right w:val="single" w:sz="4" w:space="0" w:color="auto"/>
            </w:tcBorders>
            <w:vAlign w:val="center"/>
            <w:hideMark/>
          </w:tcPr>
          <w:p w:rsidR="00684E08" w:rsidRPr="00684E08" w:rsidRDefault="00684E08" w:rsidP="00684E08">
            <w:pPr>
              <w:spacing w:line="240" w:lineRule="auto"/>
              <w:jc w:val="left"/>
              <w:rPr>
                <w:rFonts w:eastAsia="Times New Roman" w:cs="Arial"/>
                <w:b/>
                <w:bCs/>
                <w:color w:val="000000"/>
                <w:sz w:val="22"/>
                <w:lang w:eastAsia="pt-BR"/>
              </w:rPr>
            </w:pPr>
          </w:p>
        </w:tc>
        <w:tc>
          <w:tcPr>
            <w:tcW w:w="990" w:type="pct"/>
            <w:vMerge/>
            <w:tcBorders>
              <w:top w:val="single" w:sz="4" w:space="0" w:color="auto"/>
              <w:left w:val="single" w:sz="4" w:space="0" w:color="auto"/>
              <w:bottom w:val="single" w:sz="4" w:space="0" w:color="auto"/>
              <w:right w:val="single" w:sz="4" w:space="0" w:color="auto"/>
            </w:tcBorders>
            <w:vAlign w:val="center"/>
            <w:hideMark/>
          </w:tcPr>
          <w:p w:rsidR="00684E08" w:rsidRPr="00684E08" w:rsidRDefault="00684E08" w:rsidP="00684E08">
            <w:pPr>
              <w:spacing w:line="240" w:lineRule="auto"/>
              <w:jc w:val="left"/>
              <w:rPr>
                <w:rFonts w:eastAsia="Times New Roman" w:cs="Arial"/>
                <w:b/>
                <w:bCs/>
                <w:color w:val="000000"/>
                <w:sz w:val="22"/>
                <w:lang w:eastAsia="pt-BR"/>
              </w:rPr>
            </w:pP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b/>
                <w:bCs/>
                <w:color w:val="000000"/>
                <w:sz w:val="22"/>
                <w:lang w:eastAsia="pt-BR"/>
              </w:rPr>
            </w:pPr>
            <w:r w:rsidRPr="00684E08">
              <w:rPr>
                <w:rFonts w:eastAsia="Times New Roman" w:cs="Arial"/>
                <w:b/>
                <w:bCs/>
                <w:color w:val="000000"/>
                <w:sz w:val="22"/>
                <w:lang w:eastAsia="pt-BR"/>
              </w:rPr>
              <w:t>Mínima</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b/>
                <w:bCs/>
                <w:color w:val="000000"/>
                <w:sz w:val="22"/>
                <w:lang w:eastAsia="pt-BR"/>
              </w:rPr>
            </w:pPr>
            <w:r w:rsidRPr="00684E08">
              <w:rPr>
                <w:rFonts w:eastAsia="Times New Roman" w:cs="Arial"/>
                <w:b/>
                <w:bCs/>
                <w:color w:val="000000"/>
                <w:sz w:val="22"/>
                <w:lang w:eastAsia="pt-BR"/>
              </w:rPr>
              <w:t>Média</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b/>
                <w:bCs/>
                <w:color w:val="000000"/>
                <w:sz w:val="22"/>
                <w:lang w:eastAsia="pt-BR"/>
              </w:rPr>
            </w:pPr>
            <w:r w:rsidRPr="00684E08">
              <w:rPr>
                <w:rFonts w:eastAsia="Times New Roman" w:cs="Arial"/>
                <w:b/>
                <w:bCs/>
                <w:color w:val="000000"/>
                <w:sz w:val="22"/>
                <w:lang w:eastAsia="pt-BR"/>
              </w:rPr>
              <w:t>Máxima Diária</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b/>
                <w:bCs/>
                <w:color w:val="000000"/>
                <w:sz w:val="22"/>
                <w:lang w:eastAsia="pt-BR"/>
              </w:rPr>
            </w:pPr>
            <w:r w:rsidRPr="00684E08">
              <w:rPr>
                <w:rFonts w:eastAsia="Times New Roman" w:cs="Arial"/>
                <w:b/>
                <w:bCs/>
                <w:color w:val="000000"/>
                <w:sz w:val="22"/>
                <w:lang w:eastAsia="pt-BR"/>
              </w:rPr>
              <w:t>Máxima Horária</w:t>
            </w:r>
          </w:p>
        </w:tc>
      </w:tr>
      <w:tr w:rsidR="00684E08" w:rsidRPr="00684E08" w:rsidTr="002828C8">
        <w:trPr>
          <w:trHeight w:val="340"/>
        </w:trPr>
        <w:tc>
          <w:tcPr>
            <w:tcW w:w="573" w:type="pct"/>
            <w:tcBorders>
              <w:top w:val="nil"/>
              <w:left w:val="single" w:sz="4" w:space="0" w:color="auto"/>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2017</w:t>
            </w:r>
          </w:p>
        </w:tc>
        <w:tc>
          <w:tcPr>
            <w:tcW w:w="990"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1.487</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4,66</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5,92</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6,42</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7,93</w:t>
            </w:r>
          </w:p>
        </w:tc>
      </w:tr>
      <w:tr w:rsidR="00684E08" w:rsidRPr="00684E08" w:rsidTr="002828C8">
        <w:trPr>
          <w:trHeight w:val="340"/>
        </w:trPr>
        <w:tc>
          <w:tcPr>
            <w:tcW w:w="573" w:type="pct"/>
            <w:tcBorders>
              <w:top w:val="nil"/>
              <w:left w:val="single" w:sz="4" w:space="0" w:color="auto"/>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2018</w:t>
            </w:r>
          </w:p>
        </w:tc>
        <w:tc>
          <w:tcPr>
            <w:tcW w:w="990"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1.477</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4,65</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5,90</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6,40</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7,90</w:t>
            </w:r>
          </w:p>
        </w:tc>
      </w:tr>
      <w:tr w:rsidR="00684E08" w:rsidRPr="00684E08" w:rsidTr="002828C8">
        <w:trPr>
          <w:trHeight w:val="340"/>
        </w:trPr>
        <w:tc>
          <w:tcPr>
            <w:tcW w:w="573" w:type="pct"/>
            <w:tcBorders>
              <w:top w:val="nil"/>
              <w:left w:val="single" w:sz="4" w:space="0" w:color="auto"/>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2019</w:t>
            </w:r>
          </w:p>
        </w:tc>
        <w:tc>
          <w:tcPr>
            <w:tcW w:w="990"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1.469</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4,64</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5,89</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6,38</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7,87</w:t>
            </w:r>
          </w:p>
        </w:tc>
      </w:tr>
      <w:tr w:rsidR="00684E08" w:rsidRPr="00684E08" w:rsidTr="002828C8">
        <w:trPr>
          <w:trHeight w:val="340"/>
        </w:trPr>
        <w:tc>
          <w:tcPr>
            <w:tcW w:w="573" w:type="pct"/>
            <w:tcBorders>
              <w:top w:val="nil"/>
              <w:left w:val="single" w:sz="4" w:space="0" w:color="auto"/>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2020</w:t>
            </w:r>
          </w:p>
        </w:tc>
        <w:tc>
          <w:tcPr>
            <w:tcW w:w="990"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1.467</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4,64</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5,88</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6,38</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7,87</w:t>
            </w:r>
          </w:p>
        </w:tc>
      </w:tr>
      <w:tr w:rsidR="00684E08" w:rsidRPr="00684E08" w:rsidTr="002828C8">
        <w:trPr>
          <w:trHeight w:val="340"/>
        </w:trPr>
        <w:tc>
          <w:tcPr>
            <w:tcW w:w="573" w:type="pct"/>
            <w:tcBorders>
              <w:top w:val="nil"/>
              <w:left w:val="single" w:sz="4" w:space="0" w:color="auto"/>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2021</w:t>
            </w:r>
          </w:p>
        </w:tc>
        <w:tc>
          <w:tcPr>
            <w:tcW w:w="990"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1.457</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4,63</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5,86</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6,36</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7,83</w:t>
            </w:r>
          </w:p>
        </w:tc>
      </w:tr>
      <w:tr w:rsidR="00684E08" w:rsidRPr="00684E08" w:rsidTr="002828C8">
        <w:trPr>
          <w:trHeight w:val="340"/>
        </w:trPr>
        <w:tc>
          <w:tcPr>
            <w:tcW w:w="573" w:type="pct"/>
            <w:tcBorders>
              <w:top w:val="nil"/>
              <w:left w:val="single" w:sz="4" w:space="0" w:color="auto"/>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2022</w:t>
            </w:r>
          </w:p>
        </w:tc>
        <w:tc>
          <w:tcPr>
            <w:tcW w:w="990"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1.444</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4,62</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5,84</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6,33</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7,80</w:t>
            </w:r>
          </w:p>
        </w:tc>
      </w:tr>
      <w:tr w:rsidR="00684E08" w:rsidRPr="00684E08" w:rsidTr="002828C8">
        <w:trPr>
          <w:trHeight w:val="340"/>
        </w:trPr>
        <w:tc>
          <w:tcPr>
            <w:tcW w:w="573" w:type="pct"/>
            <w:tcBorders>
              <w:top w:val="nil"/>
              <w:left w:val="single" w:sz="4" w:space="0" w:color="auto"/>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2023</w:t>
            </w:r>
          </w:p>
        </w:tc>
        <w:tc>
          <w:tcPr>
            <w:tcW w:w="990"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1.433</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4,61</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5,82</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6,31</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7,76</w:t>
            </w:r>
          </w:p>
        </w:tc>
      </w:tr>
      <w:tr w:rsidR="00684E08" w:rsidRPr="00684E08" w:rsidTr="002828C8">
        <w:trPr>
          <w:trHeight w:val="340"/>
        </w:trPr>
        <w:tc>
          <w:tcPr>
            <w:tcW w:w="573" w:type="pct"/>
            <w:tcBorders>
              <w:top w:val="nil"/>
              <w:left w:val="single" w:sz="4" w:space="0" w:color="auto"/>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2024</w:t>
            </w:r>
          </w:p>
        </w:tc>
        <w:tc>
          <w:tcPr>
            <w:tcW w:w="990"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1.430</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4,61</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5,82</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6,30</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7,75</w:t>
            </w:r>
          </w:p>
        </w:tc>
      </w:tr>
      <w:tr w:rsidR="00684E08" w:rsidRPr="00684E08" w:rsidTr="002828C8">
        <w:trPr>
          <w:trHeight w:val="340"/>
        </w:trPr>
        <w:tc>
          <w:tcPr>
            <w:tcW w:w="573" w:type="pct"/>
            <w:tcBorders>
              <w:top w:val="nil"/>
              <w:left w:val="single" w:sz="4" w:space="0" w:color="auto"/>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2025</w:t>
            </w:r>
          </w:p>
        </w:tc>
        <w:tc>
          <w:tcPr>
            <w:tcW w:w="990"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1.418</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4,60</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5,80</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6,28</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7,72</w:t>
            </w:r>
          </w:p>
        </w:tc>
      </w:tr>
      <w:tr w:rsidR="00684E08" w:rsidRPr="00684E08" w:rsidTr="002828C8">
        <w:trPr>
          <w:trHeight w:val="340"/>
        </w:trPr>
        <w:tc>
          <w:tcPr>
            <w:tcW w:w="573" w:type="pct"/>
            <w:tcBorders>
              <w:top w:val="nil"/>
              <w:left w:val="single" w:sz="4" w:space="0" w:color="auto"/>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2026</w:t>
            </w:r>
          </w:p>
        </w:tc>
        <w:tc>
          <w:tcPr>
            <w:tcW w:w="990"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1.411</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4,59</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5,79</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6,26</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7,69</w:t>
            </w:r>
          </w:p>
        </w:tc>
      </w:tr>
      <w:tr w:rsidR="00684E08" w:rsidRPr="00684E08" w:rsidTr="002828C8">
        <w:trPr>
          <w:trHeight w:val="340"/>
        </w:trPr>
        <w:tc>
          <w:tcPr>
            <w:tcW w:w="573" w:type="pct"/>
            <w:tcBorders>
              <w:top w:val="nil"/>
              <w:left w:val="single" w:sz="4" w:space="0" w:color="auto"/>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2027</w:t>
            </w:r>
          </w:p>
        </w:tc>
        <w:tc>
          <w:tcPr>
            <w:tcW w:w="990"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1.397</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4,58</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5,76</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6,23</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7,65</w:t>
            </w:r>
          </w:p>
        </w:tc>
      </w:tr>
      <w:tr w:rsidR="00684E08" w:rsidRPr="00684E08" w:rsidTr="002828C8">
        <w:trPr>
          <w:trHeight w:val="340"/>
        </w:trPr>
        <w:tc>
          <w:tcPr>
            <w:tcW w:w="573" w:type="pct"/>
            <w:tcBorders>
              <w:top w:val="nil"/>
              <w:left w:val="single" w:sz="4" w:space="0" w:color="auto"/>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2028</w:t>
            </w:r>
          </w:p>
        </w:tc>
        <w:tc>
          <w:tcPr>
            <w:tcW w:w="990"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1.388</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4,57</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5,75</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6,22</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7,63</w:t>
            </w:r>
          </w:p>
        </w:tc>
      </w:tr>
      <w:tr w:rsidR="00684E08" w:rsidRPr="00684E08" w:rsidTr="002828C8">
        <w:trPr>
          <w:trHeight w:val="340"/>
        </w:trPr>
        <w:tc>
          <w:tcPr>
            <w:tcW w:w="573" w:type="pct"/>
            <w:tcBorders>
              <w:top w:val="nil"/>
              <w:left w:val="single" w:sz="4" w:space="0" w:color="auto"/>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2029</w:t>
            </w:r>
          </w:p>
        </w:tc>
        <w:tc>
          <w:tcPr>
            <w:tcW w:w="990"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1.377</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4,56</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5,73</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6,19</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7,59</w:t>
            </w:r>
          </w:p>
        </w:tc>
      </w:tr>
      <w:tr w:rsidR="00684E08" w:rsidRPr="00684E08" w:rsidTr="002828C8">
        <w:trPr>
          <w:trHeight w:val="340"/>
        </w:trPr>
        <w:tc>
          <w:tcPr>
            <w:tcW w:w="573" w:type="pct"/>
            <w:tcBorders>
              <w:top w:val="nil"/>
              <w:left w:val="single" w:sz="4" w:space="0" w:color="auto"/>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2030</w:t>
            </w:r>
          </w:p>
        </w:tc>
        <w:tc>
          <w:tcPr>
            <w:tcW w:w="990"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1.360</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4,55</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5,70</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6,16</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7,54</w:t>
            </w:r>
          </w:p>
        </w:tc>
      </w:tr>
      <w:tr w:rsidR="00684E08" w:rsidRPr="00684E08" w:rsidTr="002828C8">
        <w:trPr>
          <w:trHeight w:val="340"/>
        </w:trPr>
        <w:tc>
          <w:tcPr>
            <w:tcW w:w="573" w:type="pct"/>
            <w:tcBorders>
              <w:top w:val="nil"/>
              <w:left w:val="single" w:sz="4" w:space="0" w:color="auto"/>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2031</w:t>
            </w:r>
          </w:p>
        </w:tc>
        <w:tc>
          <w:tcPr>
            <w:tcW w:w="990"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1.346</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4,54</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5,68</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6,13</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7,50</w:t>
            </w:r>
          </w:p>
        </w:tc>
      </w:tr>
      <w:tr w:rsidR="00684E08" w:rsidRPr="00684E08" w:rsidTr="002828C8">
        <w:trPr>
          <w:trHeight w:val="340"/>
        </w:trPr>
        <w:tc>
          <w:tcPr>
            <w:tcW w:w="573" w:type="pct"/>
            <w:tcBorders>
              <w:top w:val="nil"/>
              <w:left w:val="single" w:sz="4" w:space="0" w:color="auto"/>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2032</w:t>
            </w:r>
          </w:p>
        </w:tc>
        <w:tc>
          <w:tcPr>
            <w:tcW w:w="990"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1.334</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4,53</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5,66</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6,11</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7,46</w:t>
            </w:r>
          </w:p>
        </w:tc>
      </w:tr>
      <w:tr w:rsidR="00684E08" w:rsidRPr="00684E08" w:rsidTr="002828C8">
        <w:trPr>
          <w:trHeight w:val="340"/>
        </w:trPr>
        <w:tc>
          <w:tcPr>
            <w:tcW w:w="573" w:type="pct"/>
            <w:tcBorders>
              <w:top w:val="nil"/>
              <w:left w:val="single" w:sz="4" w:space="0" w:color="auto"/>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2033</w:t>
            </w:r>
          </w:p>
        </w:tc>
        <w:tc>
          <w:tcPr>
            <w:tcW w:w="990"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1.328</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4,52</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5,65</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6,09</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7,44</w:t>
            </w:r>
          </w:p>
        </w:tc>
      </w:tr>
      <w:tr w:rsidR="00684E08" w:rsidRPr="00684E08" w:rsidTr="002828C8">
        <w:trPr>
          <w:trHeight w:val="340"/>
        </w:trPr>
        <w:tc>
          <w:tcPr>
            <w:tcW w:w="573" w:type="pct"/>
            <w:tcBorders>
              <w:top w:val="nil"/>
              <w:left w:val="single" w:sz="4" w:space="0" w:color="auto"/>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2034</w:t>
            </w:r>
          </w:p>
        </w:tc>
        <w:tc>
          <w:tcPr>
            <w:tcW w:w="990"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1.313</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4,51</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5,62</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6,07</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7,40</w:t>
            </w:r>
          </w:p>
        </w:tc>
      </w:tr>
      <w:tr w:rsidR="00684E08" w:rsidRPr="00684E08" w:rsidTr="002828C8">
        <w:trPr>
          <w:trHeight w:val="340"/>
        </w:trPr>
        <w:tc>
          <w:tcPr>
            <w:tcW w:w="573" w:type="pct"/>
            <w:tcBorders>
              <w:top w:val="nil"/>
              <w:left w:val="single" w:sz="4" w:space="0" w:color="auto"/>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2035</w:t>
            </w:r>
          </w:p>
        </w:tc>
        <w:tc>
          <w:tcPr>
            <w:tcW w:w="990"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1.298</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4,50</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5,59</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6,03</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7,35</w:t>
            </w:r>
          </w:p>
        </w:tc>
      </w:tr>
      <w:tr w:rsidR="00684E08" w:rsidRPr="00684E08" w:rsidTr="002828C8">
        <w:trPr>
          <w:trHeight w:val="340"/>
        </w:trPr>
        <w:tc>
          <w:tcPr>
            <w:tcW w:w="573" w:type="pct"/>
            <w:tcBorders>
              <w:top w:val="nil"/>
              <w:left w:val="single" w:sz="4" w:space="0" w:color="auto"/>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2036</w:t>
            </w:r>
          </w:p>
        </w:tc>
        <w:tc>
          <w:tcPr>
            <w:tcW w:w="990"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1.283</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4,49</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5,57</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6,00</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7,31</w:t>
            </w:r>
          </w:p>
        </w:tc>
      </w:tr>
      <w:tr w:rsidR="00684E08" w:rsidRPr="00684E08" w:rsidTr="002828C8">
        <w:trPr>
          <w:trHeight w:val="340"/>
        </w:trPr>
        <w:tc>
          <w:tcPr>
            <w:tcW w:w="573" w:type="pct"/>
            <w:tcBorders>
              <w:top w:val="nil"/>
              <w:left w:val="single" w:sz="4" w:space="0" w:color="auto"/>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2037</w:t>
            </w:r>
          </w:p>
        </w:tc>
        <w:tc>
          <w:tcPr>
            <w:tcW w:w="990"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1.277</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4,48</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5,56</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5,99</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7,29</w:t>
            </w:r>
          </w:p>
        </w:tc>
      </w:tr>
      <w:tr w:rsidR="00684E08" w:rsidRPr="00684E08" w:rsidTr="002828C8">
        <w:trPr>
          <w:trHeight w:val="340"/>
        </w:trPr>
        <w:tc>
          <w:tcPr>
            <w:tcW w:w="573" w:type="pct"/>
            <w:tcBorders>
              <w:top w:val="nil"/>
              <w:left w:val="single" w:sz="4" w:space="0" w:color="auto"/>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2038</w:t>
            </w:r>
          </w:p>
        </w:tc>
        <w:tc>
          <w:tcPr>
            <w:tcW w:w="990"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1.268</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4,47</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5,55</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5,97</w:t>
            </w:r>
          </w:p>
        </w:tc>
        <w:tc>
          <w:tcPr>
            <w:tcW w:w="859" w:type="pct"/>
            <w:tcBorders>
              <w:top w:val="nil"/>
              <w:left w:val="nil"/>
              <w:bottom w:val="single" w:sz="4" w:space="0" w:color="auto"/>
              <w:right w:val="single" w:sz="4" w:space="0" w:color="auto"/>
            </w:tcBorders>
            <w:shd w:val="clear" w:color="auto" w:fill="auto"/>
            <w:vAlign w:val="center"/>
            <w:hideMark/>
          </w:tcPr>
          <w:p w:rsidR="00684E08" w:rsidRPr="00684E08" w:rsidRDefault="00684E08" w:rsidP="00684E08">
            <w:pPr>
              <w:spacing w:line="240" w:lineRule="auto"/>
              <w:jc w:val="center"/>
              <w:rPr>
                <w:rFonts w:eastAsia="Times New Roman" w:cs="Arial"/>
                <w:color w:val="000000"/>
                <w:sz w:val="22"/>
                <w:lang w:eastAsia="pt-BR"/>
              </w:rPr>
            </w:pPr>
            <w:r w:rsidRPr="00684E08">
              <w:rPr>
                <w:rFonts w:eastAsia="Times New Roman" w:cs="Arial"/>
                <w:color w:val="000000"/>
                <w:sz w:val="22"/>
                <w:lang w:eastAsia="pt-BR"/>
              </w:rPr>
              <w:t>7,26</w:t>
            </w:r>
          </w:p>
        </w:tc>
      </w:tr>
    </w:tbl>
    <w:p w:rsidR="005A0D0E" w:rsidRPr="00DA6A87" w:rsidRDefault="00984457" w:rsidP="00984457">
      <w:pPr>
        <w:pStyle w:val="Fonte"/>
        <w:rPr>
          <w:rStyle w:val="Forte"/>
        </w:rPr>
      </w:pPr>
      <w:r w:rsidRPr="00E972F5">
        <w:rPr>
          <w:rStyle w:val="Forte"/>
          <w:b w:val="0"/>
          <w:bCs w:val="0"/>
        </w:rPr>
        <w:t>Fonte: SHS, 2017.</w:t>
      </w:r>
    </w:p>
    <w:p w:rsidR="005A0D0E" w:rsidRPr="00DA6A87" w:rsidRDefault="005A0D0E" w:rsidP="005A0D0E">
      <w:pPr>
        <w:shd w:val="clear" w:color="auto" w:fill="FFFFFF"/>
        <w:ind w:firstLine="708"/>
        <w:rPr>
          <w:rFonts w:cs="Arial"/>
          <w:szCs w:val="24"/>
        </w:rPr>
      </w:pPr>
      <w:r w:rsidRPr="00DA6A87">
        <w:rPr>
          <w:rFonts w:cs="Arial"/>
          <w:szCs w:val="24"/>
        </w:rPr>
        <w:t xml:space="preserve">A partir da vazão sanitária, é possível calcular a estimativa de carga orgânica bruta e concentração inicial de DBO e coliformes fecais (termotolerantes). Segundo Von Sperling (2014), para esgotos predominantemente domésticos, é adotado como contribuição de carga orgânica </w:t>
      </w:r>
      <w:r w:rsidRPr="00DA6A87">
        <w:rPr>
          <w:rFonts w:cs="Arial"/>
          <w:i/>
          <w:szCs w:val="24"/>
        </w:rPr>
        <w:t>per capita</w:t>
      </w:r>
      <w:r w:rsidRPr="00DA6A87">
        <w:rPr>
          <w:rFonts w:cs="Arial"/>
          <w:szCs w:val="24"/>
        </w:rPr>
        <w:t xml:space="preserve"> de DBO o valor de 54 gDBO/hab.dia. Com base nesse valor e na estimativa populacional e de vazão para o período, é possível calcular a carga orgânica bruta (</w:t>
      </w:r>
      <w:r w:rsidRPr="00DA6A87">
        <w:rPr>
          <w:rFonts w:cs="Arial"/>
          <w:szCs w:val="24"/>
        </w:rPr>
        <w:fldChar w:fldCharType="begin"/>
      </w:r>
      <w:r w:rsidRPr="00DA6A87">
        <w:rPr>
          <w:rFonts w:cs="Arial"/>
          <w:szCs w:val="24"/>
        </w:rPr>
        <w:instrText xml:space="preserve"> REF _Ref433708938 \h  \* MERGEFORMAT </w:instrText>
      </w:r>
      <w:r w:rsidRPr="00DA6A87">
        <w:rPr>
          <w:rFonts w:cs="Arial"/>
          <w:szCs w:val="24"/>
        </w:rPr>
      </w:r>
      <w:r w:rsidRPr="00DA6A87">
        <w:rPr>
          <w:rFonts w:cs="Arial"/>
          <w:szCs w:val="24"/>
        </w:rPr>
        <w:fldChar w:fldCharType="separate"/>
      </w:r>
      <w:r w:rsidR="004D1D76" w:rsidRPr="00DA6A87">
        <w:t xml:space="preserve">Equação </w:t>
      </w:r>
      <w:r w:rsidR="004D1D76">
        <w:rPr>
          <w:noProof/>
        </w:rPr>
        <w:t>12</w:t>
      </w:r>
      <w:r w:rsidRPr="00DA6A87">
        <w:rPr>
          <w:rFonts w:cs="Arial"/>
          <w:szCs w:val="24"/>
        </w:rPr>
        <w:fldChar w:fldCharType="end"/>
      </w:r>
      <w:r w:rsidRPr="00DA6A87">
        <w:rPr>
          <w:rFonts w:cs="Arial"/>
          <w:szCs w:val="24"/>
        </w:rPr>
        <w:t>) e a concentração inicial de DBO (</w:t>
      </w:r>
      <w:r w:rsidRPr="00DA6A87">
        <w:rPr>
          <w:rFonts w:cs="Arial"/>
          <w:szCs w:val="24"/>
        </w:rPr>
        <w:fldChar w:fldCharType="begin"/>
      </w:r>
      <w:r w:rsidRPr="00DA6A87">
        <w:rPr>
          <w:rFonts w:cs="Arial"/>
          <w:szCs w:val="24"/>
        </w:rPr>
        <w:instrText xml:space="preserve"> REF _Ref433709229 \h </w:instrText>
      </w:r>
      <w:r w:rsidRPr="00DA6A87">
        <w:rPr>
          <w:rFonts w:cs="Arial"/>
          <w:szCs w:val="24"/>
        </w:rPr>
      </w:r>
      <w:r w:rsidRPr="00DA6A87">
        <w:rPr>
          <w:rFonts w:cs="Arial"/>
          <w:szCs w:val="24"/>
        </w:rPr>
        <w:fldChar w:fldCharType="separate"/>
      </w:r>
      <w:r w:rsidR="004D1D76" w:rsidRPr="00DA6A87">
        <w:t xml:space="preserve">Equação </w:t>
      </w:r>
      <w:r w:rsidR="004D1D76">
        <w:rPr>
          <w:noProof/>
        </w:rPr>
        <w:t>13</w:t>
      </w:r>
      <w:r w:rsidRPr="00DA6A87">
        <w:rPr>
          <w:rFonts w:cs="Arial"/>
          <w:szCs w:val="24"/>
        </w:rPr>
        <w:fldChar w:fldCharType="end"/>
      </w:r>
      <w:r w:rsidRPr="00DA6A87">
        <w:rPr>
          <w:rFonts w:cs="Arial"/>
          <w:szCs w:val="24"/>
        </w:rPr>
        <w:t xml:space="preserve">) para cada ano do cenário previsível. </w:t>
      </w:r>
    </w:p>
    <w:tbl>
      <w:tblPr>
        <w:tblStyle w:val="Tabelacomgrade"/>
        <w:tblW w:w="0" w:type="auto"/>
        <w:tblInd w:w="-3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79"/>
        <w:gridCol w:w="5133"/>
      </w:tblGrid>
      <w:tr w:rsidR="005A0D0E" w:rsidRPr="00DA6A87" w:rsidTr="00B94A15">
        <w:tc>
          <w:tcPr>
            <w:tcW w:w="4679" w:type="dxa"/>
            <w:vAlign w:val="center"/>
          </w:tcPr>
          <w:p w:rsidR="005A0D0E" w:rsidRPr="00DA6A87" w:rsidRDefault="005A0D0E" w:rsidP="00B94A15">
            <w:pPr>
              <w:shd w:val="clear" w:color="auto" w:fill="FFFFFF"/>
              <w:spacing w:before="120" w:after="120" w:line="240" w:lineRule="auto"/>
              <w:ind w:firstLine="709"/>
              <w:jc w:val="center"/>
              <w:rPr>
                <w:rFonts w:cs="Arial"/>
                <w:szCs w:val="24"/>
              </w:rPr>
            </w:pPr>
            <m:oMathPara>
              <m:oMath>
                <m:r>
                  <w:rPr>
                    <w:rFonts w:ascii="Cambria Math" w:hAnsi="Cambria Math" w:cs="Arial"/>
                    <w:sz w:val="22"/>
                    <w:szCs w:val="24"/>
                  </w:rPr>
                  <w:lastRenderedPageBreak/>
                  <m:t>Carga orgânica bruta=População x Carga orgânica per capita</m:t>
                </m:r>
              </m:oMath>
            </m:oMathPara>
          </w:p>
        </w:tc>
        <w:tc>
          <w:tcPr>
            <w:tcW w:w="5133" w:type="dxa"/>
            <w:vAlign w:val="center"/>
          </w:tcPr>
          <w:p w:rsidR="005A0D0E" w:rsidRPr="00DA6A87" w:rsidRDefault="005A0D0E" w:rsidP="00B94A15">
            <w:pPr>
              <w:shd w:val="clear" w:color="auto" w:fill="FFFFFF"/>
              <w:spacing w:before="120" w:after="120" w:line="240" w:lineRule="auto"/>
              <w:ind w:firstLine="709"/>
              <w:jc w:val="center"/>
              <w:rPr>
                <w:rFonts w:cs="Arial"/>
                <w:szCs w:val="24"/>
              </w:rPr>
            </w:pPr>
            <m:oMathPara>
              <m:oMath>
                <m:r>
                  <w:rPr>
                    <w:rFonts w:ascii="Cambria Math" w:hAnsi="Cambria Math" w:cs="Arial"/>
                    <w:sz w:val="22"/>
                    <w:szCs w:val="24"/>
                  </w:rPr>
                  <m:t>Concentração inicial de DBO=</m:t>
                </m:r>
                <m:f>
                  <m:fPr>
                    <m:ctrlPr>
                      <w:rPr>
                        <w:rFonts w:ascii="Cambria Math" w:hAnsi="Cambria Math" w:cs="Arial"/>
                        <w:i/>
                        <w:sz w:val="22"/>
                        <w:szCs w:val="24"/>
                      </w:rPr>
                    </m:ctrlPr>
                  </m:fPr>
                  <m:num>
                    <m:r>
                      <w:rPr>
                        <w:rFonts w:ascii="Cambria Math" w:hAnsi="Cambria Math" w:cs="Arial"/>
                        <w:sz w:val="22"/>
                        <w:szCs w:val="24"/>
                      </w:rPr>
                      <m:t>Carga orgânica</m:t>
                    </m:r>
                  </m:num>
                  <m:den>
                    <m:r>
                      <w:rPr>
                        <w:rFonts w:ascii="Cambria Math" w:hAnsi="Cambria Math" w:cs="Arial"/>
                        <w:sz w:val="22"/>
                        <w:szCs w:val="24"/>
                      </w:rPr>
                      <m:t>Vazão</m:t>
                    </m:r>
                  </m:den>
                </m:f>
              </m:oMath>
            </m:oMathPara>
          </w:p>
        </w:tc>
      </w:tr>
      <w:tr w:rsidR="005A0D0E" w:rsidRPr="00DA6A87" w:rsidTr="00B94A15">
        <w:tc>
          <w:tcPr>
            <w:tcW w:w="4679" w:type="dxa"/>
            <w:vAlign w:val="center"/>
          </w:tcPr>
          <w:p w:rsidR="005A0D0E" w:rsidRPr="00DA6A87" w:rsidRDefault="005A0D0E" w:rsidP="00B94A15">
            <w:pPr>
              <w:pStyle w:val="Legenda"/>
            </w:pPr>
            <w:bookmarkStart w:id="106" w:name="_Ref433708938"/>
            <w:r w:rsidRPr="00DA6A87">
              <w:t xml:space="preserve">Equação </w:t>
            </w:r>
            <w:r w:rsidR="00D71C43">
              <w:fldChar w:fldCharType="begin"/>
            </w:r>
            <w:r w:rsidR="00D71C43">
              <w:instrText xml:space="preserve"> SEQ Equação \* ARABIC </w:instrText>
            </w:r>
            <w:r w:rsidR="00D71C43">
              <w:fldChar w:fldCharType="separate"/>
            </w:r>
            <w:r w:rsidR="004D1D76">
              <w:rPr>
                <w:noProof/>
              </w:rPr>
              <w:t>12</w:t>
            </w:r>
            <w:r w:rsidR="00D71C43">
              <w:rPr>
                <w:noProof/>
              </w:rPr>
              <w:fldChar w:fldCharType="end"/>
            </w:r>
            <w:bookmarkEnd w:id="106"/>
          </w:p>
        </w:tc>
        <w:tc>
          <w:tcPr>
            <w:tcW w:w="5133" w:type="dxa"/>
            <w:vAlign w:val="center"/>
          </w:tcPr>
          <w:p w:rsidR="005A0D0E" w:rsidRPr="00DA6A87" w:rsidRDefault="005A0D0E" w:rsidP="00B94A15">
            <w:pPr>
              <w:pStyle w:val="Legenda"/>
            </w:pPr>
            <w:bookmarkStart w:id="107" w:name="_Ref433709229"/>
            <w:r w:rsidRPr="00DA6A87">
              <w:t xml:space="preserve">Equação </w:t>
            </w:r>
            <w:r w:rsidR="00D71C43">
              <w:fldChar w:fldCharType="begin"/>
            </w:r>
            <w:r w:rsidR="00D71C43">
              <w:instrText xml:space="preserve"> SEQ Equação \* ARABIC </w:instrText>
            </w:r>
            <w:r w:rsidR="00D71C43">
              <w:fldChar w:fldCharType="separate"/>
            </w:r>
            <w:r w:rsidR="004D1D76">
              <w:rPr>
                <w:noProof/>
              </w:rPr>
              <w:t>13</w:t>
            </w:r>
            <w:r w:rsidR="00D71C43">
              <w:rPr>
                <w:noProof/>
              </w:rPr>
              <w:fldChar w:fldCharType="end"/>
            </w:r>
            <w:bookmarkEnd w:id="107"/>
          </w:p>
        </w:tc>
      </w:tr>
    </w:tbl>
    <w:p w:rsidR="005A0D0E" w:rsidRPr="00DA6A87" w:rsidRDefault="005A0D0E" w:rsidP="005A0D0E">
      <w:pPr>
        <w:ind w:firstLine="708"/>
      </w:pPr>
      <w:r w:rsidRPr="00DA6A87">
        <w:t>Os resultados para o cenário previsível de Córrego Novo são apresentados no</w:t>
      </w:r>
      <w:bookmarkStart w:id="108" w:name="_Toc482622532"/>
      <w:r w:rsidRPr="00DA6A87">
        <w:t xml:space="preserve"> </w:t>
      </w:r>
      <w:r w:rsidRPr="00DA6A87">
        <w:fldChar w:fldCharType="begin"/>
      </w:r>
      <w:r w:rsidRPr="00DA6A87">
        <w:instrText xml:space="preserve"> REF _Ref484678676 \h  \* MERGEFORMAT </w:instrText>
      </w:r>
      <w:r w:rsidRPr="00DA6A87">
        <w:fldChar w:fldCharType="separate"/>
      </w:r>
      <w:r w:rsidR="004D1D76" w:rsidRPr="00DA6A87">
        <w:t xml:space="preserve">Quadro </w:t>
      </w:r>
      <w:r w:rsidR="004D1D76">
        <w:t>10</w:t>
      </w:r>
      <w:r w:rsidRPr="00DA6A87">
        <w:fldChar w:fldCharType="end"/>
      </w:r>
      <w:r w:rsidRPr="00DA6A87">
        <w:t>.</w:t>
      </w:r>
    </w:p>
    <w:p w:rsidR="005A0D0E" w:rsidRDefault="005A0D0E" w:rsidP="005A0D0E">
      <w:pPr>
        <w:pStyle w:val="Legenda"/>
        <w:rPr>
          <w:lang w:val="pt-BR"/>
        </w:rPr>
      </w:pPr>
      <w:bookmarkStart w:id="109" w:name="_Ref484678676"/>
      <w:bookmarkStart w:id="110" w:name="_Toc497469131"/>
      <w:r w:rsidRPr="00DA6A87">
        <w:t xml:space="preserve">Quadro </w:t>
      </w:r>
      <w:r w:rsidR="00D71C43">
        <w:fldChar w:fldCharType="begin"/>
      </w:r>
      <w:r w:rsidR="00D71C43">
        <w:instrText xml:space="preserve"> SEQ Quadro \* ARABIC </w:instrText>
      </w:r>
      <w:r w:rsidR="00D71C43">
        <w:fldChar w:fldCharType="separate"/>
      </w:r>
      <w:r w:rsidR="004D1D76">
        <w:rPr>
          <w:noProof/>
        </w:rPr>
        <w:t>10</w:t>
      </w:r>
      <w:r w:rsidR="00D71C43">
        <w:rPr>
          <w:noProof/>
        </w:rPr>
        <w:fldChar w:fldCharType="end"/>
      </w:r>
      <w:bookmarkEnd w:id="109"/>
      <w:r w:rsidRPr="00DA6A87">
        <w:t xml:space="preserve"> - Evolução da carga orgânica bruta e concentração inicial de DBO para o cenário previsível</w:t>
      </w:r>
      <w:r w:rsidRPr="00DA6A87">
        <w:rPr>
          <w:lang w:val="pt-BR"/>
        </w:rPr>
        <w:t xml:space="preserve"> </w:t>
      </w:r>
      <w:bookmarkEnd w:id="108"/>
      <w:r w:rsidRPr="00DA6A87">
        <w:rPr>
          <w:lang w:val="pt-BR"/>
        </w:rPr>
        <w:t>do município</w:t>
      </w:r>
      <w:r w:rsidRPr="00DA6A87">
        <w:t xml:space="preserve"> de Córrego Novo</w:t>
      </w:r>
      <w:bookmarkEnd w:id="110"/>
    </w:p>
    <w:tbl>
      <w:tblPr>
        <w:tblW w:w="5000" w:type="pct"/>
        <w:tblCellMar>
          <w:left w:w="70" w:type="dxa"/>
          <w:right w:w="70" w:type="dxa"/>
        </w:tblCellMar>
        <w:tblLook w:val="04A0" w:firstRow="1" w:lastRow="0" w:firstColumn="1" w:lastColumn="0" w:noHBand="0" w:noVBand="1"/>
      </w:tblPr>
      <w:tblGrid>
        <w:gridCol w:w="1224"/>
        <w:gridCol w:w="1253"/>
        <w:gridCol w:w="1195"/>
        <w:gridCol w:w="1224"/>
        <w:gridCol w:w="1765"/>
        <w:gridCol w:w="1225"/>
        <w:gridCol w:w="1608"/>
      </w:tblGrid>
      <w:tr w:rsidR="008C298E" w:rsidRPr="008C298E" w:rsidTr="002828C8">
        <w:trPr>
          <w:trHeight w:val="340"/>
        </w:trPr>
        <w:tc>
          <w:tcPr>
            <w:tcW w:w="6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b/>
                <w:bCs/>
                <w:color w:val="000000"/>
                <w:sz w:val="22"/>
                <w:lang w:eastAsia="pt-BR"/>
              </w:rPr>
            </w:pPr>
            <w:r w:rsidRPr="008C298E">
              <w:rPr>
                <w:rFonts w:eastAsia="Times New Roman" w:cs="Arial"/>
                <w:b/>
                <w:bCs/>
                <w:color w:val="000000"/>
                <w:sz w:val="22"/>
                <w:lang w:eastAsia="pt-BR"/>
              </w:rPr>
              <w:t>Ano</w:t>
            </w:r>
          </w:p>
        </w:tc>
        <w:tc>
          <w:tcPr>
            <w:tcW w:w="674" w:type="pct"/>
            <w:tcBorders>
              <w:top w:val="single" w:sz="4" w:space="0" w:color="auto"/>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b/>
                <w:bCs/>
                <w:color w:val="000000"/>
                <w:sz w:val="22"/>
                <w:lang w:eastAsia="pt-BR"/>
              </w:rPr>
            </w:pPr>
            <w:r w:rsidRPr="008C298E">
              <w:rPr>
                <w:rFonts w:eastAsia="Times New Roman" w:cs="Arial"/>
                <w:b/>
                <w:bCs/>
                <w:color w:val="000000"/>
                <w:sz w:val="22"/>
                <w:lang w:eastAsia="pt-BR"/>
              </w:rPr>
              <w:t>População urbana atendida (hab.)</w:t>
            </w:r>
          </w:p>
        </w:tc>
        <w:tc>
          <w:tcPr>
            <w:tcW w:w="674" w:type="pct"/>
            <w:tcBorders>
              <w:top w:val="single" w:sz="4" w:space="0" w:color="auto"/>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b/>
                <w:bCs/>
                <w:color w:val="000000"/>
                <w:sz w:val="22"/>
                <w:lang w:eastAsia="pt-BR"/>
              </w:rPr>
            </w:pPr>
            <w:r w:rsidRPr="008C298E">
              <w:rPr>
                <w:rFonts w:eastAsia="Times New Roman" w:cs="Arial"/>
                <w:b/>
                <w:bCs/>
                <w:color w:val="000000"/>
                <w:sz w:val="22"/>
                <w:lang w:eastAsia="pt-BR"/>
              </w:rPr>
              <w:t>Vazão sanitária média (L/s)</w:t>
            </w:r>
          </w:p>
        </w:tc>
        <w:tc>
          <w:tcPr>
            <w:tcW w:w="674" w:type="pct"/>
            <w:tcBorders>
              <w:top w:val="single" w:sz="4" w:space="0" w:color="auto"/>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b/>
                <w:bCs/>
                <w:color w:val="000000"/>
                <w:sz w:val="22"/>
                <w:lang w:eastAsia="pt-BR"/>
              </w:rPr>
            </w:pPr>
            <w:r w:rsidRPr="008C298E">
              <w:rPr>
                <w:rFonts w:eastAsia="Times New Roman" w:cs="Arial"/>
                <w:b/>
                <w:bCs/>
                <w:color w:val="000000"/>
                <w:sz w:val="22"/>
                <w:lang w:eastAsia="pt-BR"/>
              </w:rPr>
              <w:t>Vazão sanitária média (m³/d)</w:t>
            </w:r>
          </w:p>
        </w:tc>
        <w:tc>
          <w:tcPr>
            <w:tcW w:w="959" w:type="pct"/>
            <w:tcBorders>
              <w:top w:val="single" w:sz="4" w:space="0" w:color="auto"/>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b/>
                <w:bCs/>
                <w:color w:val="000000"/>
                <w:sz w:val="22"/>
                <w:lang w:eastAsia="pt-BR"/>
              </w:rPr>
            </w:pPr>
            <w:r w:rsidRPr="008C298E">
              <w:rPr>
                <w:rFonts w:eastAsia="Times New Roman" w:cs="Arial"/>
                <w:b/>
                <w:bCs/>
                <w:color w:val="000000"/>
                <w:sz w:val="22"/>
                <w:lang w:eastAsia="pt-BR"/>
              </w:rPr>
              <w:t>Contribuição per capita de DBO (gDBO/hab.dia)</w:t>
            </w:r>
          </w:p>
        </w:tc>
        <w:tc>
          <w:tcPr>
            <w:tcW w:w="674" w:type="pct"/>
            <w:tcBorders>
              <w:top w:val="single" w:sz="4" w:space="0" w:color="auto"/>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b/>
                <w:bCs/>
                <w:color w:val="000000"/>
                <w:sz w:val="22"/>
                <w:lang w:eastAsia="pt-BR"/>
              </w:rPr>
            </w:pPr>
            <w:r w:rsidRPr="008C298E">
              <w:rPr>
                <w:rFonts w:eastAsia="Times New Roman" w:cs="Arial"/>
                <w:b/>
                <w:bCs/>
                <w:color w:val="000000"/>
                <w:sz w:val="22"/>
                <w:lang w:eastAsia="pt-BR"/>
              </w:rPr>
              <w:t>Carga de DBO (kg/dia)</w:t>
            </w:r>
          </w:p>
        </w:tc>
        <w:tc>
          <w:tcPr>
            <w:tcW w:w="674" w:type="pct"/>
            <w:tcBorders>
              <w:top w:val="single" w:sz="4" w:space="0" w:color="auto"/>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b/>
                <w:bCs/>
                <w:color w:val="000000"/>
                <w:sz w:val="22"/>
                <w:lang w:eastAsia="pt-BR"/>
              </w:rPr>
            </w:pPr>
            <w:r w:rsidRPr="008C298E">
              <w:rPr>
                <w:rFonts w:eastAsia="Times New Roman" w:cs="Arial"/>
                <w:b/>
                <w:bCs/>
                <w:color w:val="000000"/>
                <w:sz w:val="22"/>
                <w:lang w:eastAsia="pt-BR"/>
              </w:rPr>
              <w:t>Concentração de DBO (mg/L)</w:t>
            </w:r>
          </w:p>
        </w:tc>
      </w:tr>
      <w:tr w:rsidR="008C298E" w:rsidRPr="008C298E" w:rsidTr="002828C8">
        <w:trPr>
          <w:trHeight w:val="340"/>
        </w:trPr>
        <w:tc>
          <w:tcPr>
            <w:tcW w:w="674" w:type="pct"/>
            <w:tcBorders>
              <w:top w:val="nil"/>
              <w:left w:val="single" w:sz="4" w:space="0" w:color="auto"/>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2017</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1.487</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5,92</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511,10</w:t>
            </w:r>
          </w:p>
        </w:tc>
        <w:tc>
          <w:tcPr>
            <w:tcW w:w="959"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54</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80,31</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157,14</w:t>
            </w:r>
          </w:p>
        </w:tc>
      </w:tr>
      <w:tr w:rsidR="008C298E" w:rsidRPr="008C298E" w:rsidTr="002828C8">
        <w:trPr>
          <w:trHeight w:val="340"/>
        </w:trPr>
        <w:tc>
          <w:tcPr>
            <w:tcW w:w="674" w:type="pct"/>
            <w:tcBorders>
              <w:top w:val="nil"/>
              <w:left w:val="single" w:sz="4" w:space="0" w:color="auto"/>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2018</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1.477</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5,90</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509,56</w:t>
            </w:r>
          </w:p>
        </w:tc>
        <w:tc>
          <w:tcPr>
            <w:tcW w:w="959"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54</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79,74</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156,50</w:t>
            </w:r>
          </w:p>
        </w:tc>
      </w:tr>
      <w:tr w:rsidR="008C298E" w:rsidRPr="008C298E" w:rsidTr="002828C8">
        <w:trPr>
          <w:trHeight w:val="340"/>
        </w:trPr>
        <w:tc>
          <w:tcPr>
            <w:tcW w:w="674" w:type="pct"/>
            <w:tcBorders>
              <w:top w:val="nil"/>
              <w:left w:val="single" w:sz="4" w:space="0" w:color="auto"/>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2019</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1.469</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5,89</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508,47</w:t>
            </w:r>
          </w:p>
        </w:tc>
        <w:tc>
          <w:tcPr>
            <w:tcW w:w="959"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54</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79,34</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156,04</w:t>
            </w:r>
          </w:p>
        </w:tc>
      </w:tr>
      <w:tr w:rsidR="008C298E" w:rsidRPr="008C298E" w:rsidTr="002828C8">
        <w:trPr>
          <w:trHeight w:val="340"/>
        </w:trPr>
        <w:tc>
          <w:tcPr>
            <w:tcW w:w="674" w:type="pct"/>
            <w:tcBorders>
              <w:top w:val="nil"/>
              <w:left w:val="single" w:sz="4" w:space="0" w:color="auto"/>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2020</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1.467</w:t>
            </w:r>
          </w:p>
        </w:tc>
        <w:tc>
          <w:tcPr>
            <w:tcW w:w="674" w:type="pct"/>
            <w:tcBorders>
              <w:top w:val="nil"/>
              <w:left w:val="nil"/>
              <w:bottom w:val="single" w:sz="4" w:space="0" w:color="auto"/>
              <w:right w:val="single" w:sz="4" w:space="0" w:color="auto"/>
            </w:tcBorders>
            <w:shd w:val="clear" w:color="auto" w:fill="auto"/>
            <w:noWrap/>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5,88</w:t>
            </w:r>
          </w:p>
        </w:tc>
        <w:tc>
          <w:tcPr>
            <w:tcW w:w="674" w:type="pct"/>
            <w:tcBorders>
              <w:top w:val="nil"/>
              <w:left w:val="nil"/>
              <w:bottom w:val="single" w:sz="4" w:space="0" w:color="auto"/>
              <w:right w:val="single" w:sz="4" w:space="0" w:color="auto"/>
            </w:tcBorders>
            <w:shd w:val="clear" w:color="auto" w:fill="auto"/>
            <w:noWrap/>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508,14</w:t>
            </w:r>
          </w:p>
        </w:tc>
        <w:tc>
          <w:tcPr>
            <w:tcW w:w="959" w:type="pct"/>
            <w:tcBorders>
              <w:top w:val="nil"/>
              <w:left w:val="nil"/>
              <w:bottom w:val="single" w:sz="4" w:space="0" w:color="auto"/>
              <w:right w:val="single" w:sz="4" w:space="0" w:color="auto"/>
            </w:tcBorders>
            <w:shd w:val="clear" w:color="auto" w:fill="auto"/>
            <w:noWrap/>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54</w:t>
            </w:r>
          </w:p>
        </w:tc>
        <w:tc>
          <w:tcPr>
            <w:tcW w:w="674" w:type="pct"/>
            <w:tcBorders>
              <w:top w:val="nil"/>
              <w:left w:val="nil"/>
              <w:bottom w:val="single" w:sz="4" w:space="0" w:color="auto"/>
              <w:right w:val="single" w:sz="4" w:space="0" w:color="auto"/>
            </w:tcBorders>
            <w:shd w:val="clear" w:color="auto" w:fill="auto"/>
            <w:noWrap/>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79,22</w:t>
            </w:r>
          </w:p>
        </w:tc>
        <w:tc>
          <w:tcPr>
            <w:tcW w:w="674" w:type="pct"/>
            <w:tcBorders>
              <w:top w:val="nil"/>
              <w:left w:val="nil"/>
              <w:bottom w:val="single" w:sz="4" w:space="0" w:color="auto"/>
              <w:right w:val="single" w:sz="4" w:space="0" w:color="auto"/>
            </w:tcBorders>
            <w:shd w:val="clear" w:color="auto" w:fill="auto"/>
            <w:noWrap/>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155,90</w:t>
            </w:r>
          </w:p>
        </w:tc>
      </w:tr>
      <w:tr w:rsidR="008C298E" w:rsidRPr="008C298E" w:rsidTr="002828C8">
        <w:trPr>
          <w:trHeight w:val="340"/>
        </w:trPr>
        <w:tc>
          <w:tcPr>
            <w:tcW w:w="674" w:type="pct"/>
            <w:tcBorders>
              <w:top w:val="nil"/>
              <w:left w:val="single" w:sz="4" w:space="0" w:color="auto"/>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2021</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1.457</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5,86</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506,60</w:t>
            </w:r>
          </w:p>
        </w:tc>
        <w:tc>
          <w:tcPr>
            <w:tcW w:w="959"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54</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78,65</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155,25</w:t>
            </w:r>
          </w:p>
        </w:tc>
      </w:tr>
      <w:tr w:rsidR="008C298E" w:rsidRPr="008C298E" w:rsidTr="002828C8">
        <w:trPr>
          <w:trHeight w:val="340"/>
        </w:trPr>
        <w:tc>
          <w:tcPr>
            <w:tcW w:w="674" w:type="pct"/>
            <w:tcBorders>
              <w:top w:val="nil"/>
              <w:left w:val="single" w:sz="4" w:space="0" w:color="auto"/>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2022</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1.444</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5,84</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504,74</w:t>
            </w:r>
          </w:p>
        </w:tc>
        <w:tc>
          <w:tcPr>
            <w:tcW w:w="959"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54</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77,96</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154,46</w:t>
            </w:r>
          </w:p>
        </w:tc>
      </w:tr>
      <w:tr w:rsidR="008C298E" w:rsidRPr="008C298E" w:rsidTr="002828C8">
        <w:trPr>
          <w:trHeight w:val="340"/>
        </w:trPr>
        <w:tc>
          <w:tcPr>
            <w:tcW w:w="674" w:type="pct"/>
            <w:tcBorders>
              <w:top w:val="nil"/>
              <w:left w:val="single" w:sz="4" w:space="0" w:color="auto"/>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2023</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1.433</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5,82</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503,10</w:t>
            </w:r>
          </w:p>
        </w:tc>
        <w:tc>
          <w:tcPr>
            <w:tcW w:w="959"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54</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77,36</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153,76</w:t>
            </w:r>
          </w:p>
        </w:tc>
      </w:tr>
      <w:tr w:rsidR="008C298E" w:rsidRPr="008C298E" w:rsidTr="002828C8">
        <w:trPr>
          <w:trHeight w:val="340"/>
        </w:trPr>
        <w:tc>
          <w:tcPr>
            <w:tcW w:w="674" w:type="pct"/>
            <w:tcBorders>
              <w:top w:val="nil"/>
              <w:left w:val="single" w:sz="4" w:space="0" w:color="auto"/>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2024</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1.430</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5,82</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502,66</w:t>
            </w:r>
          </w:p>
        </w:tc>
        <w:tc>
          <w:tcPr>
            <w:tcW w:w="959"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54</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77,19</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153,57</w:t>
            </w:r>
          </w:p>
        </w:tc>
      </w:tr>
      <w:tr w:rsidR="008C298E" w:rsidRPr="008C298E" w:rsidTr="002828C8">
        <w:trPr>
          <w:trHeight w:val="340"/>
        </w:trPr>
        <w:tc>
          <w:tcPr>
            <w:tcW w:w="674" w:type="pct"/>
            <w:tcBorders>
              <w:top w:val="nil"/>
              <w:left w:val="single" w:sz="4" w:space="0" w:color="auto"/>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2025</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1.418</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5,80</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501,01</w:t>
            </w:r>
          </w:p>
        </w:tc>
        <w:tc>
          <w:tcPr>
            <w:tcW w:w="959"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54</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76,59</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152,86</w:t>
            </w:r>
          </w:p>
        </w:tc>
      </w:tr>
      <w:tr w:rsidR="008C298E" w:rsidRPr="008C298E" w:rsidTr="002828C8">
        <w:trPr>
          <w:trHeight w:val="340"/>
        </w:trPr>
        <w:tc>
          <w:tcPr>
            <w:tcW w:w="674" w:type="pct"/>
            <w:tcBorders>
              <w:top w:val="nil"/>
              <w:left w:val="single" w:sz="4" w:space="0" w:color="auto"/>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2026</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1.411</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5,79</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499,92</w:t>
            </w:r>
          </w:p>
        </w:tc>
        <w:tc>
          <w:tcPr>
            <w:tcW w:w="959"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54</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76,18</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152,39</w:t>
            </w:r>
          </w:p>
        </w:tc>
      </w:tr>
      <w:tr w:rsidR="008C298E" w:rsidRPr="008C298E" w:rsidTr="002828C8">
        <w:trPr>
          <w:trHeight w:val="340"/>
        </w:trPr>
        <w:tc>
          <w:tcPr>
            <w:tcW w:w="674" w:type="pct"/>
            <w:tcBorders>
              <w:top w:val="nil"/>
              <w:left w:val="single" w:sz="4" w:space="0" w:color="auto"/>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2027</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1.397</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5,76</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497,84</w:t>
            </w:r>
          </w:p>
        </w:tc>
        <w:tc>
          <w:tcPr>
            <w:tcW w:w="959"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54</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75,41</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151,48</w:t>
            </w:r>
          </w:p>
        </w:tc>
      </w:tr>
      <w:tr w:rsidR="008C298E" w:rsidRPr="008C298E" w:rsidTr="002828C8">
        <w:trPr>
          <w:trHeight w:val="340"/>
        </w:trPr>
        <w:tc>
          <w:tcPr>
            <w:tcW w:w="674" w:type="pct"/>
            <w:tcBorders>
              <w:top w:val="nil"/>
              <w:left w:val="single" w:sz="4" w:space="0" w:color="auto"/>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2028</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1.388</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5,75</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496,63</w:t>
            </w:r>
          </w:p>
        </w:tc>
        <w:tc>
          <w:tcPr>
            <w:tcW w:w="959"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54</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74,97</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150,95</w:t>
            </w:r>
          </w:p>
        </w:tc>
      </w:tr>
      <w:tr w:rsidR="008C298E" w:rsidRPr="008C298E" w:rsidTr="002828C8">
        <w:trPr>
          <w:trHeight w:val="340"/>
        </w:trPr>
        <w:tc>
          <w:tcPr>
            <w:tcW w:w="674" w:type="pct"/>
            <w:tcBorders>
              <w:top w:val="nil"/>
              <w:left w:val="single" w:sz="4" w:space="0" w:color="auto"/>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2029</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1.377</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5,73</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494,99</w:t>
            </w:r>
          </w:p>
        </w:tc>
        <w:tc>
          <w:tcPr>
            <w:tcW w:w="959"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54</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74,36</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150,22</w:t>
            </w:r>
          </w:p>
        </w:tc>
      </w:tr>
      <w:tr w:rsidR="008C298E" w:rsidRPr="008C298E" w:rsidTr="002828C8">
        <w:trPr>
          <w:trHeight w:val="340"/>
        </w:trPr>
        <w:tc>
          <w:tcPr>
            <w:tcW w:w="674" w:type="pct"/>
            <w:tcBorders>
              <w:top w:val="nil"/>
              <w:left w:val="single" w:sz="4" w:space="0" w:color="auto"/>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2030</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1.360</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5,70</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492,46</w:t>
            </w:r>
          </w:p>
        </w:tc>
        <w:tc>
          <w:tcPr>
            <w:tcW w:w="959"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54</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73,43</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149,10</w:t>
            </w:r>
          </w:p>
        </w:tc>
      </w:tr>
      <w:tr w:rsidR="008C298E" w:rsidRPr="008C298E" w:rsidTr="002828C8">
        <w:trPr>
          <w:trHeight w:val="340"/>
        </w:trPr>
        <w:tc>
          <w:tcPr>
            <w:tcW w:w="674" w:type="pct"/>
            <w:tcBorders>
              <w:top w:val="nil"/>
              <w:left w:val="single" w:sz="4" w:space="0" w:color="auto"/>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2031</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1.346</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5,68</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490,49</w:t>
            </w:r>
          </w:p>
        </w:tc>
        <w:tc>
          <w:tcPr>
            <w:tcW w:w="959"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54</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72,70</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148,21</w:t>
            </w:r>
          </w:p>
        </w:tc>
      </w:tr>
      <w:tr w:rsidR="008C298E" w:rsidRPr="008C298E" w:rsidTr="002828C8">
        <w:trPr>
          <w:trHeight w:val="340"/>
        </w:trPr>
        <w:tc>
          <w:tcPr>
            <w:tcW w:w="674" w:type="pct"/>
            <w:tcBorders>
              <w:top w:val="nil"/>
              <w:left w:val="single" w:sz="4" w:space="0" w:color="auto"/>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2032</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1.334</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5,66</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488,74</w:t>
            </w:r>
          </w:p>
        </w:tc>
        <w:tc>
          <w:tcPr>
            <w:tcW w:w="959"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54</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72,05</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147,42</w:t>
            </w:r>
          </w:p>
        </w:tc>
      </w:tr>
      <w:tr w:rsidR="008C298E" w:rsidRPr="008C298E" w:rsidTr="002828C8">
        <w:trPr>
          <w:trHeight w:val="340"/>
        </w:trPr>
        <w:tc>
          <w:tcPr>
            <w:tcW w:w="674" w:type="pct"/>
            <w:tcBorders>
              <w:top w:val="nil"/>
              <w:left w:val="single" w:sz="4" w:space="0" w:color="auto"/>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2033</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1.328</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5,65</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487,75</w:t>
            </w:r>
          </w:p>
        </w:tc>
        <w:tc>
          <w:tcPr>
            <w:tcW w:w="959"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54</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71,69</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146,97</w:t>
            </w:r>
          </w:p>
        </w:tc>
      </w:tr>
      <w:tr w:rsidR="008C298E" w:rsidRPr="008C298E" w:rsidTr="002828C8">
        <w:trPr>
          <w:trHeight w:val="340"/>
        </w:trPr>
        <w:tc>
          <w:tcPr>
            <w:tcW w:w="674" w:type="pct"/>
            <w:tcBorders>
              <w:top w:val="nil"/>
              <w:left w:val="single" w:sz="4" w:space="0" w:color="auto"/>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2034</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1.313</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5,62</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485,67</w:t>
            </w:r>
          </w:p>
        </w:tc>
        <w:tc>
          <w:tcPr>
            <w:tcW w:w="959"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54</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70,92</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146,02</w:t>
            </w:r>
          </w:p>
        </w:tc>
      </w:tr>
      <w:tr w:rsidR="008C298E" w:rsidRPr="008C298E" w:rsidTr="002828C8">
        <w:trPr>
          <w:trHeight w:val="340"/>
        </w:trPr>
        <w:tc>
          <w:tcPr>
            <w:tcW w:w="674" w:type="pct"/>
            <w:tcBorders>
              <w:top w:val="nil"/>
              <w:left w:val="single" w:sz="4" w:space="0" w:color="auto"/>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2035</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1.298</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5,59</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483,37</w:t>
            </w:r>
          </w:p>
        </w:tc>
        <w:tc>
          <w:tcPr>
            <w:tcW w:w="959"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54</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70,07</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144,95</w:t>
            </w:r>
          </w:p>
        </w:tc>
      </w:tr>
      <w:tr w:rsidR="008C298E" w:rsidRPr="008C298E" w:rsidTr="002828C8">
        <w:trPr>
          <w:trHeight w:val="340"/>
        </w:trPr>
        <w:tc>
          <w:tcPr>
            <w:tcW w:w="674" w:type="pct"/>
            <w:tcBorders>
              <w:top w:val="nil"/>
              <w:left w:val="single" w:sz="4" w:space="0" w:color="auto"/>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2036</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1.283</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5,57</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481,29</w:t>
            </w:r>
          </w:p>
        </w:tc>
        <w:tc>
          <w:tcPr>
            <w:tcW w:w="959"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54</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69,30</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143,98</w:t>
            </w:r>
          </w:p>
        </w:tc>
      </w:tr>
      <w:tr w:rsidR="008C298E" w:rsidRPr="008C298E" w:rsidTr="002828C8">
        <w:trPr>
          <w:trHeight w:val="340"/>
        </w:trPr>
        <w:tc>
          <w:tcPr>
            <w:tcW w:w="674" w:type="pct"/>
            <w:tcBorders>
              <w:top w:val="nil"/>
              <w:left w:val="single" w:sz="4" w:space="0" w:color="auto"/>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2037</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1.277</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5,56</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480,30</w:t>
            </w:r>
          </w:p>
        </w:tc>
        <w:tc>
          <w:tcPr>
            <w:tcW w:w="959"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54</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68,93</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143,52</w:t>
            </w:r>
          </w:p>
        </w:tc>
      </w:tr>
      <w:tr w:rsidR="008C298E" w:rsidRPr="008C298E" w:rsidTr="002828C8">
        <w:trPr>
          <w:trHeight w:val="340"/>
        </w:trPr>
        <w:tc>
          <w:tcPr>
            <w:tcW w:w="674" w:type="pct"/>
            <w:tcBorders>
              <w:top w:val="nil"/>
              <w:left w:val="single" w:sz="4" w:space="0" w:color="auto"/>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2038</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1.268</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5,55</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479,09</w:t>
            </w:r>
          </w:p>
        </w:tc>
        <w:tc>
          <w:tcPr>
            <w:tcW w:w="959"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54</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68,49</w:t>
            </w:r>
          </w:p>
        </w:tc>
        <w:tc>
          <w:tcPr>
            <w:tcW w:w="674" w:type="pct"/>
            <w:tcBorders>
              <w:top w:val="nil"/>
              <w:left w:val="nil"/>
              <w:bottom w:val="single" w:sz="4" w:space="0" w:color="auto"/>
              <w:right w:val="single" w:sz="4" w:space="0" w:color="auto"/>
            </w:tcBorders>
            <w:shd w:val="clear" w:color="auto" w:fill="auto"/>
            <w:vAlign w:val="center"/>
            <w:hideMark/>
          </w:tcPr>
          <w:p w:rsidR="008C298E" w:rsidRPr="008C298E" w:rsidRDefault="008C298E" w:rsidP="008C298E">
            <w:pPr>
              <w:spacing w:line="240" w:lineRule="auto"/>
              <w:jc w:val="center"/>
              <w:rPr>
                <w:rFonts w:eastAsia="Times New Roman" w:cs="Arial"/>
                <w:color w:val="000000"/>
                <w:sz w:val="22"/>
                <w:lang w:eastAsia="pt-BR"/>
              </w:rPr>
            </w:pPr>
            <w:r w:rsidRPr="008C298E">
              <w:rPr>
                <w:rFonts w:eastAsia="Times New Roman" w:cs="Arial"/>
                <w:color w:val="000000"/>
                <w:sz w:val="22"/>
                <w:lang w:eastAsia="pt-BR"/>
              </w:rPr>
              <w:t>142,95</w:t>
            </w:r>
          </w:p>
        </w:tc>
      </w:tr>
    </w:tbl>
    <w:p w:rsidR="008C298E" w:rsidRDefault="008C298E" w:rsidP="008C298E">
      <w:pPr>
        <w:rPr>
          <w:lang w:eastAsia="x-none"/>
        </w:rPr>
      </w:pPr>
    </w:p>
    <w:p w:rsidR="00332E83" w:rsidRPr="00FE18E4" w:rsidRDefault="00332E83" w:rsidP="00332E83">
      <w:pPr>
        <w:shd w:val="clear" w:color="auto" w:fill="FFFFFF"/>
        <w:ind w:firstLine="708"/>
        <w:rPr>
          <w:rFonts w:cs="Arial"/>
          <w:szCs w:val="24"/>
        </w:rPr>
      </w:pPr>
      <w:r w:rsidRPr="00FE18E4">
        <w:rPr>
          <w:rFonts w:cs="Arial"/>
          <w:szCs w:val="24"/>
        </w:rPr>
        <w:t xml:space="preserve">Através da </w:t>
      </w:r>
      <w:r w:rsidR="00FE18E4" w:rsidRPr="00FE18E4">
        <w:rPr>
          <w:rFonts w:cs="Arial"/>
          <w:szCs w:val="24"/>
        </w:rPr>
        <w:fldChar w:fldCharType="begin"/>
      </w:r>
      <w:r w:rsidR="00FE18E4" w:rsidRPr="00FE18E4">
        <w:rPr>
          <w:rFonts w:cs="Arial"/>
          <w:szCs w:val="24"/>
        </w:rPr>
        <w:instrText xml:space="preserve"> REF _Ref493842516 \h </w:instrText>
      </w:r>
      <w:r w:rsidR="00FE18E4" w:rsidRPr="00FE18E4">
        <w:rPr>
          <w:rFonts w:cs="Arial"/>
          <w:szCs w:val="24"/>
        </w:rPr>
      </w:r>
      <w:r w:rsidR="00FE18E4" w:rsidRPr="00FE18E4">
        <w:rPr>
          <w:rFonts w:cs="Arial"/>
          <w:szCs w:val="24"/>
        </w:rPr>
        <w:fldChar w:fldCharType="separate"/>
      </w:r>
      <w:r w:rsidR="004D1D76" w:rsidRPr="00FE18E4">
        <w:t xml:space="preserve">Equação </w:t>
      </w:r>
      <w:r w:rsidR="004D1D76">
        <w:rPr>
          <w:noProof/>
        </w:rPr>
        <w:t>14</w:t>
      </w:r>
      <w:r w:rsidR="00FE18E4" w:rsidRPr="00FE18E4">
        <w:rPr>
          <w:rFonts w:cs="Arial"/>
          <w:szCs w:val="24"/>
        </w:rPr>
        <w:fldChar w:fldCharType="end"/>
      </w:r>
      <w:r w:rsidR="00FE18E4" w:rsidRPr="00FE18E4">
        <w:rPr>
          <w:rFonts w:cs="Arial"/>
          <w:szCs w:val="24"/>
        </w:rPr>
        <w:t xml:space="preserve">e </w:t>
      </w:r>
      <w:r w:rsidR="00FE18E4" w:rsidRPr="00FE18E4">
        <w:rPr>
          <w:rFonts w:cs="Arial"/>
          <w:szCs w:val="24"/>
        </w:rPr>
        <w:fldChar w:fldCharType="begin"/>
      </w:r>
      <w:r w:rsidR="00FE18E4" w:rsidRPr="00FE18E4">
        <w:rPr>
          <w:rFonts w:cs="Arial"/>
          <w:szCs w:val="24"/>
        </w:rPr>
        <w:instrText xml:space="preserve"> REF _Ref493842520 \h </w:instrText>
      </w:r>
      <w:r w:rsidR="00FE18E4" w:rsidRPr="00FE18E4">
        <w:rPr>
          <w:rFonts w:cs="Arial"/>
          <w:szCs w:val="24"/>
        </w:rPr>
      </w:r>
      <w:r w:rsidR="00FE18E4" w:rsidRPr="00FE18E4">
        <w:rPr>
          <w:rFonts w:cs="Arial"/>
          <w:szCs w:val="24"/>
        </w:rPr>
        <w:fldChar w:fldCharType="separate"/>
      </w:r>
      <w:r w:rsidR="004D1D76" w:rsidRPr="00FE18E4">
        <w:t xml:space="preserve">Equação </w:t>
      </w:r>
      <w:r w:rsidR="004D1D76">
        <w:rPr>
          <w:noProof/>
        </w:rPr>
        <w:t>15</w:t>
      </w:r>
      <w:r w:rsidR="00FE18E4" w:rsidRPr="00FE18E4">
        <w:rPr>
          <w:rFonts w:cs="Arial"/>
          <w:szCs w:val="24"/>
        </w:rPr>
        <w:fldChar w:fldCharType="end"/>
      </w:r>
      <w:r w:rsidR="00FE18E4" w:rsidRPr="00FE18E4">
        <w:rPr>
          <w:rFonts w:cs="Arial"/>
          <w:szCs w:val="24"/>
        </w:rPr>
        <w:t xml:space="preserve">, </w:t>
      </w:r>
      <w:r w:rsidRPr="00FE18E4">
        <w:rPr>
          <w:rFonts w:cs="Arial"/>
          <w:szCs w:val="24"/>
        </w:rPr>
        <w:t xml:space="preserve">calcula-se a carga de DBO removida e a concentração removida de DBO para cada ano do cenário previsível. </w:t>
      </w:r>
    </w:p>
    <w:tbl>
      <w:tblPr>
        <w:tblStyle w:val="Tabelacomgrade"/>
        <w:tblW w:w="10065" w:type="dxa"/>
        <w:tblInd w:w="-3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79"/>
        <w:gridCol w:w="5386"/>
      </w:tblGrid>
      <w:tr w:rsidR="00FE18E4" w:rsidRPr="00FE18E4" w:rsidTr="00642595">
        <w:tc>
          <w:tcPr>
            <w:tcW w:w="4679" w:type="dxa"/>
            <w:vAlign w:val="center"/>
          </w:tcPr>
          <w:p w:rsidR="00332E83" w:rsidRPr="00FE18E4" w:rsidRDefault="00332E83" w:rsidP="00642595">
            <w:pPr>
              <w:shd w:val="clear" w:color="auto" w:fill="FFFFFF"/>
              <w:spacing w:before="120" w:after="120" w:line="240" w:lineRule="auto"/>
              <w:ind w:firstLine="709"/>
              <w:jc w:val="center"/>
              <w:rPr>
                <w:rFonts w:cs="Arial"/>
                <w:szCs w:val="24"/>
              </w:rPr>
            </w:pPr>
            <m:oMathPara>
              <m:oMath>
                <m:r>
                  <w:rPr>
                    <w:rFonts w:ascii="Cambria Math" w:hAnsi="Cambria Math" w:cs="Arial"/>
                    <w:sz w:val="22"/>
                    <w:szCs w:val="24"/>
                  </w:rPr>
                  <w:lastRenderedPageBreak/>
                  <m:t>Carga DBO removida=População x Carga  per capita</m:t>
                </m:r>
              </m:oMath>
            </m:oMathPara>
          </w:p>
        </w:tc>
        <w:tc>
          <w:tcPr>
            <w:tcW w:w="5386" w:type="dxa"/>
            <w:vAlign w:val="center"/>
          </w:tcPr>
          <w:p w:rsidR="00332E83" w:rsidRPr="00FE18E4" w:rsidRDefault="00332E83" w:rsidP="00642595">
            <w:pPr>
              <w:shd w:val="clear" w:color="auto" w:fill="FFFFFF"/>
              <w:spacing w:before="120" w:after="120" w:line="240" w:lineRule="auto"/>
              <w:ind w:firstLine="709"/>
              <w:jc w:val="center"/>
              <w:rPr>
                <w:rFonts w:cs="Arial"/>
                <w:szCs w:val="24"/>
              </w:rPr>
            </w:pPr>
            <m:oMathPara>
              <m:oMath>
                <m:r>
                  <w:rPr>
                    <w:rFonts w:ascii="Cambria Math" w:hAnsi="Cambria Math" w:cs="Arial"/>
                    <w:sz w:val="22"/>
                    <w:szCs w:val="24"/>
                  </w:rPr>
                  <m:t>Concentração final de DBO=</m:t>
                </m:r>
                <m:f>
                  <m:fPr>
                    <m:ctrlPr>
                      <w:rPr>
                        <w:rFonts w:ascii="Cambria Math" w:hAnsi="Cambria Math" w:cs="Arial"/>
                        <w:i/>
                        <w:sz w:val="22"/>
                        <w:szCs w:val="24"/>
                      </w:rPr>
                    </m:ctrlPr>
                  </m:fPr>
                  <m:num>
                    <m:r>
                      <w:rPr>
                        <w:rFonts w:ascii="Cambria Math" w:hAnsi="Cambria Math" w:cs="Arial"/>
                        <w:sz w:val="22"/>
                        <w:szCs w:val="24"/>
                      </w:rPr>
                      <m:t xml:space="preserve">Carga DBO removida </m:t>
                    </m:r>
                  </m:num>
                  <m:den>
                    <m:r>
                      <w:rPr>
                        <w:rFonts w:ascii="Cambria Math" w:hAnsi="Cambria Math" w:cs="Arial"/>
                        <w:sz w:val="22"/>
                        <w:szCs w:val="24"/>
                      </w:rPr>
                      <m:t>Vazão</m:t>
                    </m:r>
                  </m:den>
                </m:f>
              </m:oMath>
            </m:oMathPara>
          </w:p>
        </w:tc>
      </w:tr>
      <w:tr w:rsidR="00FE18E4" w:rsidRPr="00FE18E4" w:rsidTr="00642595">
        <w:tc>
          <w:tcPr>
            <w:tcW w:w="4679" w:type="dxa"/>
            <w:vAlign w:val="center"/>
          </w:tcPr>
          <w:p w:rsidR="00332E83" w:rsidRPr="00FE18E4" w:rsidRDefault="00332E83" w:rsidP="00642595">
            <w:pPr>
              <w:pStyle w:val="Legenda"/>
            </w:pPr>
            <w:bookmarkStart w:id="111" w:name="_Ref493842516"/>
            <w:r w:rsidRPr="00FE18E4">
              <w:t xml:space="preserve">Equação </w:t>
            </w:r>
            <w:r w:rsidR="00D71C43">
              <w:fldChar w:fldCharType="begin"/>
            </w:r>
            <w:r w:rsidR="00D71C43">
              <w:instrText xml:space="preserve"> SEQ Equação \* ARABIC </w:instrText>
            </w:r>
            <w:r w:rsidR="00D71C43">
              <w:fldChar w:fldCharType="separate"/>
            </w:r>
            <w:r w:rsidR="004D1D76">
              <w:rPr>
                <w:noProof/>
              </w:rPr>
              <w:t>14</w:t>
            </w:r>
            <w:r w:rsidR="00D71C43">
              <w:rPr>
                <w:noProof/>
              </w:rPr>
              <w:fldChar w:fldCharType="end"/>
            </w:r>
            <w:bookmarkEnd w:id="111"/>
          </w:p>
        </w:tc>
        <w:tc>
          <w:tcPr>
            <w:tcW w:w="5386" w:type="dxa"/>
            <w:vAlign w:val="center"/>
          </w:tcPr>
          <w:p w:rsidR="00332E83" w:rsidRPr="00FE18E4" w:rsidRDefault="00332E83" w:rsidP="00642595">
            <w:pPr>
              <w:pStyle w:val="Legenda"/>
            </w:pPr>
            <w:bookmarkStart w:id="112" w:name="_Ref493842520"/>
            <w:r w:rsidRPr="00FE18E4">
              <w:t xml:space="preserve">Equação </w:t>
            </w:r>
            <w:r w:rsidR="00D71C43">
              <w:fldChar w:fldCharType="begin"/>
            </w:r>
            <w:r w:rsidR="00D71C43">
              <w:instrText xml:space="preserve"> SEQ Equação \* ARABIC </w:instrText>
            </w:r>
            <w:r w:rsidR="00D71C43">
              <w:fldChar w:fldCharType="separate"/>
            </w:r>
            <w:r w:rsidR="004D1D76">
              <w:rPr>
                <w:noProof/>
              </w:rPr>
              <w:t>15</w:t>
            </w:r>
            <w:r w:rsidR="00D71C43">
              <w:rPr>
                <w:noProof/>
              </w:rPr>
              <w:fldChar w:fldCharType="end"/>
            </w:r>
            <w:bookmarkEnd w:id="112"/>
          </w:p>
        </w:tc>
      </w:tr>
    </w:tbl>
    <w:p w:rsidR="00332E83" w:rsidRPr="00FE18E4" w:rsidRDefault="00332E83" w:rsidP="00332E83">
      <w:pPr>
        <w:shd w:val="clear" w:color="auto" w:fill="FFFFFF"/>
        <w:ind w:firstLine="709"/>
        <w:rPr>
          <w:szCs w:val="24"/>
        </w:rPr>
      </w:pPr>
    </w:p>
    <w:p w:rsidR="00332E83" w:rsidRPr="00FE18E4" w:rsidRDefault="00332E83" w:rsidP="00332E83">
      <w:pPr>
        <w:shd w:val="clear" w:color="auto" w:fill="FFFFFF"/>
        <w:ind w:firstLine="709"/>
        <w:rPr>
          <w:szCs w:val="24"/>
        </w:rPr>
      </w:pPr>
      <w:r w:rsidRPr="00FE18E4">
        <w:rPr>
          <w:szCs w:val="24"/>
        </w:rPr>
        <w:t xml:space="preserve">O </w:t>
      </w:r>
      <w:r w:rsidR="00FE18E4" w:rsidRPr="00FE18E4">
        <w:rPr>
          <w:szCs w:val="24"/>
        </w:rPr>
        <w:fldChar w:fldCharType="begin"/>
      </w:r>
      <w:r w:rsidR="00FE18E4" w:rsidRPr="00FE18E4">
        <w:rPr>
          <w:szCs w:val="24"/>
        </w:rPr>
        <w:instrText xml:space="preserve"> REF _Ref493842793 \h </w:instrText>
      </w:r>
      <w:r w:rsidR="00FE18E4" w:rsidRPr="00FE18E4">
        <w:rPr>
          <w:szCs w:val="24"/>
        </w:rPr>
      </w:r>
      <w:r w:rsidR="00FE18E4" w:rsidRPr="00FE18E4">
        <w:rPr>
          <w:szCs w:val="24"/>
        </w:rPr>
        <w:fldChar w:fldCharType="separate"/>
      </w:r>
      <w:r w:rsidR="004D1D76" w:rsidRPr="00FE18E4">
        <w:t xml:space="preserve">Quadro </w:t>
      </w:r>
      <w:r w:rsidR="004D1D76">
        <w:rPr>
          <w:noProof/>
        </w:rPr>
        <w:t>11</w:t>
      </w:r>
      <w:r w:rsidR="00FE18E4" w:rsidRPr="00FE18E4">
        <w:rPr>
          <w:szCs w:val="24"/>
        </w:rPr>
        <w:fldChar w:fldCharType="end"/>
      </w:r>
      <w:r w:rsidR="00FE18E4" w:rsidRPr="00FE18E4">
        <w:rPr>
          <w:szCs w:val="24"/>
        </w:rPr>
        <w:t xml:space="preserve"> a</w:t>
      </w:r>
      <w:r w:rsidRPr="00FE18E4">
        <w:rPr>
          <w:szCs w:val="24"/>
        </w:rPr>
        <w:t xml:space="preserve">presenta a evolução da carga removida de DBO e </w:t>
      </w:r>
      <w:r w:rsidR="00FE18E4" w:rsidRPr="00FE18E4">
        <w:rPr>
          <w:szCs w:val="24"/>
        </w:rPr>
        <w:t xml:space="preserve">a </w:t>
      </w:r>
      <w:r w:rsidRPr="00FE18E4">
        <w:rPr>
          <w:szCs w:val="24"/>
        </w:rPr>
        <w:t>concentração removida de DBO para o cenário previsível, considerando 70% de eficiência de remoção.</w:t>
      </w:r>
    </w:p>
    <w:p w:rsidR="00332E83" w:rsidRPr="00FE18E4" w:rsidRDefault="00332E83" w:rsidP="00332E83">
      <w:pPr>
        <w:pStyle w:val="Legenda"/>
      </w:pPr>
      <w:bookmarkStart w:id="113" w:name="_Ref493842793"/>
      <w:bookmarkStart w:id="114" w:name="_Toc497469132"/>
      <w:r w:rsidRPr="00FE18E4">
        <w:t xml:space="preserve">Quadro </w:t>
      </w:r>
      <w:r w:rsidR="00D71C43">
        <w:fldChar w:fldCharType="begin"/>
      </w:r>
      <w:r w:rsidR="00D71C43">
        <w:instrText xml:space="preserve"> SEQ Quadro \* ARABIC </w:instrText>
      </w:r>
      <w:r w:rsidR="00D71C43">
        <w:fldChar w:fldCharType="separate"/>
      </w:r>
      <w:r w:rsidR="004D1D76">
        <w:rPr>
          <w:noProof/>
        </w:rPr>
        <w:t>11</w:t>
      </w:r>
      <w:r w:rsidR="00D71C43">
        <w:rPr>
          <w:noProof/>
        </w:rPr>
        <w:fldChar w:fldCharType="end"/>
      </w:r>
      <w:bookmarkEnd w:id="113"/>
      <w:r w:rsidRPr="00FE18E4">
        <w:t xml:space="preserve"> - Evolução da carga orgânica removida e concentração removida de DBO para o cenário previsível do município de </w:t>
      </w:r>
      <w:r w:rsidR="007E15C8" w:rsidRPr="00FE18E4">
        <w:t>Córrego Novo</w:t>
      </w:r>
      <w:bookmarkEnd w:id="114"/>
    </w:p>
    <w:tbl>
      <w:tblPr>
        <w:tblW w:w="5000" w:type="pct"/>
        <w:jc w:val="center"/>
        <w:tblCellMar>
          <w:left w:w="70" w:type="dxa"/>
          <w:right w:w="70" w:type="dxa"/>
        </w:tblCellMar>
        <w:tblLook w:val="04A0" w:firstRow="1" w:lastRow="0" w:firstColumn="1" w:lastColumn="0" w:noHBand="0" w:noVBand="1"/>
      </w:tblPr>
      <w:tblGrid>
        <w:gridCol w:w="1898"/>
        <w:gridCol w:w="1899"/>
        <w:gridCol w:w="1899"/>
        <w:gridCol w:w="1899"/>
        <w:gridCol w:w="1899"/>
      </w:tblGrid>
      <w:tr w:rsidR="00FE18E4" w:rsidRPr="00FE18E4" w:rsidTr="002828C8">
        <w:trPr>
          <w:trHeight w:val="312"/>
          <w:jc w:val="center"/>
        </w:trPr>
        <w:tc>
          <w:tcPr>
            <w:tcW w:w="10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b/>
                <w:bCs/>
                <w:sz w:val="22"/>
                <w:lang w:eastAsia="pt-BR"/>
              </w:rPr>
            </w:pPr>
            <w:r w:rsidRPr="00FE18E4">
              <w:rPr>
                <w:rFonts w:eastAsia="Times New Roman" w:cs="Arial"/>
                <w:b/>
                <w:bCs/>
                <w:sz w:val="22"/>
                <w:lang w:eastAsia="pt-BR"/>
              </w:rPr>
              <w:t>Ano</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b/>
                <w:bCs/>
                <w:sz w:val="22"/>
                <w:lang w:eastAsia="pt-BR"/>
              </w:rPr>
            </w:pPr>
            <w:r w:rsidRPr="00FE18E4">
              <w:rPr>
                <w:rFonts w:eastAsia="Times New Roman" w:cs="Arial"/>
                <w:b/>
                <w:bCs/>
                <w:sz w:val="22"/>
                <w:lang w:eastAsia="pt-BR"/>
              </w:rPr>
              <w:t>População urbana atendida (hab.)</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b/>
                <w:bCs/>
                <w:sz w:val="22"/>
                <w:lang w:eastAsia="pt-BR"/>
              </w:rPr>
            </w:pPr>
            <w:r w:rsidRPr="00FE18E4">
              <w:rPr>
                <w:rFonts w:eastAsia="Times New Roman" w:cs="Arial"/>
                <w:b/>
                <w:bCs/>
                <w:sz w:val="22"/>
                <w:lang w:eastAsia="pt-BR"/>
              </w:rPr>
              <w:t>Vazão sanitária média (L/s)</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b/>
                <w:bCs/>
                <w:sz w:val="22"/>
                <w:lang w:eastAsia="pt-BR"/>
              </w:rPr>
            </w:pPr>
            <w:r w:rsidRPr="00FE18E4">
              <w:rPr>
                <w:rFonts w:eastAsia="Times New Roman" w:cs="Arial"/>
                <w:b/>
                <w:bCs/>
                <w:sz w:val="22"/>
                <w:lang w:eastAsia="pt-BR"/>
              </w:rPr>
              <w:t>Carga removida de DBO (kg/dia), considerando eficiência típica de remoção de 70%</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b/>
                <w:bCs/>
                <w:sz w:val="22"/>
                <w:lang w:eastAsia="pt-BR"/>
              </w:rPr>
            </w:pPr>
            <w:r w:rsidRPr="00FE18E4">
              <w:rPr>
                <w:rFonts w:eastAsia="Times New Roman" w:cs="Arial"/>
                <w:b/>
                <w:bCs/>
                <w:sz w:val="22"/>
                <w:lang w:eastAsia="pt-BR"/>
              </w:rPr>
              <w:t>Concentração removida de DBO (mg/L), considerando eficiência típica de</w:t>
            </w:r>
            <w:r w:rsidR="00A43741" w:rsidRPr="00FE18E4">
              <w:rPr>
                <w:rFonts w:eastAsia="Times New Roman" w:cs="Arial"/>
                <w:b/>
                <w:bCs/>
                <w:sz w:val="22"/>
                <w:lang w:eastAsia="pt-BR"/>
              </w:rPr>
              <w:t xml:space="preserve"> </w:t>
            </w:r>
            <w:r w:rsidRPr="00FE18E4">
              <w:rPr>
                <w:rFonts w:eastAsia="Times New Roman" w:cs="Arial"/>
                <w:b/>
                <w:bCs/>
                <w:sz w:val="22"/>
                <w:lang w:eastAsia="pt-BR"/>
              </w:rPr>
              <w:t>remoção de 70%</w:t>
            </w:r>
          </w:p>
        </w:tc>
      </w:tr>
      <w:tr w:rsidR="00FE18E4" w:rsidRPr="00FE18E4" w:rsidTr="002828C8">
        <w:trPr>
          <w:trHeight w:val="312"/>
          <w:jc w:val="center"/>
        </w:trPr>
        <w:tc>
          <w:tcPr>
            <w:tcW w:w="1000" w:type="pct"/>
            <w:tcBorders>
              <w:top w:val="nil"/>
              <w:left w:val="single" w:sz="4" w:space="0" w:color="auto"/>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2017</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1.487</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5,92</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56,22</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109,99</w:t>
            </w:r>
          </w:p>
        </w:tc>
      </w:tr>
      <w:tr w:rsidR="00FE18E4" w:rsidRPr="00FE18E4" w:rsidTr="002828C8">
        <w:trPr>
          <w:trHeight w:val="312"/>
          <w:jc w:val="center"/>
        </w:trPr>
        <w:tc>
          <w:tcPr>
            <w:tcW w:w="1000" w:type="pct"/>
            <w:tcBorders>
              <w:top w:val="nil"/>
              <w:left w:val="single" w:sz="4" w:space="0" w:color="auto"/>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2018</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1.477</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5,90</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55,82</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109,55</w:t>
            </w:r>
          </w:p>
        </w:tc>
      </w:tr>
      <w:tr w:rsidR="00FE18E4" w:rsidRPr="00FE18E4" w:rsidTr="002828C8">
        <w:trPr>
          <w:trHeight w:val="312"/>
          <w:jc w:val="center"/>
        </w:trPr>
        <w:tc>
          <w:tcPr>
            <w:tcW w:w="1000" w:type="pct"/>
            <w:tcBorders>
              <w:top w:val="nil"/>
              <w:left w:val="single" w:sz="4" w:space="0" w:color="auto"/>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2019</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1.469</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5,89</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55,54</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109,23</w:t>
            </w:r>
          </w:p>
        </w:tc>
      </w:tr>
      <w:tr w:rsidR="00FE18E4" w:rsidRPr="00FE18E4" w:rsidTr="002828C8">
        <w:trPr>
          <w:trHeight w:val="312"/>
          <w:jc w:val="center"/>
        </w:trPr>
        <w:tc>
          <w:tcPr>
            <w:tcW w:w="1000" w:type="pct"/>
            <w:tcBorders>
              <w:top w:val="nil"/>
              <w:left w:val="single" w:sz="4" w:space="0" w:color="auto"/>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2020</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1.467</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5,88</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55,45</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109,13</w:t>
            </w:r>
          </w:p>
        </w:tc>
      </w:tr>
      <w:tr w:rsidR="00FE18E4" w:rsidRPr="00FE18E4" w:rsidTr="002828C8">
        <w:trPr>
          <w:trHeight w:val="312"/>
          <w:jc w:val="center"/>
        </w:trPr>
        <w:tc>
          <w:tcPr>
            <w:tcW w:w="1000" w:type="pct"/>
            <w:tcBorders>
              <w:top w:val="nil"/>
              <w:left w:val="single" w:sz="4" w:space="0" w:color="auto"/>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2021</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1.457</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5,86</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55,06</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108,68</w:t>
            </w:r>
          </w:p>
        </w:tc>
      </w:tr>
      <w:tr w:rsidR="00FE18E4" w:rsidRPr="00FE18E4" w:rsidTr="002828C8">
        <w:trPr>
          <w:trHeight w:val="312"/>
          <w:jc w:val="center"/>
        </w:trPr>
        <w:tc>
          <w:tcPr>
            <w:tcW w:w="1000" w:type="pct"/>
            <w:tcBorders>
              <w:top w:val="nil"/>
              <w:left w:val="single" w:sz="4" w:space="0" w:color="auto"/>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2022</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1.444</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5,84</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54,57</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108,12</w:t>
            </w:r>
          </w:p>
        </w:tc>
      </w:tr>
      <w:tr w:rsidR="00FE18E4" w:rsidRPr="00FE18E4" w:rsidTr="002828C8">
        <w:trPr>
          <w:trHeight w:val="312"/>
          <w:jc w:val="center"/>
        </w:trPr>
        <w:tc>
          <w:tcPr>
            <w:tcW w:w="1000" w:type="pct"/>
            <w:tcBorders>
              <w:top w:val="nil"/>
              <w:left w:val="single" w:sz="4" w:space="0" w:color="auto"/>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2023</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1.433</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5,82</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54,15</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107,63</w:t>
            </w:r>
          </w:p>
        </w:tc>
      </w:tr>
      <w:tr w:rsidR="00FE18E4" w:rsidRPr="00FE18E4" w:rsidTr="002828C8">
        <w:trPr>
          <w:trHeight w:val="312"/>
          <w:jc w:val="center"/>
        </w:trPr>
        <w:tc>
          <w:tcPr>
            <w:tcW w:w="1000" w:type="pct"/>
            <w:tcBorders>
              <w:top w:val="nil"/>
              <w:left w:val="single" w:sz="4" w:space="0" w:color="auto"/>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2024</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1.430</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5,82</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54,04</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107,50</w:t>
            </w:r>
          </w:p>
        </w:tc>
      </w:tr>
      <w:tr w:rsidR="00FE18E4" w:rsidRPr="00FE18E4" w:rsidTr="002828C8">
        <w:trPr>
          <w:trHeight w:val="312"/>
          <w:jc w:val="center"/>
        </w:trPr>
        <w:tc>
          <w:tcPr>
            <w:tcW w:w="1000" w:type="pct"/>
            <w:tcBorders>
              <w:top w:val="nil"/>
              <w:left w:val="single" w:sz="4" w:space="0" w:color="auto"/>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2025</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1.418</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5,80</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53,61</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107,00</w:t>
            </w:r>
          </w:p>
        </w:tc>
      </w:tr>
      <w:tr w:rsidR="00FE18E4" w:rsidRPr="00FE18E4" w:rsidTr="002828C8">
        <w:trPr>
          <w:trHeight w:val="312"/>
          <w:jc w:val="center"/>
        </w:trPr>
        <w:tc>
          <w:tcPr>
            <w:tcW w:w="1000" w:type="pct"/>
            <w:tcBorders>
              <w:top w:val="nil"/>
              <w:left w:val="single" w:sz="4" w:space="0" w:color="auto"/>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2026</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1.411</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5,79</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53,33</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106,67</w:t>
            </w:r>
          </w:p>
        </w:tc>
      </w:tr>
      <w:tr w:rsidR="00FE18E4" w:rsidRPr="00FE18E4" w:rsidTr="002828C8">
        <w:trPr>
          <w:trHeight w:val="312"/>
          <w:jc w:val="center"/>
        </w:trPr>
        <w:tc>
          <w:tcPr>
            <w:tcW w:w="1000" w:type="pct"/>
            <w:tcBorders>
              <w:top w:val="nil"/>
              <w:left w:val="single" w:sz="4" w:space="0" w:color="auto"/>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2027</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1.397</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5,76</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52,79</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106,03</w:t>
            </w:r>
          </w:p>
        </w:tc>
      </w:tr>
      <w:tr w:rsidR="00FE18E4" w:rsidRPr="00FE18E4" w:rsidTr="002828C8">
        <w:trPr>
          <w:trHeight w:val="312"/>
          <w:jc w:val="center"/>
        </w:trPr>
        <w:tc>
          <w:tcPr>
            <w:tcW w:w="1000" w:type="pct"/>
            <w:tcBorders>
              <w:top w:val="nil"/>
              <w:left w:val="single" w:sz="4" w:space="0" w:color="auto"/>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2028</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1.388</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5,75</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52,48</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105,66</w:t>
            </w:r>
          </w:p>
        </w:tc>
      </w:tr>
      <w:tr w:rsidR="00FE18E4" w:rsidRPr="00FE18E4" w:rsidTr="002828C8">
        <w:trPr>
          <w:trHeight w:val="312"/>
          <w:jc w:val="center"/>
        </w:trPr>
        <w:tc>
          <w:tcPr>
            <w:tcW w:w="1000" w:type="pct"/>
            <w:tcBorders>
              <w:top w:val="nil"/>
              <w:left w:val="single" w:sz="4" w:space="0" w:color="auto"/>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2029</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1.377</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5,73</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52,05</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105,16</w:t>
            </w:r>
          </w:p>
        </w:tc>
      </w:tr>
      <w:tr w:rsidR="00FE18E4" w:rsidRPr="00FE18E4" w:rsidTr="002828C8">
        <w:trPr>
          <w:trHeight w:val="312"/>
          <w:jc w:val="center"/>
        </w:trPr>
        <w:tc>
          <w:tcPr>
            <w:tcW w:w="1000" w:type="pct"/>
            <w:tcBorders>
              <w:top w:val="nil"/>
              <w:left w:val="single" w:sz="4" w:space="0" w:color="auto"/>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2030</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1.360</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5,70</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51,40</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104,37</w:t>
            </w:r>
          </w:p>
        </w:tc>
      </w:tr>
      <w:tr w:rsidR="00FE18E4" w:rsidRPr="00FE18E4" w:rsidTr="002828C8">
        <w:trPr>
          <w:trHeight w:val="312"/>
          <w:jc w:val="center"/>
        </w:trPr>
        <w:tc>
          <w:tcPr>
            <w:tcW w:w="1000" w:type="pct"/>
            <w:tcBorders>
              <w:top w:val="nil"/>
              <w:left w:val="single" w:sz="4" w:space="0" w:color="auto"/>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2031</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1.346</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5,68</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50,89</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103,75</w:t>
            </w:r>
          </w:p>
        </w:tc>
      </w:tr>
      <w:tr w:rsidR="00FE18E4" w:rsidRPr="00FE18E4" w:rsidTr="002828C8">
        <w:trPr>
          <w:trHeight w:val="312"/>
          <w:jc w:val="center"/>
        </w:trPr>
        <w:tc>
          <w:tcPr>
            <w:tcW w:w="1000" w:type="pct"/>
            <w:tcBorders>
              <w:top w:val="nil"/>
              <w:left w:val="single" w:sz="4" w:space="0" w:color="auto"/>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2032</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1.334</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5,66</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50,43</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103,19</w:t>
            </w:r>
          </w:p>
        </w:tc>
      </w:tr>
      <w:tr w:rsidR="00FE18E4" w:rsidRPr="00FE18E4" w:rsidTr="002828C8">
        <w:trPr>
          <w:trHeight w:val="312"/>
          <w:jc w:val="center"/>
        </w:trPr>
        <w:tc>
          <w:tcPr>
            <w:tcW w:w="1000" w:type="pct"/>
            <w:tcBorders>
              <w:top w:val="nil"/>
              <w:left w:val="single" w:sz="4" w:space="0" w:color="auto"/>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2033</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1.328</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5,65</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50,18</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102,88</w:t>
            </w:r>
          </w:p>
        </w:tc>
      </w:tr>
      <w:tr w:rsidR="00FE18E4" w:rsidRPr="00FE18E4" w:rsidTr="002828C8">
        <w:trPr>
          <w:trHeight w:val="312"/>
          <w:jc w:val="center"/>
        </w:trPr>
        <w:tc>
          <w:tcPr>
            <w:tcW w:w="1000" w:type="pct"/>
            <w:tcBorders>
              <w:top w:val="nil"/>
              <w:left w:val="single" w:sz="4" w:space="0" w:color="auto"/>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2034</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1.313</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5,62</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49,64</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102,21</w:t>
            </w:r>
          </w:p>
        </w:tc>
      </w:tr>
      <w:tr w:rsidR="00FE18E4" w:rsidRPr="00FE18E4" w:rsidTr="002828C8">
        <w:trPr>
          <w:trHeight w:val="312"/>
          <w:jc w:val="center"/>
        </w:trPr>
        <w:tc>
          <w:tcPr>
            <w:tcW w:w="1000" w:type="pct"/>
            <w:tcBorders>
              <w:top w:val="nil"/>
              <w:left w:val="single" w:sz="4" w:space="0" w:color="auto"/>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2035</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1.298</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5,59</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49,05</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101,47</w:t>
            </w:r>
          </w:p>
        </w:tc>
      </w:tr>
      <w:tr w:rsidR="00FE18E4" w:rsidRPr="00FE18E4" w:rsidTr="002828C8">
        <w:trPr>
          <w:trHeight w:val="312"/>
          <w:jc w:val="center"/>
        </w:trPr>
        <w:tc>
          <w:tcPr>
            <w:tcW w:w="1000" w:type="pct"/>
            <w:tcBorders>
              <w:top w:val="nil"/>
              <w:left w:val="single" w:sz="4" w:space="0" w:color="auto"/>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2036</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1.283</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5,57</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48,51</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100,79</w:t>
            </w:r>
          </w:p>
        </w:tc>
      </w:tr>
      <w:tr w:rsidR="00FE18E4" w:rsidRPr="00FE18E4" w:rsidTr="002828C8">
        <w:trPr>
          <w:trHeight w:val="312"/>
          <w:jc w:val="center"/>
        </w:trPr>
        <w:tc>
          <w:tcPr>
            <w:tcW w:w="1000" w:type="pct"/>
            <w:tcBorders>
              <w:top w:val="nil"/>
              <w:left w:val="single" w:sz="4" w:space="0" w:color="auto"/>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2037</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1.277</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5,56</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48,25</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100,46</w:t>
            </w:r>
          </w:p>
        </w:tc>
      </w:tr>
      <w:tr w:rsidR="00FE18E4" w:rsidRPr="00FE18E4" w:rsidTr="002828C8">
        <w:trPr>
          <w:trHeight w:val="312"/>
          <w:jc w:val="center"/>
        </w:trPr>
        <w:tc>
          <w:tcPr>
            <w:tcW w:w="1000" w:type="pct"/>
            <w:tcBorders>
              <w:top w:val="nil"/>
              <w:left w:val="single" w:sz="4" w:space="0" w:color="auto"/>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2038</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1.268</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5,55</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47,94</w:t>
            </w:r>
          </w:p>
        </w:tc>
        <w:tc>
          <w:tcPr>
            <w:tcW w:w="1000" w:type="pct"/>
            <w:tcBorders>
              <w:top w:val="nil"/>
              <w:left w:val="nil"/>
              <w:bottom w:val="single" w:sz="4" w:space="0" w:color="auto"/>
              <w:right w:val="single" w:sz="4" w:space="0" w:color="auto"/>
            </w:tcBorders>
            <w:shd w:val="clear" w:color="auto" w:fill="auto"/>
            <w:vAlign w:val="center"/>
            <w:hideMark/>
          </w:tcPr>
          <w:p w:rsidR="004C1FDB" w:rsidRPr="00FE18E4" w:rsidRDefault="004C1FDB" w:rsidP="004C1FDB">
            <w:pPr>
              <w:spacing w:line="240" w:lineRule="auto"/>
              <w:jc w:val="center"/>
              <w:rPr>
                <w:rFonts w:eastAsia="Times New Roman" w:cs="Arial"/>
                <w:sz w:val="22"/>
                <w:lang w:eastAsia="pt-BR"/>
              </w:rPr>
            </w:pPr>
            <w:r w:rsidRPr="00FE18E4">
              <w:rPr>
                <w:rFonts w:eastAsia="Times New Roman" w:cs="Arial"/>
                <w:sz w:val="22"/>
                <w:lang w:eastAsia="pt-BR"/>
              </w:rPr>
              <w:t>100,06</w:t>
            </w:r>
          </w:p>
        </w:tc>
      </w:tr>
    </w:tbl>
    <w:p w:rsidR="005A0D0E" w:rsidRPr="00DA6A87" w:rsidRDefault="00984457" w:rsidP="00984457">
      <w:pPr>
        <w:pStyle w:val="Fonte"/>
      </w:pPr>
      <w:r w:rsidRPr="00E972F5">
        <w:rPr>
          <w:rStyle w:val="Forte"/>
          <w:b w:val="0"/>
          <w:bCs w:val="0"/>
        </w:rPr>
        <w:t>Fonte: SHS, 2017.</w:t>
      </w:r>
    </w:p>
    <w:p w:rsidR="005A0D0E" w:rsidRDefault="005A0D0E" w:rsidP="005A0D0E">
      <w:pPr>
        <w:shd w:val="clear" w:color="auto" w:fill="FFFFFF"/>
        <w:ind w:firstLine="709"/>
        <w:rPr>
          <w:rFonts w:cs="Arial"/>
          <w:szCs w:val="24"/>
        </w:rPr>
      </w:pPr>
      <w:r w:rsidRPr="00DA6A87">
        <w:lastRenderedPageBreak/>
        <w:t xml:space="preserve">Ainda segundo Von Sperling (2014), a contribuição </w:t>
      </w:r>
      <w:r w:rsidRPr="00DA6A87">
        <w:rPr>
          <w:i/>
        </w:rPr>
        <w:t>per capita</w:t>
      </w:r>
      <w:r w:rsidRPr="00DA6A87">
        <w:t xml:space="preserve"> de coliformes fecais termotolerantes, para esgotos predominantemente domésticos encontra-se em uma faixa de 10</w:t>
      </w:r>
      <w:r w:rsidRPr="00DA6A87">
        <w:rPr>
          <w:vertAlign w:val="superscript"/>
        </w:rPr>
        <w:t xml:space="preserve">9 </w:t>
      </w:r>
      <w:r w:rsidRPr="00DA6A87">
        <w:t>a 10</w:t>
      </w:r>
      <w:r w:rsidRPr="00DA6A87">
        <w:rPr>
          <w:vertAlign w:val="superscript"/>
        </w:rPr>
        <w:t>12</w:t>
      </w:r>
      <w:r w:rsidRPr="00DA6A87">
        <w:t> org/hab.dia. Adota-se para esse cálculo o valor de 10</w:t>
      </w:r>
      <w:r w:rsidRPr="00DA6A87">
        <w:rPr>
          <w:vertAlign w:val="superscript"/>
        </w:rPr>
        <w:t>11</w:t>
      </w:r>
      <w:r w:rsidRPr="00DA6A87">
        <w:t xml:space="preserve"> org/hab.dia. </w:t>
      </w:r>
      <w:r w:rsidRPr="00DA6A87">
        <w:rPr>
          <w:szCs w:val="24"/>
        </w:rPr>
        <w:t>Com base nesse valor e na estimativa populacional e de vazão para o período, é possível calcular a carga orgânica bruta de coliformes fecais termotolerantes (CFT)</w:t>
      </w:r>
      <w:r w:rsidRPr="00DA6A87">
        <w:rPr>
          <w:rFonts w:cs="Arial"/>
          <w:szCs w:val="24"/>
        </w:rPr>
        <w:t xml:space="preserve"> (</w:t>
      </w:r>
      <w:r w:rsidR="00FE18E4">
        <w:rPr>
          <w:rFonts w:cs="Arial"/>
          <w:szCs w:val="24"/>
        </w:rPr>
        <w:fldChar w:fldCharType="begin"/>
      </w:r>
      <w:r w:rsidR="00FE18E4">
        <w:rPr>
          <w:rFonts w:cs="Arial"/>
          <w:szCs w:val="24"/>
        </w:rPr>
        <w:instrText xml:space="preserve"> REF _Ref493842794 \h </w:instrText>
      </w:r>
      <w:r w:rsidR="00FE18E4">
        <w:rPr>
          <w:rFonts w:cs="Arial"/>
          <w:szCs w:val="24"/>
        </w:rPr>
      </w:r>
      <w:r w:rsidR="00FE18E4">
        <w:rPr>
          <w:rFonts w:cs="Arial"/>
          <w:szCs w:val="24"/>
        </w:rPr>
        <w:fldChar w:fldCharType="separate"/>
      </w:r>
      <w:r w:rsidR="004D1D76" w:rsidRPr="00057BD1">
        <w:t xml:space="preserve">Equação </w:t>
      </w:r>
      <w:r w:rsidR="004D1D76">
        <w:rPr>
          <w:noProof/>
        </w:rPr>
        <w:t>16</w:t>
      </w:r>
      <w:r w:rsidR="00FE18E4">
        <w:rPr>
          <w:rFonts w:cs="Arial"/>
          <w:szCs w:val="24"/>
        </w:rPr>
        <w:fldChar w:fldCharType="end"/>
      </w:r>
      <w:r w:rsidR="00FE18E4">
        <w:rPr>
          <w:rFonts w:cs="Arial"/>
          <w:szCs w:val="24"/>
        </w:rPr>
        <w:t xml:space="preserve"> e </w:t>
      </w:r>
      <w:r w:rsidR="00FE18E4">
        <w:rPr>
          <w:rFonts w:cs="Arial"/>
          <w:szCs w:val="24"/>
        </w:rPr>
        <w:fldChar w:fldCharType="begin"/>
      </w:r>
      <w:r w:rsidR="00FE18E4">
        <w:rPr>
          <w:rFonts w:cs="Arial"/>
          <w:szCs w:val="24"/>
        </w:rPr>
        <w:instrText xml:space="preserve"> REF _Ref493842795 \h </w:instrText>
      </w:r>
      <w:r w:rsidR="00FE18E4">
        <w:rPr>
          <w:rFonts w:cs="Arial"/>
          <w:szCs w:val="24"/>
        </w:rPr>
      </w:r>
      <w:r w:rsidR="00FE18E4">
        <w:rPr>
          <w:rFonts w:cs="Arial"/>
          <w:szCs w:val="24"/>
        </w:rPr>
        <w:fldChar w:fldCharType="separate"/>
      </w:r>
      <w:r w:rsidR="004D1D76" w:rsidRPr="00057BD1">
        <w:t xml:space="preserve">Equação </w:t>
      </w:r>
      <w:r w:rsidR="004D1D76">
        <w:rPr>
          <w:noProof/>
        </w:rPr>
        <w:t>17</w:t>
      </w:r>
      <w:r w:rsidR="00FE18E4">
        <w:rPr>
          <w:rFonts w:cs="Arial"/>
          <w:szCs w:val="24"/>
        </w:rPr>
        <w:fldChar w:fldCharType="end"/>
      </w:r>
      <w:r w:rsidR="00FE18E4">
        <w:rPr>
          <w:rFonts w:cs="Arial"/>
          <w:szCs w:val="24"/>
        </w:rPr>
        <w:t>)</w:t>
      </w:r>
      <w:r w:rsidRPr="00DA6A87">
        <w:rPr>
          <w:rFonts w:cs="Arial"/>
          <w:szCs w:val="24"/>
        </w:rPr>
        <w:t xml:space="preserve"> para cada ano do cenário previsível. </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7"/>
        <w:gridCol w:w="5417"/>
      </w:tblGrid>
      <w:tr w:rsidR="009947A0" w:rsidRPr="00057BD1" w:rsidTr="00642595">
        <w:tc>
          <w:tcPr>
            <w:tcW w:w="4077" w:type="dxa"/>
            <w:vAlign w:val="center"/>
          </w:tcPr>
          <w:p w:rsidR="009947A0" w:rsidRPr="00057BD1" w:rsidRDefault="009947A0" w:rsidP="00642595">
            <w:pPr>
              <w:shd w:val="clear" w:color="auto" w:fill="FFFFFF"/>
              <w:spacing w:before="120" w:after="120" w:line="240" w:lineRule="auto"/>
              <w:ind w:firstLine="709"/>
              <w:jc w:val="center"/>
              <w:rPr>
                <w:rFonts w:cs="Arial"/>
                <w:szCs w:val="24"/>
              </w:rPr>
            </w:pPr>
            <m:oMathPara>
              <m:oMath>
                <m:r>
                  <w:rPr>
                    <w:rFonts w:ascii="Cambria Math" w:hAnsi="Cambria Math" w:cs="Arial"/>
                    <w:sz w:val="22"/>
                  </w:rPr>
                  <m:t>Carga bruta de CFT=População x Carga  per capita</m:t>
                </m:r>
              </m:oMath>
            </m:oMathPara>
          </w:p>
        </w:tc>
        <w:tc>
          <w:tcPr>
            <w:tcW w:w="5417" w:type="dxa"/>
            <w:vAlign w:val="center"/>
          </w:tcPr>
          <w:p w:rsidR="009947A0" w:rsidRPr="00057BD1" w:rsidRDefault="009947A0" w:rsidP="00642595">
            <w:pPr>
              <w:shd w:val="clear" w:color="auto" w:fill="FFFFFF"/>
              <w:spacing w:before="120" w:after="120" w:line="240" w:lineRule="auto"/>
              <w:ind w:firstLine="709"/>
              <w:jc w:val="center"/>
              <w:rPr>
                <w:rFonts w:cs="Arial"/>
                <w:sz w:val="22"/>
              </w:rPr>
            </w:pPr>
            <m:oMathPara>
              <m:oMath>
                <m:r>
                  <w:rPr>
                    <w:rFonts w:ascii="Cambria Math" w:hAnsi="Cambria Math" w:cs="Arial"/>
                    <w:sz w:val="22"/>
                  </w:rPr>
                  <m:t xml:space="preserve">Concentração  inicial de CFT = </m:t>
                </m:r>
                <m:f>
                  <m:fPr>
                    <m:ctrlPr>
                      <w:rPr>
                        <w:rFonts w:ascii="Cambria Math" w:hAnsi="Cambria Math" w:cs="Arial"/>
                        <w:i/>
                        <w:sz w:val="22"/>
                      </w:rPr>
                    </m:ctrlPr>
                  </m:fPr>
                  <m:num>
                    <m:r>
                      <w:rPr>
                        <w:rFonts w:ascii="Cambria Math" w:hAnsi="Cambria Math" w:cs="Arial"/>
                        <w:sz w:val="22"/>
                      </w:rPr>
                      <m:t>Carga bruta de CFT</m:t>
                    </m:r>
                  </m:num>
                  <m:den>
                    <m:r>
                      <w:rPr>
                        <w:rFonts w:ascii="Cambria Math" w:hAnsi="Cambria Math" w:cs="Arial"/>
                        <w:sz w:val="22"/>
                      </w:rPr>
                      <m:t>Vazão</m:t>
                    </m:r>
                  </m:den>
                </m:f>
              </m:oMath>
            </m:oMathPara>
          </w:p>
        </w:tc>
      </w:tr>
      <w:tr w:rsidR="009947A0" w:rsidRPr="00057BD1" w:rsidTr="00642595">
        <w:tc>
          <w:tcPr>
            <w:tcW w:w="4077" w:type="dxa"/>
            <w:vAlign w:val="center"/>
          </w:tcPr>
          <w:p w:rsidR="009947A0" w:rsidRPr="00057BD1" w:rsidRDefault="009947A0" w:rsidP="00642595">
            <w:pPr>
              <w:pStyle w:val="Legenda"/>
            </w:pPr>
            <w:bookmarkStart w:id="115" w:name="_Ref493842794"/>
            <w:r w:rsidRPr="00057BD1">
              <w:t xml:space="preserve">Equação </w:t>
            </w:r>
            <w:r w:rsidR="00D71C43">
              <w:fldChar w:fldCharType="begin"/>
            </w:r>
            <w:r w:rsidR="00D71C43">
              <w:instrText xml:space="preserve"> SEQ Equação \* ARABIC </w:instrText>
            </w:r>
            <w:r w:rsidR="00D71C43">
              <w:fldChar w:fldCharType="separate"/>
            </w:r>
            <w:r w:rsidR="004D1D76">
              <w:rPr>
                <w:noProof/>
              </w:rPr>
              <w:t>16</w:t>
            </w:r>
            <w:r w:rsidR="00D71C43">
              <w:rPr>
                <w:noProof/>
              </w:rPr>
              <w:fldChar w:fldCharType="end"/>
            </w:r>
            <w:bookmarkEnd w:id="115"/>
          </w:p>
        </w:tc>
        <w:tc>
          <w:tcPr>
            <w:tcW w:w="5417" w:type="dxa"/>
            <w:vAlign w:val="center"/>
          </w:tcPr>
          <w:p w:rsidR="009947A0" w:rsidRPr="00057BD1" w:rsidRDefault="009947A0" w:rsidP="00642595">
            <w:pPr>
              <w:pStyle w:val="Legenda"/>
            </w:pPr>
            <w:bookmarkStart w:id="116" w:name="_Ref493842795"/>
            <w:r w:rsidRPr="00057BD1">
              <w:t xml:space="preserve">Equação </w:t>
            </w:r>
            <w:r w:rsidR="00D71C43">
              <w:fldChar w:fldCharType="begin"/>
            </w:r>
            <w:r w:rsidR="00D71C43">
              <w:instrText xml:space="preserve"> SEQ Equação \* ARABIC </w:instrText>
            </w:r>
            <w:r w:rsidR="00D71C43">
              <w:fldChar w:fldCharType="separate"/>
            </w:r>
            <w:r w:rsidR="004D1D76">
              <w:rPr>
                <w:noProof/>
              </w:rPr>
              <w:t>17</w:t>
            </w:r>
            <w:r w:rsidR="00D71C43">
              <w:rPr>
                <w:noProof/>
              </w:rPr>
              <w:fldChar w:fldCharType="end"/>
            </w:r>
            <w:bookmarkEnd w:id="116"/>
          </w:p>
        </w:tc>
      </w:tr>
    </w:tbl>
    <w:p w:rsidR="005A0D0E" w:rsidRDefault="005A0D0E" w:rsidP="005A0D0E">
      <w:pPr>
        <w:ind w:firstLine="708"/>
        <w:rPr>
          <w:lang w:eastAsia="pt-BR"/>
        </w:rPr>
      </w:pPr>
      <w:r w:rsidRPr="00DA6A87">
        <w:rPr>
          <w:lang w:eastAsia="pt-BR"/>
        </w:rPr>
        <w:t xml:space="preserve">Os resultados obtidos, a partir desses cálculos, para o cenário previsível do município de Córrego Novo estão apresentados no </w:t>
      </w:r>
      <w:r w:rsidRPr="00DA6A87">
        <w:rPr>
          <w:lang w:eastAsia="pt-BR"/>
        </w:rPr>
        <w:fldChar w:fldCharType="begin"/>
      </w:r>
      <w:r w:rsidRPr="00DA6A87">
        <w:rPr>
          <w:lang w:eastAsia="pt-BR"/>
        </w:rPr>
        <w:instrText xml:space="preserve"> REF _Ref484678805 \h  \* MERGEFORMAT </w:instrText>
      </w:r>
      <w:r w:rsidRPr="00DA6A87">
        <w:rPr>
          <w:lang w:eastAsia="pt-BR"/>
        </w:rPr>
      </w:r>
      <w:r w:rsidRPr="00DA6A87">
        <w:rPr>
          <w:lang w:eastAsia="pt-BR"/>
        </w:rPr>
        <w:fldChar w:fldCharType="separate"/>
      </w:r>
      <w:r w:rsidR="004D1D76" w:rsidRPr="00DA6A87">
        <w:t xml:space="preserve">Quadro </w:t>
      </w:r>
      <w:r w:rsidR="004D1D76">
        <w:rPr>
          <w:noProof/>
        </w:rPr>
        <w:t>12</w:t>
      </w:r>
      <w:r w:rsidRPr="00DA6A87">
        <w:rPr>
          <w:lang w:eastAsia="pt-BR"/>
        </w:rPr>
        <w:fldChar w:fldCharType="end"/>
      </w:r>
      <w:r w:rsidRPr="00DA6A87">
        <w:rPr>
          <w:lang w:eastAsia="pt-BR"/>
        </w:rPr>
        <w:t>.</w:t>
      </w:r>
      <w:bookmarkStart w:id="117" w:name="_Toc482622536"/>
    </w:p>
    <w:p w:rsidR="005A0D0E" w:rsidRDefault="005A0D0E" w:rsidP="005A0D0E">
      <w:pPr>
        <w:pStyle w:val="Legenda"/>
        <w:rPr>
          <w:lang w:val="pt-BR"/>
        </w:rPr>
      </w:pPr>
      <w:bookmarkStart w:id="118" w:name="_Ref484678805"/>
      <w:bookmarkStart w:id="119" w:name="_Toc497469133"/>
      <w:r w:rsidRPr="00DA6A87">
        <w:t xml:space="preserve">Quadro </w:t>
      </w:r>
      <w:r w:rsidR="00D71C43">
        <w:fldChar w:fldCharType="begin"/>
      </w:r>
      <w:r w:rsidR="00D71C43">
        <w:instrText xml:space="preserve"> SEQ Quadro \* ARABIC </w:instrText>
      </w:r>
      <w:r w:rsidR="00D71C43">
        <w:fldChar w:fldCharType="separate"/>
      </w:r>
      <w:r w:rsidR="004D1D76">
        <w:rPr>
          <w:noProof/>
        </w:rPr>
        <w:t>12</w:t>
      </w:r>
      <w:r w:rsidR="00D71C43">
        <w:rPr>
          <w:noProof/>
        </w:rPr>
        <w:fldChar w:fldCharType="end"/>
      </w:r>
      <w:bookmarkEnd w:id="118"/>
      <w:r w:rsidRPr="00DA6A87">
        <w:t xml:space="preserve"> - Evolução da carga e concentração de coliformes fecais termotolerantes </w:t>
      </w:r>
      <w:bookmarkEnd w:id="117"/>
      <w:r w:rsidRPr="00DA6A87">
        <w:t>para o cenário previsível</w:t>
      </w:r>
      <w:r w:rsidRPr="00DA6A87">
        <w:rPr>
          <w:lang w:val="pt-BR"/>
        </w:rPr>
        <w:t xml:space="preserve"> do município</w:t>
      </w:r>
      <w:r w:rsidRPr="00DA6A87">
        <w:t xml:space="preserve"> de Córrego Novo</w:t>
      </w:r>
      <w:bookmarkEnd w:id="119"/>
    </w:p>
    <w:tbl>
      <w:tblPr>
        <w:tblW w:w="5168" w:type="pct"/>
        <w:tblCellMar>
          <w:left w:w="70" w:type="dxa"/>
          <w:right w:w="70" w:type="dxa"/>
        </w:tblCellMar>
        <w:tblLook w:val="04A0" w:firstRow="1" w:lastRow="0" w:firstColumn="1" w:lastColumn="0" w:noHBand="0" w:noVBand="1"/>
      </w:tblPr>
      <w:tblGrid>
        <w:gridCol w:w="1147"/>
        <w:gridCol w:w="1254"/>
        <w:gridCol w:w="1148"/>
        <w:gridCol w:w="1148"/>
        <w:gridCol w:w="2255"/>
        <w:gridCol w:w="1253"/>
        <w:gridCol w:w="1608"/>
      </w:tblGrid>
      <w:tr w:rsidR="002E078C" w:rsidRPr="002E078C" w:rsidTr="002828C8">
        <w:trPr>
          <w:trHeight w:val="20"/>
        </w:trPr>
        <w:tc>
          <w:tcPr>
            <w:tcW w:w="58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E078C" w:rsidRPr="002E078C" w:rsidRDefault="002E078C" w:rsidP="002E078C">
            <w:pPr>
              <w:spacing w:line="240" w:lineRule="auto"/>
              <w:jc w:val="center"/>
              <w:rPr>
                <w:rFonts w:eastAsia="Times New Roman" w:cs="Arial"/>
                <w:b/>
                <w:bCs/>
                <w:color w:val="000000"/>
                <w:sz w:val="22"/>
                <w:lang w:eastAsia="pt-BR"/>
              </w:rPr>
            </w:pPr>
            <w:r w:rsidRPr="002E078C">
              <w:rPr>
                <w:rFonts w:eastAsia="Times New Roman" w:cs="Arial"/>
                <w:b/>
                <w:bCs/>
                <w:color w:val="000000"/>
                <w:sz w:val="22"/>
                <w:lang w:eastAsia="pt-BR"/>
              </w:rPr>
              <w:t>Ano</w:t>
            </w:r>
          </w:p>
        </w:tc>
        <w:tc>
          <w:tcPr>
            <w:tcW w:w="638" w:type="pct"/>
            <w:tcBorders>
              <w:top w:val="single" w:sz="4" w:space="0" w:color="auto"/>
              <w:left w:val="nil"/>
              <w:bottom w:val="single" w:sz="4" w:space="0" w:color="auto"/>
              <w:right w:val="single" w:sz="4" w:space="0" w:color="auto"/>
            </w:tcBorders>
            <w:shd w:val="clear" w:color="auto" w:fill="auto"/>
            <w:vAlign w:val="center"/>
            <w:hideMark/>
          </w:tcPr>
          <w:p w:rsidR="002E078C" w:rsidRPr="002E078C" w:rsidRDefault="002E078C" w:rsidP="002E078C">
            <w:pPr>
              <w:spacing w:line="240" w:lineRule="auto"/>
              <w:jc w:val="center"/>
              <w:rPr>
                <w:rFonts w:eastAsia="Times New Roman" w:cs="Arial"/>
                <w:b/>
                <w:bCs/>
                <w:color w:val="000000"/>
                <w:sz w:val="22"/>
                <w:lang w:eastAsia="pt-BR"/>
              </w:rPr>
            </w:pPr>
            <w:r w:rsidRPr="002E078C">
              <w:rPr>
                <w:rFonts w:eastAsia="Times New Roman" w:cs="Arial"/>
                <w:b/>
                <w:bCs/>
                <w:color w:val="000000"/>
                <w:sz w:val="22"/>
                <w:lang w:eastAsia="pt-BR"/>
              </w:rPr>
              <w:t>População urbana atendida (hab.)</w:t>
            </w:r>
          </w:p>
        </w:tc>
        <w:tc>
          <w:tcPr>
            <w:tcW w:w="585" w:type="pct"/>
            <w:tcBorders>
              <w:top w:val="single" w:sz="4" w:space="0" w:color="auto"/>
              <w:left w:val="nil"/>
              <w:bottom w:val="single" w:sz="4" w:space="0" w:color="auto"/>
              <w:right w:val="single" w:sz="4" w:space="0" w:color="auto"/>
            </w:tcBorders>
            <w:shd w:val="clear" w:color="auto" w:fill="auto"/>
            <w:vAlign w:val="center"/>
            <w:hideMark/>
          </w:tcPr>
          <w:p w:rsidR="002E078C" w:rsidRPr="002E078C" w:rsidRDefault="002E078C" w:rsidP="002E078C">
            <w:pPr>
              <w:spacing w:line="240" w:lineRule="auto"/>
              <w:jc w:val="center"/>
              <w:rPr>
                <w:rFonts w:eastAsia="Times New Roman" w:cs="Arial"/>
                <w:b/>
                <w:bCs/>
                <w:color w:val="000000"/>
                <w:sz w:val="22"/>
                <w:lang w:eastAsia="pt-BR"/>
              </w:rPr>
            </w:pPr>
            <w:r w:rsidRPr="002E078C">
              <w:rPr>
                <w:rFonts w:eastAsia="Times New Roman" w:cs="Arial"/>
                <w:b/>
                <w:bCs/>
                <w:color w:val="000000"/>
                <w:sz w:val="22"/>
                <w:lang w:eastAsia="pt-BR"/>
              </w:rPr>
              <w:t>Vazão sanitária média (L/s)</w:t>
            </w:r>
          </w:p>
        </w:tc>
        <w:tc>
          <w:tcPr>
            <w:tcW w:w="585" w:type="pct"/>
            <w:tcBorders>
              <w:top w:val="single" w:sz="4" w:space="0" w:color="auto"/>
              <w:left w:val="nil"/>
              <w:bottom w:val="single" w:sz="4" w:space="0" w:color="auto"/>
              <w:right w:val="single" w:sz="4" w:space="0" w:color="auto"/>
            </w:tcBorders>
            <w:shd w:val="clear" w:color="auto" w:fill="auto"/>
            <w:vAlign w:val="center"/>
            <w:hideMark/>
          </w:tcPr>
          <w:p w:rsidR="002E078C" w:rsidRPr="002E078C" w:rsidRDefault="002E078C" w:rsidP="002E078C">
            <w:pPr>
              <w:spacing w:line="240" w:lineRule="auto"/>
              <w:jc w:val="center"/>
              <w:rPr>
                <w:rFonts w:eastAsia="Times New Roman" w:cs="Arial"/>
                <w:b/>
                <w:bCs/>
                <w:color w:val="000000"/>
                <w:sz w:val="22"/>
                <w:lang w:eastAsia="pt-BR"/>
              </w:rPr>
            </w:pPr>
            <w:r w:rsidRPr="002E078C">
              <w:rPr>
                <w:rFonts w:eastAsia="Times New Roman" w:cs="Arial"/>
                <w:b/>
                <w:bCs/>
                <w:color w:val="000000"/>
                <w:sz w:val="22"/>
                <w:lang w:eastAsia="pt-BR"/>
              </w:rPr>
              <w:t>Vazão sanitária média (m³/d)</w:t>
            </w:r>
          </w:p>
        </w:tc>
        <w:tc>
          <w:tcPr>
            <w:tcW w:w="1149" w:type="pct"/>
            <w:tcBorders>
              <w:top w:val="single" w:sz="4" w:space="0" w:color="auto"/>
              <w:left w:val="nil"/>
              <w:bottom w:val="single" w:sz="4" w:space="0" w:color="auto"/>
              <w:right w:val="single" w:sz="4" w:space="0" w:color="auto"/>
            </w:tcBorders>
            <w:shd w:val="clear" w:color="auto" w:fill="auto"/>
            <w:vAlign w:val="center"/>
            <w:hideMark/>
          </w:tcPr>
          <w:p w:rsidR="002E078C" w:rsidRPr="002E078C" w:rsidRDefault="002E078C" w:rsidP="002E078C">
            <w:pPr>
              <w:spacing w:line="240" w:lineRule="auto"/>
              <w:jc w:val="center"/>
              <w:rPr>
                <w:rFonts w:eastAsia="Times New Roman" w:cs="Arial"/>
                <w:b/>
                <w:bCs/>
                <w:color w:val="000000"/>
                <w:sz w:val="22"/>
                <w:lang w:eastAsia="pt-BR"/>
              </w:rPr>
            </w:pPr>
            <w:r w:rsidRPr="002E078C">
              <w:rPr>
                <w:rFonts w:eastAsia="Times New Roman" w:cs="Arial"/>
                <w:b/>
                <w:bCs/>
                <w:color w:val="000000"/>
                <w:sz w:val="22"/>
                <w:lang w:eastAsia="pt-BR"/>
              </w:rPr>
              <w:t>Contribuição per capita de coliformes termotolerantes (org/hab.dia)</w:t>
            </w:r>
          </w:p>
        </w:tc>
        <w:tc>
          <w:tcPr>
            <w:tcW w:w="638" w:type="pct"/>
            <w:tcBorders>
              <w:top w:val="single" w:sz="4" w:space="0" w:color="auto"/>
              <w:left w:val="nil"/>
              <w:bottom w:val="single" w:sz="4" w:space="0" w:color="auto"/>
              <w:right w:val="single" w:sz="4" w:space="0" w:color="auto"/>
            </w:tcBorders>
            <w:shd w:val="clear" w:color="auto" w:fill="auto"/>
            <w:vAlign w:val="center"/>
            <w:hideMark/>
          </w:tcPr>
          <w:p w:rsidR="002E078C" w:rsidRPr="002E078C" w:rsidRDefault="002E078C" w:rsidP="002E078C">
            <w:pPr>
              <w:spacing w:line="240" w:lineRule="auto"/>
              <w:jc w:val="center"/>
              <w:rPr>
                <w:rFonts w:eastAsia="Times New Roman" w:cs="Arial"/>
                <w:b/>
                <w:bCs/>
                <w:color w:val="000000"/>
                <w:sz w:val="22"/>
                <w:lang w:eastAsia="pt-BR"/>
              </w:rPr>
            </w:pPr>
            <w:r w:rsidRPr="002E078C">
              <w:rPr>
                <w:rFonts w:eastAsia="Times New Roman" w:cs="Arial"/>
                <w:b/>
                <w:bCs/>
                <w:color w:val="000000"/>
                <w:sz w:val="22"/>
                <w:lang w:eastAsia="pt-BR"/>
              </w:rPr>
              <w:t>Carga de coliformes (org/dia)</w:t>
            </w:r>
          </w:p>
        </w:tc>
        <w:tc>
          <w:tcPr>
            <w:tcW w:w="819" w:type="pct"/>
            <w:tcBorders>
              <w:top w:val="single" w:sz="4" w:space="0" w:color="auto"/>
              <w:left w:val="nil"/>
              <w:bottom w:val="single" w:sz="4" w:space="0" w:color="auto"/>
              <w:right w:val="single" w:sz="4" w:space="0" w:color="auto"/>
            </w:tcBorders>
            <w:shd w:val="clear" w:color="auto" w:fill="auto"/>
            <w:vAlign w:val="center"/>
            <w:hideMark/>
          </w:tcPr>
          <w:p w:rsidR="002E078C" w:rsidRPr="002E078C" w:rsidRDefault="002E078C" w:rsidP="002E078C">
            <w:pPr>
              <w:spacing w:line="240" w:lineRule="auto"/>
              <w:jc w:val="center"/>
              <w:rPr>
                <w:rFonts w:eastAsia="Times New Roman" w:cs="Arial"/>
                <w:b/>
                <w:bCs/>
                <w:sz w:val="22"/>
                <w:lang w:eastAsia="pt-BR"/>
              </w:rPr>
            </w:pPr>
            <w:r w:rsidRPr="002E078C">
              <w:rPr>
                <w:rFonts w:eastAsia="Times New Roman" w:cs="Arial"/>
                <w:b/>
                <w:bCs/>
                <w:sz w:val="22"/>
                <w:lang w:eastAsia="pt-BR"/>
              </w:rPr>
              <w:t>Concentração (org/100 mL)</w:t>
            </w:r>
          </w:p>
        </w:tc>
      </w:tr>
      <w:tr w:rsidR="002E078C" w:rsidRPr="002E078C" w:rsidTr="002828C8">
        <w:trPr>
          <w:trHeight w:val="20"/>
        </w:trPr>
        <w:tc>
          <w:tcPr>
            <w:tcW w:w="584" w:type="pct"/>
            <w:tcBorders>
              <w:top w:val="nil"/>
              <w:left w:val="single" w:sz="4" w:space="0" w:color="auto"/>
              <w:bottom w:val="single" w:sz="4" w:space="0" w:color="auto"/>
              <w:right w:val="single" w:sz="4" w:space="0" w:color="auto"/>
            </w:tcBorders>
            <w:shd w:val="clear" w:color="auto" w:fill="auto"/>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2017</w:t>
            </w:r>
          </w:p>
        </w:tc>
        <w:tc>
          <w:tcPr>
            <w:tcW w:w="638" w:type="pct"/>
            <w:tcBorders>
              <w:top w:val="nil"/>
              <w:left w:val="nil"/>
              <w:bottom w:val="single" w:sz="4" w:space="0" w:color="auto"/>
              <w:right w:val="single" w:sz="4" w:space="0" w:color="auto"/>
            </w:tcBorders>
            <w:shd w:val="clear" w:color="auto" w:fill="auto"/>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1.487</w:t>
            </w:r>
          </w:p>
        </w:tc>
        <w:tc>
          <w:tcPr>
            <w:tcW w:w="585"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5,92</w:t>
            </w:r>
          </w:p>
        </w:tc>
        <w:tc>
          <w:tcPr>
            <w:tcW w:w="585"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511,10</w:t>
            </w:r>
          </w:p>
        </w:tc>
        <w:tc>
          <w:tcPr>
            <w:tcW w:w="1149"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1,00E+11</w:t>
            </w:r>
          </w:p>
        </w:tc>
        <w:tc>
          <w:tcPr>
            <w:tcW w:w="638"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1,49E+14</w:t>
            </w:r>
          </w:p>
        </w:tc>
        <w:tc>
          <w:tcPr>
            <w:tcW w:w="819"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2,91E+07</w:t>
            </w:r>
          </w:p>
        </w:tc>
      </w:tr>
      <w:tr w:rsidR="002E078C" w:rsidRPr="002E078C" w:rsidTr="002828C8">
        <w:trPr>
          <w:trHeight w:val="20"/>
        </w:trPr>
        <w:tc>
          <w:tcPr>
            <w:tcW w:w="584" w:type="pct"/>
            <w:tcBorders>
              <w:top w:val="nil"/>
              <w:left w:val="single" w:sz="4" w:space="0" w:color="auto"/>
              <w:bottom w:val="single" w:sz="4" w:space="0" w:color="auto"/>
              <w:right w:val="single" w:sz="4" w:space="0" w:color="auto"/>
            </w:tcBorders>
            <w:shd w:val="clear" w:color="auto" w:fill="auto"/>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2018</w:t>
            </w:r>
          </w:p>
        </w:tc>
        <w:tc>
          <w:tcPr>
            <w:tcW w:w="638" w:type="pct"/>
            <w:tcBorders>
              <w:top w:val="nil"/>
              <w:left w:val="nil"/>
              <w:bottom w:val="single" w:sz="4" w:space="0" w:color="auto"/>
              <w:right w:val="single" w:sz="4" w:space="0" w:color="auto"/>
            </w:tcBorders>
            <w:shd w:val="clear" w:color="auto" w:fill="auto"/>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1.477</w:t>
            </w:r>
          </w:p>
        </w:tc>
        <w:tc>
          <w:tcPr>
            <w:tcW w:w="585"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5,90</w:t>
            </w:r>
          </w:p>
        </w:tc>
        <w:tc>
          <w:tcPr>
            <w:tcW w:w="585"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509,56</w:t>
            </w:r>
          </w:p>
        </w:tc>
        <w:tc>
          <w:tcPr>
            <w:tcW w:w="1149"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1,00E+11</w:t>
            </w:r>
          </w:p>
        </w:tc>
        <w:tc>
          <w:tcPr>
            <w:tcW w:w="638"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1,48E+14</w:t>
            </w:r>
          </w:p>
        </w:tc>
        <w:tc>
          <w:tcPr>
            <w:tcW w:w="819"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2,90E+07</w:t>
            </w:r>
          </w:p>
        </w:tc>
      </w:tr>
      <w:tr w:rsidR="002E078C" w:rsidRPr="002E078C" w:rsidTr="002828C8">
        <w:trPr>
          <w:trHeight w:val="20"/>
        </w:trPr>
        <w:tc>
          <w:tcPr>
            <w:tcW w:w="584" w:type="pct"/>
            <w:tcBorders>
              <w:top w:val="nil"/>
              <w:left w:val="single" w:sz="4" w:space="0" w:color="auto"/>
              <w:bottom w:val="single" w:sz="4" w:space="0" w:color="auto"/>
              <w:right w:val="single" w:sz="4" w:space="0" w:color="auto"/>
            </w:tcBorders>
            <w:shd w:val="clear" w:color="auto" w:fill="auto"/>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2019</w:t>
            </w:r>
          </w:p>
        </w:tc>
        <w:tc>
          <w:tcPr>
            <w:tcW w:w="638" w:type="pct"/>
            <w:tcBorders>
              <w:top w:val="nil"/>
              <w:left w:val="nil"/>
              <w:bottom w:val="single" w:sz="4" w:space="0" w:color="auto"/>
              <w:right w:val="single" w:sz="4" w:space="0" w:color="auto"/>
            </w:tcBorders>
            <w:shd w:val="clear" w:color="auto" w:fill="auto"/>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1.469</w:t>
            </w:r>
          </w:p>
        </w:tc>
        <w:tc>
          <w:tcPr>
            <w:tcW w:w="585"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5,89</w:t>
            </w:r>
          </w:p>
        </w:tc>
        <w:tc>
          <w:tcPr>
            <w:tcW w:w="585"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508,47</w:t>
            </w:r>
          </w:p>
        </w:tc>
        <w:tc>
          <w:tcPr>
            <w:tcW w:w="1149"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1,00E+11</w:t>
            </w:r>
          </w:p>
        </w:tc>
        <w:tc>
          <w:tcPr>
            <w:tcW w:w="638"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1,47E+14</w:t>
            </w:r>
          </w:p>
        </w:tc>
        <w:tc>
          <w:tcPr>
            <w:tcW w:w="819"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2,89E+07</w:t>
            </w:r>
          </w:p>
        </w:tc>
      </w:tr>
      <w:tr w:rsidR="002E078C" w:rsidRPr="002E078C" w:rsidTr="002828C8">
        <w:trPr>
          <w:trHeight w:val="20"/>
        </w:trPr>
        <w:tc>
          <w:tcPr>
            <w:tcW w:w="584" w:type="pct"/>
            <w:tcBorders>
              <w:top w:val="nil"/>
              <w:left w:val="single" w:sz="4" w:space="0" w:color="auto"/>
              <w:bottom w:val="single" w:sz="4" w:space="0" w:color="auto"/>
              <w:right w:val="single" w:sz="4" w:space="0" w:color="auto"/>
            </w:tcBorders>
            <w:shd w:val="clear" w:color="auto" w:fill="auto"/>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2020</w:t>
            </w:r>
          </w:p>
        </w:tc>
        <w:tc>
          <w:tcPr>
            <w:tcW w:w="638" w:type="pct"/>
            <w:tcBorders>
              <w:top w:val="nil"/>
              <w:left w:val="nil"/>
              <w:bottom w:val="single" w:sz="4" w:space="0" w:color="auto"/>
              <w:right w:val="single" w:sz="4" w:space="0" w:color="auto"/>
            </w:tcBorders>
            <w:shd w:val="clear" w:color="auto" w:fill="auto"/>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1.467</w:t>
            </w:r>
          </w:p>
        </w:tc>
        <w:tc>
          <w:tcPr>
            <w:tcW w:w="585"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5,88</w:t>
            </w:r>
          </w:p>
        </w:tc>
        <w:tc>
          <w:tcPr>
            <w:tcW w:w="585"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508,14</w:t>
            </w:r>
          </w:p>
        </w:tc>
        <w:tc>
          <w:tcPr>
            <w:tcW w:w="1149"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1,00E+11</w:t>
            </w:r>
          </w:p>
        </w:tc>
        <w:tc>
          <w:tcPr>
            <w:tcW w:w="638"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1,47E+14</w:t>
            </w:r>
          </w:p>
        </w:tc>
        <w:tc>
          <w:tcPr>
            <w:tcW w:w="819"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2,89E+07</w:t>
            </w:r>
          </w:p>
        </w:tc>
      </w:tr>
      <w:tr w:rsidR="002E078C" w:rsidRPr="002E078C" w:rsidTr="002828C8">
        <w:trPr>
          <w:trHeight w:val="20"/>
        </w:trPr>
        <w:tc>
          <w:tcPr>
            <w:tcW w:w="584" w:type="pct"/>
            <w:tcBorders>
              <w:top w:val="nil"/>
              <w:left w:val="single" w:sz="4" w:space="0" w:color="auto"/>
              <w:bottom w:val="single" w:sz="4" w:space="0" w:color="auto"/>
              <w:right w:val="single" w:sz="4" w:space="0" w:color="auto"/>
            </w:tcBorders>
            <w:shd w:val="clear" w:color="auto" w:fill="auto"/>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2021</w:t>
            </w:r>
          </w:p>
        </w:tc>
        <w:tc>
          <w:tcPr>
            <w:tcW w:w="638" w:type="pct"/>
            <w:tcBorders>
              <w:top w:val="nil"/>
              <w:left w:val="nil"/>
              <w:bottom w:val="single" w:sz="4" w:space="0" w:color="auto"/>
              <w:right w:val="single" w:sz="4" w:space="0" w:color="auto"/>
            </w:tcBorders>
            <w:shd w:val="clear" w:color="auto" w:fill="auto"/>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1.457</w:t>
            </w:r>
          </w:p>
        </w:tc>
        <w:tc>
          <w:tcPr>
            <w:tcW w:w="585"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5,86</w:t>
            </w:r>
          </w:p>
        </w:tc>
        <w:tc>
          <w:tcPr>
            <w:tcW w:w="585"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506,60</w:t>
            </w:r>
          </w:p>
        </w:tc>
        <w:tc>
          <w:tcPr>
            <w:tcW w:w="1149"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1,00E+11</w:t>
            </w:r>
          </w:p>
        </w:tc>
        <w:tc>
          <w:tcPr>
            <w:tcW w:w="638"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1,46E+14</w:t>
            </w:r>
          </w:p>
        </w:tc>
        <w:tc>
          <w:tcPr>
            <w:tcW w:w="819"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2,88E+07</w:t>
            </w:r>
          </w:p>
        </w:tc>
      </w:tr>
      <w:tr w:rsidR="002E078C" w:rsidRPr="002E078C" w:rsidTr="002828C8">
        <w:trPr>
          <w:trHeight w:val="20"/>
        </w:trPr>
        <w:tc>
          <w:tcPr>
            <w:tcW w:w="584" w:type="pct"/>
            <w:tcBorders>
              <w:top w:val="nil"/>
              <w:left w:val="single" w:sz="4" w:space="0" w:color="auto"/>
              <w:bottom w:val="single" w:sz="4" w:space="0" w:color="auto"/>
              <w:right w:val="single" w:sz="4" w:space="0" w:color="auto"/>
            </w:tcBorders>
            <w:shd w:val="clear" w:color="auto" w:fill="auto"/>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2022</w:t>
            </w:r>
          </w:p>
        </w:tc>
        <w:tc>
          <w:tcPr>
            <w:tcW w:w="638" w:type="pct"/>
            <w:tcBorders>
              <w:top w:val="nil"/>
              <w:left w:val="nil"/>
              <w:bottom w:val="single" w:sz="4" w:space="0" w:color="auto"/>
              <w:right w:val="single" w:sz="4" w:space="0" w:color="auto"/>
            </w:tcBorders>
            <w:shd w:val="clear" w:color="auto" w:fill="auto"/>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1.444</w:t>
            </w:r>
          </w:p>
        </w:tc>
        <w:tc>
          <w:tcPr>
            <w:tcW w:w="585"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5,84</w:t>
            </w:r>
          </w:p>
        </w:tc>
        <w:tc>
          <w:tcPr>
            <w:tcW w:w="585"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504,74</w:t>
            </w:r>
          </w:p>
        </w:tc>
        <w:tc>
          <w:tcPr>
            <w:tcW w:w="1149"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1,00E+11</w:t>
            </w:r>
          </w:p>
        </w:tc>
        <w:tc>
          <w:tcPr>
            <w:tcW w:w="638"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1,44E+14</w:t>
            </w:r>
          </w:p>
        </w:tc>
        <w:tc>
          <w:tcPr>
            <w:tcW w:w="819"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2,86E+07</w:t>
            </w:r>
          </w:p>
        </w:tc>
      </w:tr>
      <w:tr w:rsidR="002E078C" w:rsidRPr="002E078C" w:rsidTr="002828C8">
        <w:trPr>
          <w:trHeight w:val="20"/>
        </w:trPr>
        <w:tc>
          <w:tcPr>
            <w:tcW w:w="584" w:type="pct"/>
            <w:tcBorders>
              <w:top w:val="nil"/>
              <w:left w:val="single" w:sz="4" w:space="0" w:color="auto"/>
              <w:bottom w:val="single" w:sz="4" w:space="0" w:color="auto"/>
              <w:right w:val="single" w:sz="4" w:space="0" w:color="auto"/>
            </w:tcBorders>
            <w:shd w:val="clear" w:color="auto" w:fill="auto"/>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2023</w:t>
            </w:r>
          </w:p>
        </w:tc>
        <w:tc>
          <w:tcPr>
            <w:tcW w:w="638" w:type="pct"/>
            <w:tcBorders>
              <w:top w:val="nil"/>
              <w:left w:val="nil"/>
              <w:bottom w:val="single" w:sz="4" w:space="0" w:color="auto"/>
              <w:right w:val="single" w:sz="4" w:space="0" w:color="auto"/>
            </w:tcBorders>
            <w:shd w:val="clear" w:color="auto" w:fill="auto"/>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1.433</w:t>
            </w:r>
          </w:p>
        </w:tc>
        <w:tc>
          <w:tcPr>
            <w:tcW w:w="585"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5,82</w:t>
            </w:r>
          </w:p>
        </w:tc>
        <w:tc>
          <w:tcPr>
            <w:tcW w:w="585"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503,10</w:t>
            </w:r>
          </w:p>
        </w:tc>
        <w:tc>
          <w:tcPr>
            <w:tcW w:w="1149"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1,00E+11</w:t>
            </w:r>
          </w:p>
        </w:tc>
        <w:tc>
          <w:tcPr>
            <w:tcW w:w="638"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1,43E+14</w:t>
            </w:r>
          </w:p>
        </w:tc>
        <w:tc>
          <w:tcPr>
            <w:tcW w:w="819"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2,85E+07</w:t>
            </w:r>
          </w:p>
        </w:tc>
      </w:tr>
      <w:tr w:rsidR="002E078C" w:rsidRPr="002E078C" w:rsidTr="002828C8">
        <w:trPr>
          <w:trHeight w:val="20"/>
        </w:trPr>
        <w:tc>
          <w:tcPr>
            <w:tcW w:w="584" w:type="pct"/>
            <w:tcBorders>
              <w:top w:val="nil"/>
              <w:left w:val="single" w:sz="4" w:space="0" w:color="auto"/>
              <w:bottom w:val="single" w:sz="4" w:space="0" w:color="auto"/>
              <w:right w:val="single" w:sz="4" w:space="0" w:color="auto"/>
            </w:tcBorders>
            <w:shd w:val="clear" w:color="auto" w:fill="auto"/>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2024</w:t>
            </w:r>
          </w:p>
        </w:tc>
        <w:tc>
          <w:tcPr>
            <w:tcW w:w="638" w:type="pct"/>
            <w:tcBorders>
              <w:top w:val="nil"/>
              <w:left w:val="nil"/>
              <w:bottom w:val="single" w:sz="4" w:space="0" w:color="auto"/>
              <w:right w:val="single" w:sz="4" w:space="0" w:color="auto"/>
            </w:tcBorders>
            <w:shd w:val="clear" w:color="auto" w:fill="auto"/>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1.430</w:t>
            </w:r>
          </w:p>
        </w:tc>
        <w:tc>
          <w:tcPr>
            <w:tcW w:w="585"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5,82</w:t>
            </w:r>
          </w:p>
        </w:tc>
        <w:tc>
          <w:tcPr>
            <w:tcW w:w="585"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502,66</w:t>
            </w:r>
          </w:p>
        </w:tc>
        <w:tc>
          <w:tcPr>
            <w:tcW w:w="1149"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1,00E+11</w:t>
            </w:r>
          </w:p>
        </w:tc>
        <w:tc>
          <w:tcPr>
            <w:tcW w:w="638"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1,43E+14</w:t>
            </w:r>
          </w:p>
        </w:tc>
        <w:tc>
          <w:tcPr>
            <w:tcW w:w="819"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2,84E+07</w:t>
            </w:r>
          </w:p>
        </w:tc>
      </w:tr>
      <w:tr w:rsidR="002E078C" w:rsidRPr="002E078C" w:rsidTr="002828C8">
        <w:trPr>
          <w:trHeight w:val="20"/>
        </w:trPr>
        <w:tc>
          <w:tcPr>
            <w:tcW w:w="584" w:type="pct"/>
            <w:tcBorders>
              <w:top w:val="nil"/>
              <w:left w:val="single" w:sz="4" w:space="0" w:color="auto"/>
              <w:bottom w:val="single" w:sz="4" w:space="0" w:color="auto"/>
              <w:right w:val="single" w:sz="4" w:space="0" w:color="auto"/>
            </w:tcBorders>
            <w:shd w:val="clear" w:color="auto" w:fill="auto"/>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2025</w:t>
            </w:r>
          </w:p>
        </w:tc>
        <w:tc>
          <w:tcPr>
            <w:tcW w:w="638" w:type="pct"/>
            <w:tcBorders>
              <w:top w:val="nil"/>
              <w:left w:val="nil"/>
              <w:bottom w:val="single" w:sz="4" w:space="0" w:color="auto"/>
              <w:right w:val="single" w:sz="4" w:space="0" w:color="auto"/>
            </w:tcBorders>
            <w:shd w:val="clear" w:color="auto" w:fill="auto"/>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1.418</w:t>
            </w:r>
          </w:p>
        </w:tc>
        <w:tc>
          <w:tcPr>
            <w:tcW w:w="585"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5,80</w:t>
            </w:r>
          </w:p>
        </w:tc>
        <w:tc>
          <w:tcPr>
            <w:tcW w:w="585"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501,01</w:t>
            </w:r>
          </w:p>
        </w:tc>
        <w:tc>
          <w:tcPr>
            <w:tcW w:w="1149"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1,00E+11</w:t>
            </w:r>
          </w:p>
        </w:tc>
        <w:tc>
          <w:tcPr>
            <w:tcW w:w="638"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1,42E+14</w:t>
            </w:r>
          </w:p>
        </w:tc>
        <w:tc>
          <w:tcPr>
            <w:tcW w:w="819"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2,83E+07</w:t>
            </w:r>
          </w:p>
        </w:tc>
      </w:tr>
      <w:tr w:rsidR="002E078C" w:rsidRPr="002E078C" w:rsidTr="002828C8">
        <w:trPr>
          <w:trHeight w:val="20"/>
        </w:trPr>
        <w:tc>
          <w:tcPr>
            <w:tcW w:w="584" w:type="pct"/>
            <w:tcBorders>
              <w:top w:val="nil"/>
              <w:left w:val="single" w:sz="4" w:space="0" w:color="auto"/>
              <w:bottom w:val="single" w:sz="4" w:space="0" w:color="auto"/>
              <w:right w:val="single" w:sz="4" w:space="0" w:color="auto"/>
            </w:tcBorders>
            <w:shd w:val="clear" w:color="auto" w:fill="auto"/>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2026</w:t>
            </w:r>
          </w:p>
        </w:tc>
        <w:tc>
          <w:tcPr>
            <w:tcW w:w="638" w:type="pct"/>
            <w:tcBorders>
              <w:top w:val="nil"/>
              <w:left w:val="nil"/>
              <w:bottom w:val="single" w:sz="4" w:space="0" w:color="auto"/>
              <w:right w:val="single" w:sz="4" w:space="0" w:color="auto"/>
            </w:tcBorders>
            <w:shd w:val="clear" w:color="auto" w:fill="auto"/>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1.411</w:t>
            </w:r>
          </w:p>
        </w:tc>
        <w:tc>
          <w:tcPr>
            <w:tcW w:w="585"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5,79</w:t>
            </w:r>
          </w:p>
        </w:tc>
        <w:tc>
          <w:tcPr>
            <w:tcW w:w="585"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499,92</w:t>
            </w:r>
          </w:p>
        </w:tc>
        <w:tc>
          <w:tcPr>
            <w:tcW w:w="1149"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1,00E+11</w:t>
            </w:r>
          </w:p>
        </w:tc>
        <w:tc>
          <w:tcPr>
            <w:tcW w:w="638"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1,41E+14</w:t>
            </w:r>
          </w:p>
        </w:tc>
        <w:tc>
          <w:tcPr>
            <w:tcW w:w="819"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2,82E+07</w:t>
            </w:r>
          </w:p>
        </w:tc>
      </w:tr>
      <w:tr w:rsidR="002E078C" w:rsidRPr="002E078C" w:rsidTr="002828C8">
        <w:trPr>
          <w:trHeight w:val="20"/>
        </w:trPr>
        <w:tc>
          <w:tcPr>
            <w:tcW w:w="584" w:type="pct"/>
            <w:tcBorders>
              <w:top w:val="nil"/>
              <w:left w:val="single" w:sz="4" w:space="0" w:color="auto"/>
              <w:bottom w:val="single" w:sz="4" w:space="0" w:color="auto"/>
              <w:right w:val="single" w:sz="4" w:space="0" w:color="auto"/>
            </w:tcBorders>
            <w:shd w:val="clear" w:color="auto" w:fill="auto"/>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2027</w:t>
            </w:r>
          </w:p>
        </w:tc>
        <w:tc>
          <w:tcPr>
            <w:tcW w:w="638" w:type="pct"/>
            <w:tcBorders>
              <w:top w:val="nil"/>
              <w:left w:val="nil"/>
              <w:bottom w:val="single" w:sz="4" w:space="0" w:color="auto"/>
              <w:right w:val="single" w:sz="4" w:space="0" w:color="auto"/>
            </w:tcBorders>
            <w:shd w:val="clear" w:color="auto" w:fill="auto"/>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1.397</w:t>
            </w:r>
          </w:p>
        </w:tc>
        <w:tc>
          <w:tcPr>
            <w:tcW w:w="585"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5,76</w:t>
            </w:r>
          </w:p>
        </w:tc>
        <w:tc>
          <w:tcPr>
            <w:tcW w:w="585"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497,84</w:t>
            </w:r>
          </w:p>
        </w:tc>
        <w:tc>
          <w:tcPr>
            <w:tcW w:w="1149"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1,00E+11</w:t>
            </w:r>
          </w:p>
        </w:tc>
        <w:tc>
          <w:tcPr>
            <w:tcW w:w="638"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1,40E+14</w:t>
            </w:r>
          </w:p>
        </w:tc>
        <w:tc>
          <w:tcPr>
            <w:tcW w:w="819"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2,81E+07</w:t>
            </w:r>
          </w:p>
        </w:tc>
      </w:tr>
      <w:tr w:rsidR="002E078C" w:rsidRPr="002E078C" w:rsidTr="002828C8">
        <w:trPr>
          <w:trHeight w:val="20"/>
        </w:trPr>
        <w:tc>
          <w:tcPr>
            <w:tcW w:w="584" w:type="pct"/>
            <w:tcBorders>
              <w:top w:val="nil"/>
              <w:left w:val="single" w:sz="4" w:space="0" w:color="auto"/>
              <w:bottom w:val="single" w:sz="4" w:space="0" w:color="auto"/>
              <w:right w:val="single" w:sz="4" w:space="0" w:color="auto"/>
            </w:tcBorders>
            <w:shd w:val="clear" w:color="auto" w:fill="auto"/>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2028</w:t>
            </w:r>
          </w:p>
        </w:tc>
        <w:tc>
          <w:tcPr>
            <w:tcW w:w="638" w:type="pct"/>
            <w:tcBorders>
              <w:top w:val="nil"/>
              <w:left w:val="nil"/>
              <w:bottom w:val="single" w:sz="4" w:space="0" w:color="auto"/>
              <w:right w:val="single" w:sz="4" w:space="0" w:color="auto"/>
            </w:tcBorders>
            <w:shd w:val="clear" w:color="auto" w:fill="auto"/>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1.388</w:t>
            </w:r>
          </w:p>
        </w:tc>
        <w:tc>
          <w:tcPr>
            <w:tcW w:w="585"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5,75</w:t>
            </w:r>
          </w:p>
        </w:tc>
        <w:tc>
          <w:tcPr>
            <w:tcW w:w="585"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496,63</w:t>
            </w:r>
          </w:p>
        </w:tc>
        <w:tc>
          <w:tcPr>
            <w:tcW w:w="1149"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1,00E+11</w:t>
            </w:r>
          </w:p>
        </w:tc>
        <w:tc>
          <w:tcPr>
            <w:tcW w:w="638"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1,39E+14</w:t>
            </w:r>
          </w:p>
        </w:tc>
        <w:tc>
          <w:tcPr>
            <w:tcW w:w="819"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2,80E+07</w:t>
            </w:r>
          </w:p>
        </w:tc>
      </w:tr>
      <w:tr w:rsidR="002E078C" w:rsidRPr="002E078C" w:rsidTr="002828C8">
        <w:trPr>
          <w:trHeight w:val="20"/>
        </w:trPr>
        <w:tc>
          <w:tcPr>
            <w:tcW w:w="584" w:type="pct"/>
            <w:tcBorders>
              <w:top w:val="nil"/>
              <w:left w:val="single" w:sz="4" w:space="0" w:color="auto"/>
              <w:bottom w:val="single" w:sz="4" w:space="0" w:color="auto"/>
              <w:right w:val="single" w:sz="4" w:space="0" w:color="auto"/>
            </w:tcBorders>
            <w:shd w:val="clear" w:color="auto" w:fill="auto"/>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2029</w:t>
            </w:r>
          </w:p>
        </w:tc>
        <w:tc>
          <w:tcPr>
            <w:tcW w:w="638" w:type="pct"/>
            <w:tcBorders>
              <w:top w:val="nil"/>
              <w:left w:val="nil"/>
              <w:bottom w:val="single" w:sz="4" w:space="0" w:color="auto"/>
              <w:right w:val="single" w:sz="4" w:space="0" w:color="auto"/>
            </w:tcBorders>
            <w:shd w:val="clear" w:color="auto" w:fill="auto"/>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1.377</w:t>
            </w:r>
          </w:p>
        </w:tc>
        <w:tc>
          <w:tcPr>
            <w:tcW w:w="585"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5,73</w:t>
            </w:r>
          </w:p>
        </w:tc>
        <w:tc>
          <w:tcPr>
            <w:tcW w:w="585"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494,99</w:t>
            </w:r>
          </w:p>
        </w:tc>
        <w:tc>
          <w:tcPr>
            <w:tcW w:w="1149"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1,00E+11</w:t>
            </w:r>
          </w:p>
        </w:tc>
        <w:tc>
          <w:tcPr>
            <w:tcW w:w="638"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1,38E+14</w:t>
            </w:r>
          </w:p>
        </w:tc>
        <w:tc>
          <w:tcPr>
            <w:tcW w:w="819"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2,78E+07</w:t>
            </w:r>
          </w:p>
        </w:tc>
      </w:tr>
      <w:tr w:rsidR="002E078C" w:rsidRPr="002E078C" w:rsidTr="002828C8">
        <w:trPr>
          <w:trHeight w:val="20"/>
        </w:trPr>
        <w:tc>
          <w:tcPr>
            <w:tcW w:w="584" w:type="pct"/>
            <w:tcBorders>
              <w:top w:val="nil"/>
              <w:left w:val="single" w:sz="4" w:space="0" w:color="auto"/>
              <w:bottom w:val="single" w:sz="4" w:space="0" w:color="auto"/>
              <w:right w:val="single" w:sz="4" w:space="0" w:color="auto"/>
            </w:tcBorders>
            <w:shd w:val="clear" w:color="auto" w:fill="auto"/>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2030</w:t>
            </w:r>
          </w:p>
        </w:tc>
        <w:tc>
          <w:tcPr>
            <w:tcW w:w="638" w:type="pct"/>
            <w:tcBorders>
              <w:top w:val="nil"/>
              <w:left w:val="nil"/>
              <w:bottom w:val="single" w:sz="4" w:space="0" w:color="auto"/>
              <w:right w:val="single" w:sz="4" w:space="0" w:color="auto"/>
            </w:tcBorders>
            <w:shd w:val="clear" w:color="auto" w:fill="auto"/>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1.360</w:t>
            </w:r>
          </w:p>
        </w:tc>
        <w:tc>
          <w:tcPr>
            <w:tcW w:w="585"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5,70</w:t>
            </w:r>
          </w:p>
        </w:tc>
        <w:tc>
          <w:tcPr>
            <w:tcW w:w="585"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492,46</w:t>
            </w:r>
          </w:p>
        </w:tc>
        <w:tc>
          <w:tcPr>
            <w:tcW w:w="1149"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1,00E+11</w:t>
            </w:r>
          </w:p>
        </w:tc>
        <w:tc>
          <w:tcPr>
            <w:tcW w:w="638"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1,36E+14</w:t>
            </w:r>
          </w:p>
        </w:tc>
        <w:tc>
          <w:tcPr>
            <w:tcW w:w="819"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2,76E+07</w:t>
            </w:r>
          </w:p>
        </w:tc>
      </w:tr>
      <w:tr w:rsidR="002E078C" w:rsidRPr="002E078C" w:rsidTr="002828C8">
        <w:trPr>
          <w:trHeight w:val="20"/>
        </w:trPr>
        <w:tc>
          <w:tcPr>
            <w:tcW w:w="584" w:type="pct"/>
            <w:tcBorders>
              <w:top w:val="nil"/>
              <w:left w:val="single" w:sz="4" w:space="0" w:color="auto"/>
              <w:bottom w:val="single" w:sz="4" w:space="0" w:color="auto"/>
              <w:right w:val="single" w:sz="4" w:space="0" w:color="auto"/>
            </w:tcBorders>
            <w:shd w:val="clear" w:color="auto" w:fill="auto"/>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2031</w:t>
            </w:r>
          </w:p>
        </w:tc>
        <w:tc>
          <w:tcPr>
            <w:tcW w:w="638" w:type="pct"/>
            <w:tcBorders>
              <w:top w:val="nil"/>
              <w:left w:val="nil"/>
              <w:bottom w:val="single" w:sz="4" w:space="0" w:color="auto"/>
              <w:right w:val="single" w:sz="4" w:space="0" w:color="auto"/>
            </w:tcBorders>
            <w:shd w:val="clear" w:color="auto" w:fill="auto"/>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1.346</w:t>
            </w:r>
          </w:p>
        </w:tc>
        <w:tc>
          <w:tcPr>
            <w:tcW w:w="585"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5,68</w:t>
            </w:r>
          </w:p>
        </w:tc>
        <w:tc>
          <w:tcPr>
            <w:tcW w:w="585"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490,49</w:t>
            </w:r>
          </w:p>
        </w:tc>
        <w:tc>
          <w:tcPr>
            <w:tcW w:w="1149"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1,00E+11</w:t>
            </w:r>
          </w:p>
        </w:tc>
        <w:tc>
          <w:tcPr>
            <w:tcW w:w="638"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1,35E+14</w:t>
            </w:r>
          </w:p>
        </w:tc>
        <w:tc>
          <w:tcPr>
            <w:tcW w:w="819"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2,74E+07</w:t>
            </w:r>
          </w:p>
        </w:tc>
      </w:tr>
      <w:tr w:rsidR="002E078C" w:rsidRPr="002E078C" w:rsidTr="002828C8">
        <w:trPr>
          <w:trHeight w:val="20"/>
        </w:trPr>
        <w:tc>
          <w:tcPr>
            <w:tcW w:w="584" w:type="pct"/>
            <w:tcBorders>
              <w:top w:val="nil"/>
              <w:left w:val="single" w:sz="4" w:space="0" w:color="auto"/>
              <w:bottom w:val="single" w:sz="4" w:space="0" w:color="auto"/>
              <w:right w:val="single" w:sz="4" w:space="0" w:color="auto"/>
            </w:tcBorders>
            <w:shd w:val="clear" w:color="auto" w:fill="auto"/>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2032</w:t>
            </w:r>
          </w:p>
        </w:tc>
        <w:tc>
          <w:tcPr>
            <w:tcW w:w="638" w:type="pct"/>
            <w:tcBorders>
              <w:top w:val="nil"/>
              <w:left w:val="nil"/>
              <w:bottom w:val="single" w:sz="4" w:space="0" w:color="auto"/>
              <w:right w:val="single" w:sz="4" w:space="0" w:color="auto"/>
            </w:tcBorders>
            <w:shd w:val="clear" w:color="auto" w:fill="auto"/>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1.334</w:t>
            </w:r>
          </w:p>
        </w:tc>
        <w:tc>
          <w:tcPr>
            <w:tcW w:w="585"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5,66</w:t>
            </w:r>
          </w:p>
        </w:tc>
        <w:tc>
          <w:tcPr>
            <w:tcW w:w="585"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488,74</w:t>
            </w:r>
          </w:p>
        </w:tc>
        <w:tc>
          <w:tcPr>
            <w:tcW w:w="1149"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1,00E+11</w:t>
            </w:r>
          </w:p>
        </w:tc>
        <w:tc>
          <w:tcPr>
            <w:tcW w:w="638"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1,33E+14</w:t>
            </w:r>
          </w:p>
        </w:tc>
        <w:tc>
          <w:tcPr>
            <w:tcW w:w="819"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2,73E+07</w:t>
            </w:r>
          </w:p>
        </w:tc>
      </w:tr>
      <w:tr w:rsidR="002E078C" w:rsidRPr="002E078C" w:rsidTr="002828C8">
        <w:trPr>
          <w:trHeight w:val="20"/>
        </w:trPr>
        <w:tc>
          <w:tcPr>
            <w:tcW w:w="584" w:type="pct"/>
            <w:tcBorders>
              <w:top w:val="nil"/>
              <w:left w:val="single" w:sz="4" w:space="0" w:color="auto"/>
              <w:bottom w:val="single" w:sz="4" w:space="0" w:color="auto"/>
              <w:right w:val="single" w:sz="4" w:space="0" w:color="auto"/>
            </w:tcBorders>
            <w:shd w:val="clear" w:color="auto" w:fill="auto"/>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2033</w:t>
            </w:r>
          </w:p>
        </w:tc>
        <w:tc>
          <w:tcPr>
            <w:tcW w:w="638" w:type="pct"/>
            <w:tcBorders>
              <w:top w:val="nil"/>
              <w:left w:val="nil"/>
              <w:bottom w:val="single" w:sz="4" w:space="0" w:color="auto"/>
              <w:right w:val="single" w:sz="4" w:space="0" w:color="auto"/>
            </w:tcBorders>
            <w:shd w:val="clear" w:color="auto" w:fill="auto"/>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1.328</w:t>
            </w:r>
          </w:p>
        </w:tc>
        <w:tc>
          <w:tcPr>
            <w:tcW w:w="585"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5,65</w:t>
            </w:r>
          </w:p>
        </w:tc>
        <w:tc>
          <w:tcPr>
            <w:tcW w:w="585"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487,75</w:t>
            </w:r>
          </w:p>
        </w:tc>
        <w:tc>
          <w:tcPr>
            <w:tcW w:w="1149"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1,00E+11</w:t>
            </w:r>
          </w:p>
        </w:tc>
        <w:tc>
          <w:tcPr>
            <w:tcW w:w="638"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1,33E+14</w:t>
            </w:r>
          </w:p>
        </w:tc>
        <w:tc>
          <w:tcPr>
            <w:tcW w:w="819"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2,72E+07</w:t>
            </w:r>
          </w:p>
        </w:tc>
      </w:tr>
      <w:tr w:rsidR="002E078C" w:rsidRPr="002E078C" w:rsidTr="002828C8">
        <w:trPr>
          <w:trHeight w:val="20"/>
        </w:trPr>
        <w:tc>
          <w:tcPr>
            <w:tcW w:w="584" w:type="pct"/>
            <w:tcBorders>
              <w:top w:val="nil"/>
              <w:left w:val="single" w:sz="4" w:space="0" w:color="auto"/>
              <w:bottom w:val="single" w:sz="4" w:space="0" w:color="auto"/>
              <w:right w:val="single" w:sz="4" w:space="0" w:color="auto"/>
            </w:tcBorders>
            <w:shd w:val="clear" w:color="auto" w:fill="auto"/>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2034</w:t>
            </w:r>
          </w:p>
        </w:tc>
        <w:tc>
          <w:tcPr>
            <w:tcW w:w="638" w:type="pct"/>
            <w:tcBorders>
              <w:top w:val="nil"/>
              <w:left w:val="nil"/>
              <w:bottom w:val="single" w:sz="4" w:space="0" w:color="auto"/>
              <w:right w:val="single" w:sz="4" w:space="0" w:color="auto"/>
            </w:tcBorders>
            <w:shd w:val="clear" w:color="auto" w:fill="auto"/>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1.313</w:t>
            </w:r>
          </w:p>
        </w:tc>
        <w:tc>
          <w:tcPr>
            <w:tcW w:w="585"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5,62</w:t>
            </w:r>
          </w:p>
        </w:tc>
        <w:tc>
          <w:tcPr>
            <w:tcW w:w="585"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485,67</w:t>
            </w:r>
          </w:p>
        </w:tc>
        <w:tc>
          <w:tcPr>
            <w:tcW w:w="1149"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1,00E+11</w:t>
            </w:r>
          </w:p>
        </w:tc>
        <w:tc>
          <w:tcPr>
            <w:tcW w:w="638"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1,31E+14</w:t>
            </w:r>
          </w:p>
        </w:tc>
        <w:tc>
          <w:tcPr>
            <w:tcW w:w="819"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2,70E+07</w:t>
            </w:r>
          </w:p>
        </w:tc>
      </w:tr>
      <w:tr w:rsidR="002E078C" w:rsidRPr="002E078C" w:rsidTr="002828C8">
        <w:trPr>
          <w:trHeight w:val="20"/>
        </w:trPr>
        <w:tc>
          <w:tcPr>
            <w:tcW w:w="584" w:type="pct"/>
            <w:tcBorders>
              <w:top w:val="nil"/>
              <w:left w:val="single" w:sz="4" w:space="0" w:color="auto"/>
              <w:bottom w:val="single" w:sz="4" w:space="0" w:color="auto"/>
              <w:right w:val="single" w:sz="4" w:space="0" w:color="auto"/>
            </w:tcBorders>
            <w:shd w:val="clear" w:color="auto" w:fill="auto"/>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2035</w:t>
            </w:r>
          </w:p>
        </w:tc>
        <w:tc>
          <w:tcPr>
            <w:tcW w:w="638" w:type="pct"/>
            <w:tcBorders>
              <w:top w:val="nil"/>
              <w:left w:val="nil"/>
              <w:bottom w:val="single" w:sz="4" w:space="0" w:color="auto"/>
              <w:right w:val="single" w:sz="4" w:space="0" w:color="auto"/>
            </w:tcBorders>
            <w:shd w:val="clear" w:color="auto" w:fill="auto"/>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1.298</w:t>
            </w:r>
          </w:p>
        </w:tc>
        <w:tc>
          <w:tcPr>
            <w:tcW w:w="585"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5,59</w:t>
            </w:r>
          </w:p>
        </w:tc>
        <w:tc>
          <w:tcPr>
            <w:tcW w:w="585"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483,37</w:t>
            </w:r>
          </w:p>
        </w:tc>
        <w:tc>
          <w:tcPr>
            <w:tcW w:w="1149"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1,00E+11</w:t>
            </w:r>
          </w:p>
        </w:tc>
        <w:tc>
          <w:tcPr>
            <w:tcW w:w="638"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1,30E+14</w:t>
            </w:r>
          </w:p>
        </w:tc>
        <w:tc>
          <w:tcPr>
            <w:tcW w:w="819"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2,68E+07</w:t>
            </w:r>
          </w:p>
        </w:tc>
      </w:tr>
      <w:tr w:rsidR="002E078C" w:rsidRPr="002E078C" w:rsidTr="002828C8">
        <w:trPr>
          <w:trHeight w:val="20"/>
        </w:trPr>
        <w:tc>
          <w:tcPr>
            <w:tcW w:w="584" w:type="pct"/>
            <w:tcBorders>
              <w:top w:val="nil"/>
              <w:left w:val="single" w:sz="4" w:space="0" w:color="auto"/>
              <w:bottom w:val="single" w:sz="4" w:space="0" w:color="auto"/>
              <w:right w:val="single" w:sz="4" w:space="0" w:color="auto"/>
            </w:tcBorders>
            <w:shd w:val="clear" w:color="auto" w:fill="auto"/>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2036</w:t>
            </w:r>
          </w:p>
        </w:tc>
        <w:tc>
          <w:tcPr>
            <w:tcW w:w="638" w:type="pct"/>
            <w:tcBorders>
              <w:top w:val="nil"/>
              <w:left w:val="nil"/>
              <w:bottom w:val="single" w:sz="4" w:space="0" w:color="auto"/>
              <w:right w:val="single" w:sz="4" w:space="0" w:color="auto"/>
            </w:tcBorders>
            <w:shd w:val="clear" w:color="auto" w:fill="auto"/>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1.283</w:t>
            </w:r>
          </w:p>
        </w:tc>
        <w:tc>
          <w:tcPr>
            <w:tcW w:w="585"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5,57</w:t>
            </w:r>
          </w:p>
        </w:tc>
        <w:tc>
          <w:tcPr>
            <w:tcW w:w="585"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481,29</w:t>
            </w:r>
          </w:p>
        </w:tc>
        <w:tc>
          <w:tcPr>
            <w:tcW w:w="1149"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1,00E+11</w:t>
            </w:r>
          </w:p>
        </w:tc>
        <w:tc>
          <w:tcPr>
            <w:tcW w:w="638"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1,28E+14</w:t>
            </w:r>
          </w:p>
        </w:tc>
        <w:tc>
          <w:tcPr>
            <w:tcW w:w="819"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2,67E+07</w:t>
            </w:r>
          </w:p>
        </w:tc>
      </w:tr>
      <w:tr w:rsidR="002E078C" w:rsidRPr="002E078C" w:rsidTr="002828C8">
        <w:trPr>
          <w:trHeight w:val="20"/>
        </w:trPr>
        <w:tc>
          <w:tcPr>
            <w:tcW w:w="584" w:type="pct"/>
            <w:tcBorders>
              <w:top w:val="nil"/>
              <w:left w:val="single" w:sz="4" w:space="0" w:color="auto"/>
              <w:bottom w:val="single" w:sz="4" w:space="0" w:color="auto"/>
              <w:right w:val="single" w:sz="4" w:space="0" w:color="auto"/>
            </w:tcBorders>
            <w:shd w:val="clear" w:color="auto" w:fill="auto"/>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2037</w:t>
            </w:r>
          </w:p>
        </w:tc>
        <w:tc>
          <w:tcPr>
            <w:tcW w:w="638" w:type="pct"/>
            <w:tcBorders>
              <w:top w:val="nil"/>
              <w:left w:val="nil"/>
              <w:bottom w:val="single" w:sz="4" w:space="0" w:color="auto"/>
              <w:right w:val="single" w:sz="4" w:space="0" w:color="auto"/>
            </w:tcBorders>
            <w:shd w:val="clear" w:color="auto" w:fill="auto"/>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1.277</w:t>
            </w:r>
          </w:p>
        </w:tc>
        <w:tc>
          <w:tcPr>
            <w:tcW w:w="585"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5,56</w:t>
            </w:r>
          </w:p>
        </w:tc>
        <w:tc>
          <w:tcPr>
            <w:tcW w:w="585"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480,30</w:t>
            </w:r>
          </w:p>
        </w:tc>
        <w:tc>
          <w:tcPr>
            <w:tcW w:w="1149"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1,00E+11</w:t>
            </w:r>
          </w:p>
        </w:tc>
        <w:tc>
          <w:tcPr>
            <w:tcW w:w="638"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1,28E+14</w:t>
            </w:r>
          </w:p>
        </w:tc>
        <w:tc>
          <w:tcPr>
            <w:tcW w:w="819"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2,66E+07</w:t>
            </w:r>
          </w:p>
        </w:tc>
      </w:tr>
      <w:tr w:rsidR="002E078C" w:rsidRPr="002E078C" w:rsidTr="002828C8">
        <w:trPr>
          <w:trHeight w:val="20"/>
        </w:trPr>
        <w:tc>
          <w:tcPr>
            <w:tcW w:w="584" w:type="pct"/>
            <w:tcBorders>
              <w:top w:val="nil"/>
              <w:left w:val="single" w:sz="4" w:space="0" w:color="auto"/>
              <w:bottom w:val="single" w:sz="4" w:space="0" w:color="auto"/>
              <w:right w:val="single" w:sz="4" w:space="0" w:color="auto"/>
            </w:tcBorders>
            <w:shd w:val="clear" w:color="auto" w:fill="auto"/>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2038</w:t>
            </w:r>
          </w:p>
        </w:tc>
        <w:tc>
          <w:tcPr>
            <w:tcW w:w="638" w:type="pct"/>
            <w:tcBorders>
              <w:top w:val="nil"/>
              <w:left w:val="nil"/>
              <w:bottom w:val="single" w:sz="4" w:space="0" w:color="auto"/>
              <w:right w:val="single" w:sz="4" w:space="0" w:color="auto"/>
            </w:tcBorders>
            <w:shd w:val="clear" w:color="auto" w:fill="auto"/>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1.268</w:t>
            </w:r>
          </w:p>
        </w:tc>
        <w:tc>
          <w:tcPr>
            <w:tcW w:w="585"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5,55</w:t>
            </w:r>
          </w:p>
        </w:tc>
        <w:tc>
          <w:tcPr>
            <w:tcW w:w="585"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479,09</w:t>
            </w:r>
          </w:p>
        </w:tc>
        <w:tc>
          <w:tcPr>
            <w:tcW w:w="1149"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1,00E+11</w:t>
            </w:r>
          </w:p>
        </w:tc>
        <w:tc>
          <w:tcPr>
            <w:tcW w:w="638"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1,27E+14</w:t>
            </w:r>
          </w:p>
        </w:tc>
        <w:tc>
          <w:tcPr>
            <w:tcW w:w="819" w:type="pct"/>
            <w:tcBorders>
              <w:top w:val="nil"/>
              <w:left w:val="nil"/>
              <w:bottom w:val="single" w:sz="4" w:space="0" w:color="auto"/>
              <w:right w:val="single" w:sz="4" w:space="0" w:color="auto"/>
            </w:tcBorders>
            <w:shd w:val="clear" w:color="auto" w:fill="auto"/>
            <w:noWrap/>
            <w:vAlign w:val="center"/>
            <w:hideMark/>
          </w:tcPr>
          <w:p w:rsidR="002E078C" w:rsidRPr="002E078C" w:rsidRDefault="002E078C" w:rsidP="002E078C">
            <w:pPr>
              <w:spacing w:line="240" w:lineRule="auto"/>
              <w:jc w:val="center"/>
              <w:rPr>
                <w:rFonts w:eastAsia="Times New Roman" w:cs="Arial"/>
                <w:color w:val="000000"/>
                <w:sz w:val="22"/>
                <w:lang w:eastAsia="pt-BR"/>
              </w:rPr>
            </w:pPr>
            <w:r w:rsidRPr="002E078C">
              <w:rPr>
                <w:rFonts w:eastAsia="Times New Roman" w:cs="Arial"/>
                <w:color w:val="000000"/>
                <w:sz w:val="22"/>
                <w:lang w:eastAsia="pt-BR"/>
              </w:rPr>
              <w:t>2,65E+07</w:t>
            </w:r>
          </w:p>
        </w:tc>
      </w:tr>
    </w:tbl>
    <w:p w:rsidR="005A0D0E" w:rsidRPr="00FE18E4" w:rsidRDefault="00984457" w:rsidP="00984457">
      <w:pPr>
        <w:pStyle w:val="Fonte"/>
        <w:rPr>
          <w:rStyle w:val="Forte"/>
          <w:b w:val="0"/>
          <w:bCs w:val="0"/>
        </w:rPr>
      </w:pPr>
      <w:r w:rsidRPr="00FE18E4">
        <w:rPr>
          <w:rStyle w:val="Forte"/>
          <w:b w:val="0"/>
          <w:bCs w:val="0"/>
        </w:rPr>
        <w:t>Fonte: SHS, 2017.</w:t>
      </w:r>
    </w:p>
    <w:p w:rsidR="00A43741" w:rsidRPr="00FE18E4" w:rsidRDefault="00A43741" w:rsidP="00642595">
      <w:pPr>
        <w:shd w:val="clear" w:color="auto" w:fill="FFFFFF"/>
        <w:ind w:firstLine="709"/>
        <w:rPr>
          <w:rFonts w:cs="Arial"/>
          <w:szCs w:val="24"/>
        </w:rPr>
      </w:pPr>
      <w:r w:rsidRPr="00FE18E4">
        <w:rPr>
          <w:szCs w:val="24"/>
        </w:rPr>
        <w:lastRenderedPageBreak/>
        <w:t xml:space="preserve">Calcula-se através da  </w:t>
      </w:r>
      <w:r w:rsidRPr="00FE18E4">
        <w:rPr>
          <w:szCs w:val="24"/>
        </w:rPr>
        <w:fldChar w:fldCharType="begin"/>
      </w:r>
      <w:r w:rsidRPr="00FE18E4">
        <w:rPr>
          <w:szCs w:val="24"/>
        </w:rPr>
        <w:instrText xml:space="preserve"> REF _Ref493781662 \h </w:instrText>
      </w:r>
      <w:r w:rsidRPr="00FE18E4">
        <w:rPr>
          <w:szCs w:val="24"/>
        </w:rPr>
      </w:r>
      <w:r w:rsidRPr="00FE18E4">
        <w:rPr>
          <w:szCs w:val="24"/>
        </w:rPr>
        <w:fldChar w:fldCharType="separate"/>
      </w:r>
      <w:r w:rsidR="004D1D76" w:rsidRPr="00FE18E4">
        <w:t xml:space="preserve">Equação </w:t>
      </w:r>
      <w:r w:rsidR="004D1D76">
        <w:rPr>
          <w:noProof/>
        </w:rPr>
        <w:t>18</w:t>
      </w:r>
      <w:r w:rsidRPr="00FE18E4">
        <w:rPr>
          <w:szCs w:val="24"/>
        </w:rPr>
        <w:fldChar w:fldCharType="end"/>
      </w:r>
      <w:r w:rsidRPr="00FE18E4">
        <w:rPr>
          <w:szCs w:val="24"/>
        </w:rPr>
        <w:t xml:space="preserve"> e </w:t>
      </w:r>
      <w:r w:rsidRPr="00FE18E4">
        <w:rPr>
          <w:szCs w:val="24"/>
        </w:rPr>
        <w:fldChar w:fldCharType="begin"/>
      </w:r>
      <w:r w:rsidRPr="00FE18E4">
        <w:rPr>
          <w:szCs w:val="24"/>
        </w:rPr>
        <w:instrText xml:space="preserve"> REF _Ref493781663 \h </w:instrText>
      </w:r>
      <w:r w:rsidRPr="00FE18E4">
        <w:rPr>
          <w:szCs w:val="24"/>
        </w:rPr>
      </w:r>
      <w:r w:rsidRPr="00FE18E4">
        <w:rPr>
          <w:szCs w:val="24"/>
        </w:rPr>
        <w:fldChar w:fldCharType="separate"/>
      </w:r>
      <w:r w:rsidR="004D1D76" w:rsidRPr="00FE18E4">
        <w:t xml:space="preserve">Equação </w:t>
      </w:r>
      <w:r w:rsidR="004D1D76">
        <w:rPr>
          <w:noProof/>
        </w:rPr>
        <w:t>19</w:t>
      </w:r>
      <w:r w:rsidRPr="00FE18E4">
        <w:rPr>
          <w:szCs w:val="24"/>
        </w:rPr>
        <w:fldChar w:fldCharType="end"/>
      </w:r>
      <w:r w:rsidRPr="00FE18E4">
        <w:rPr>
          <w:rFonts w:cs="Arial"/>
          <w:szCs w:val="24"/>
        </w:rPr>
        <w:t xml:space="preserve"> a </w:t>
      </w:r>
      <w:r w:rsidRPr="00FE18E4">
        <w:rPr>
          <w:szCs w:val="24"/>
        </w:rPr>
        <w:t>carga removida de coliformes fecais termotolerantes (CFT) e sua concentração.</w:t>
      </w:r>
      <w:r w:rsidRPr="00FE18E4">
        <w:rPr>
          <w:rFonts w:cs="Arial"/>
          <w:szCs w:val="24"/>
        </w:rPr>
        <w:t xml:space="preserve"> </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7"/>
        <w:gridCol w:w="4747"/>
      </w:tblGrid>
      <w:tr w:rsidR="00FE18E4" w:rsidRPr="00FE18E4" w:rsidTr="00642595">
        <w:tc>
          <w:tcPr>
            <w:tcW w:w="4747" w:type="dxa"/>
            <w:vAlign w:val="center"/>
          </w:tcPr>
          <w:p w:rsidR="00A43741" w:rsidRPr="00FE18E4" w:rsidRDefault="00A43741" w:rsidP="00A43741">
            <w:pPr>
              <w:shd w:val="clear" w:color="auto" w:fill="FFFFFF"/>
              <w:spacing w:before="120" w:after="120" w:line="240" w:lineRule="auto"/>
              <w:ind w:firstLine="709"/>
              <w:jc w:val="center"/>
              <w:rPr>
                <w:rFonts w:cs="Arial"/>
                <w:szCs w:val="24"/>
              </w:rPr>
            </w:pPr>
            <m:oMathPara>
              <m:oMath>
                <m:r>
                  <w:rPr>
                    <w:rFonts w:ascii="Cambria Math" w:hAnsi="Cambria Math" w:cs="Arial"/>
                    <w:sz w:val="22"/>
                  </w:rPr>
                  <m:t>Carga removida de CFT=População x Carga  per capita</m:t>
                </m:r>
              </m:oMath>
            </m:oMathPara>
          </w:p>
        </w:tc>
        <w:tc>
          <w:tcPr>
            <w:tcW w:w="4747" w:type="dxa"/>
            <w:vAlign w:val="center"/>
          </w:tcPr>
          <w:p w:rsidR="00A43741" w:rsidRPr="00FE18E4" w:rsidRDefault="00A43741" w:rsidP="00A43741">
            <w:pPr>
              <w:shd w:val="clear" w:color="auto" w:fill="FFFFFF"/>
              <w:spacing w:before="120" w:after="120" w:line="240" w:lineRule="auto"/>
              <w:ind w:firstLine="709"/>
              <w:jc w:val="center"/>
              <w:rPr>
                <w:rFonts w:cs="Arial"/>
                <w:sz w:val="22"/>
              </w:rPr>
            </w:pPr>
            <m:oMathPara>
              <m:oMath>
                <m:r>
                  <w:rPr>
                    <w:rFonts w:ascii="Cambria Math" w:hAnsi="Cambria Math" w:cs="Arial"/>
                    <w:sz w:val="22"/>
                  </w:rPr>
                  <m:t xml:space="preserve">Concentração removida  de CFT = </m:t>
                </m:r>
                <m:f>
                  <m:fPr>
                    <m:ctrlPr>
                      <w:rPr>
                        <w:rFonts w:ascii="Cambria Math" w:hAnsi="Cambria Math" w:cs="Arial"/>
                        <w:i/>
                        <w:sz w:val="22"/>
                      </w:rPr>
                    </m:ctrlPr>
                  </m:fPr>
                  <m:num>
                    <m:r>
                      <w:rPr>
                        <w:rFonts w:ascii="Cambria Math" w:hAnsi="Cambria Math" w:cs="Arial"/>
                        <w:sz w:val="22"/>
                      </w:rPr>
                      <m:t>Carga removida de CFT</m:t>
                    </m:r>
                  </m:num>
                  <m:den>
                    <m:r>
                      <w:rPr>
                        <w:rFonts w:ascii="Cambria Math" w:hAnsi="Cambria Math" w:cs="Arial"/>
                        <w:sz w:val="22"/>
                      </w:rPr>
                      <m:t>Vazão</m:t>
                    </m:r>
                  </m:den>
                </m:f>
              </m:oMath>
            </m:oMathPara>
          </w:p>
        </w:tc>
      </w:tr>
      <w:tr w:rsidR="00FE18E4" w:rsidRPr="00FE18E4" w:rsidTr="00642595">
        <w:tc>
          <w:tcPr>
            <w:tcW w:w="4747" w:type="dxa"/>
            <w:vAlign w:val="center"/>
          </w:tcPr>
          <w:p w:rsidR="00A43741" w:rsidRPr="00FE18E4" w:rsidRDefault="00A43741" w:rsidP="00A43741">
            <w:pPr>
              <w:pStyle w:val="Legenda"/>
            </w:pPr>
            <w:bookmarkStart w:id="120" w:name="_Ref493781662"/>
            <w:r w:rsidRPr="00FE18E4">
              <w:t xml:space="preserve">Equação </w:t>
            </w:r>
            <w:r w:rsidR="00D71C43">
              <w:fldChar w:fldCharType="begin"/>
            </w:r>
            <w:r w:rsidR="00D71C43">
              <w:instrText xml:space="preserve"> SEQ Equação \* ARABIC </w:instrText>
            </w:r>
            <w:r w:rsidR="00D71C43">
              <w:fldChar w:fldCharType="separate"/>
            </w:r>
            <w:r w:rsidR="004D1D76">
              <w:rPr>
                <w:noProof/>
              </w:rPr>
              <w:t>18</w:t>
            </w:r>
            <w:r w:rsidR="00D71C43">
              <w:rPr>
                <w:noProof/>
              </w:rPr>
              <w:fldChar w:fldCharType="end"/>
            </w:r>
            <w:bookmarkEnd w:id="120"/>
          </w:p>
        </w:tc>
        <w:tc>
          <w:tcPr>
            <w:tcW w:w="4747" w:type="dxa"/>
            <w:vAlign w:val="center"/>
          </w:tcPr>
          <w:p w:rsidR="00A43741" w:rsidRPr="00FE18E4" w:rsidRDefault="00A43741" w:rsidP="00A43741">
            <w:pPr>
              <w:pStyle w:val="Legenda"/>
            </w:pPr>
            <w:bookmarkStart w:id="121" w:name="_Ref493781663"/>
            <w:r w:rsidRPr="00FE18E4">
              <w:t xml:space="preserve">Equação </w:t>
            </w:r>
            <w:r w:rsidR="00D71C43">
              <w:fldChar w:fldCharType="begin"/>
            </w:r>
            <w:r w:rsidR="00D71C43">
              <w:instrText xml:space="preserve"> SEQ Equação \* ARABIC </w:instrText>
            </w:r>
            <w:r w:rsidR="00D71C43">
              <w:fldChar w:fldCharType="separate"/>
            </w:r>
            <w:r w:rsidR="004D1D76">
              <w:rPr>
                <w:noProof/>
              </w:rPr>
              <w:t>19</w:t>
            </w:r>
            <w:r w:rsidR="00D71C43">
              <w:rPr>
                <w:noProof/>
              </w:rPr>
              <w:fldChar w:fldCharType="end"/>
            </w:r>
            <w:bookmarkEnd w:id="121"/>
          </w:p>
        </w:tc>
      </w:tr>
    </w:tbl>
    <w:p w:rsidR="00FE18E4" w:rsidRPr="00FE18E4" w:rsidRDefault="00FE18E4" w:rsidP="00642595">
      <w:pPr>
        <w:shd w:val="clear" w:color="auto" w:fill="FFFFFF"/>
        <w:ind w:firstLine="709"/>
        <w:rPr>
          <w:szCs w:val="24"/>
        </w:rPr>
      </w:pPr>
    </w:p>
    <w:p w:rsidR="00A43741" w:rsidRPr="00FE18E4" w:rsidRDefault="00A43741" w:rsidP="00642595">
      <w:pPr>
        <w:shd w:val="clear" w:color="auto" w:fill="FFFFFF"/>
        <w:ind w:firstLine="709"/>
        <w:rPr>
          <w:szCs w:val="24"/>
        </w:rPr>
      </w:pPr>
      <w:r w:rsidRPr="00FE18E4">
        <w:rPr>
          <w:szCs w:val="24"/>
        </w:rPr>
        <w:t xml:space="preserve">O </w:t>
      </w:r>
      <w:r w:rsidRPr="00FE18E4">
        <w:rPr>
          <w:szCs w:val="24"/>
        </w:rPr>
        <w:fldChar w:fldCharType="begin"/>
      </w:r>
      <w:r w:rsidRPr="00FE18E4">
        <w:rPr>
          <w:szCs w:val="24"/>
        </w:rPr>
        <w:instrText xml:space="preserve"> REF _Ref493781664 \h </w:instrText>
      </w:r>
      <w:r w:rsidRPr="00FE18E4">
        <w:rPr>
          <w:szCs w:val="24"/>
        </w:rPr>
      </w:r>
      <w:r w:rsidRPr="00FE18E4">
        <w:rPr>
          <w:szCs w:val="24"/>
        </w:rPr>
        <w:fldChar w:fldCharType="separate"/>
      </w:r>
      <w:r w:rsidR="004D1D76" w:rsidRPr="00FE18E4">
        <w:t xml:space="preserve">Quadro </w:t>
      </w:r>
      <w:r w:rsidR="004D1D76">
        <w:rPr>
          <w:noProof/>
        </w:rPr>
        <w:t>13</w:t>
      </w:r>
      <w:r w:rsidRPr="00FE18E4">
        <w:rPr>
          <w:szCs w:val="24"/>
        </w:rPr>
        <w:fldChar w:fldCharType="end"/>
      </w:r>
      <w:r w:rsidRPr="00FE18E4">
        <w:rPr>
          <w:szCs w:val="24"/>
        </w:rPr>
        <w:t xml:space="preserve"> apresenta a evolução da carga removida de coliformes e concentração removida de coliformes para o cenário previsível, considerando 99,9% de eficiência de remoção.</w:t>
      </w:r>
    </w:p>
    <w:p w:rsidR="00A43741" w:rsidRPr="00FE18E4" w:rsidRDefault="00A43741" w:rsidP="00A43741">
      <w:pPr>
        <w:pStyle w:val="Legenda"/>
        <w:rPr>
          <w:lang w:val="pt-BR"/>
        </w:rPr>
      </w:pPr>
      <w:bookmarkStart w:id="122" w:name="_Ref493781664"/>
      <w:bookmarkStart w:id="123" w:name="_Toc493781574"/>
      <w:bookmarkStart w:id="124" w:name="_Toc497469134"/>
      <w:r w:rsidRPr="00FE18E4">
        <w:t xml:space="preserve">Quadro </w:t>
      </w:r>
      <w:r w:rsidR="00D71C43">
        <w:fldChar w:fldCharType="begin"/>
      </w:r>
      <w:r w:rsidR="00D71C43">
        <w:instrText xml:space="preserve"> SEQ Quadro \* ARABIC </w:instrText>
      </w:r>
      <w:r w:rsidR="00D71C43">
        <w:fldChar w:fldCharType="separate"/>
      </w:r>
      <w:r w:rsidR="004D1D76">
        <w:rPr>
          <w:noProof/>
        </w:rPr>
        <w:t>13</w:t>
      </w:r>
      <w:r w:rsidR="00D71C43">
        <w:rPr>
          <w:noProof/>
        </w:rPr>
        <w:fldChar w:fldCharType="end"/>
      </w:r>
      <w:bookmarkEnd w:id="122"/>
      <w:r w:rsidRPr="00FE18E4">
        <w:t xml:space="preserve"> - Evolução da carga</w:t>
      </w:r>
      <w:r w:rsidRPr="00FE18E4">
        <w:rPr>
          <w:lang w:val="pt-BR"/>
        </w:rPr>
        <w:t xml:space="preserve"> removida</w:t>
      </w:r>
      <w:r w:rsidRPr="00FE18E4">
        <w:t xml:space="preserve"> </w:t>
      </w:r>
      <w:r w:rsidRPr="00FE18E4">
        <w:rPr>
          <w:lang w:val="pt-BR"/>
        </w:rPr>
        <w:t>de coliformes</w:t>
      </w:r>
      <w:r w:rsidRPr="00FE18E4">
        <w:t xml:space="preserve">  e concentração </w:t>
      </w:r>
      <w:r w:rsidRPr="00FE18E4">
        <w:rPr>
          <w:lang w:val="pt-BR"/>
        </w:rPr>
        <w:t>removida</w:t>
      </w:r>
      <w:r w:rsidRPr="00FE18E4">
        <w:t xml:space="preserve"> de </w:t>
      </w:r>
      <w:r w:rsidRPr="00FE18E4">
        <w:rPr>
          <w:lang w:val="pt-BR"/>
        </w:rPr>
        <w:t xml:space="preserve">coliformes </w:t>
      </w:r>
      <w:r w:rsidRPr="00FE18E4">
        <w:t>para o cenário previsível</w:t>
      </w:r>
      <w:r w:rsidRPr="00FE18E4">
        <w:rPr>
          <w:lang w:val="pt-BR"/>
        </w:rPr>
        <w:t xml:space="preserve"> do município</w:t>
      </w:r>
      <w:r w:rsidRPr="00FE18E4">
        <w:t xml:space="preserve"> de </w:t>
      </w:r>
      <w:bookmarkEnd w:id="123"/>
      <w:r w:rsidR="00203936" w:rsidRPr="00FE18E4">
        <w:rPr>
          <w:lang w:val="pt-BR"/>
        </w:rPr>
        <w:t>Córrego Novo</w:t>
      </w:r>
      <w:bookmarkEnd w:id="124"/>
    </w:p>
    <w:tbl>
      <w:tblPr>
        <w:tblW w:w="5000" w:type="pct"/>
        <w:tblCellMar>
          <w:left w:w="70" w:type="dxa"/>
          <w:right w:w="70" w:type="dxa"/>
        </w:tblCellMar>
        <w:tblLook w:val="04A0" w:firstRow="1" w:lastRow="0" w:firstColumn="1" w:lastColumn="0" w:noHBand="0" w:noVBand="1"/>
      </w:tblPr>
      <w:tblGrid>
        <w:gridCol w:w="1706"/>
        <w:gridCol w:w="1705"/>
        <w:gridCol w:w="1705"/>
        <w:gridCol w:w="2189"/>
        <w:gridCol w:w="2189"/>
      </w:tblGrid>
      <w:tr w:rsidR="00FE18E4" w:rsidRPr="00FE18E4" w:rsidTr="002828C8">
        <w:trPr>
          <w:trHeight w:val="283"/>
        </w:trPr>
        <w:tc>
          <w:tcPr>
            <w:tcW w:w="8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320B8" w:rsidRPr="00FE18E4" w:rsidRDefault="000320B8" w:rsidP="000320B8">
            <w:pPr>
              <w:spacing w:line="240" w:lineRule="auto"/>
              <w:jc w:val="center"/>
              <w:rPr>
                <w:rFonts w:eastAsia="Times New Roman" w:cs="Arial"/>
                <w:b/>
                <w:bCs/>
                <w:sz w:val="22"/>
                <w:lang w:eastAsia="pt-BR"/>
              </w:rPr>
            </w:pPr>
            <w:r w:rsidRPr="00FE18E4">
              <w:rPr>
                <w:rFonts w:eastAsia="Times New Roman" w:cs="Arial"/>
                <w:b/>
                <w:bCs/>
                <w:sz w:val="22"/>
                <w:lang w:eastAsia="pt-BR"/>
              </w:rPr>
              <w:t>Ano</w:t>
            </w:r>
          </w:p>
        </w:tc>
        <w:tc>
          <w:tcPr>
            <w:tcW w:w="898" w:type="pct"/>
            <w:tcBorders>
              <w:top w:val="single" w:sz="4" w:space="0" w:color="auto"/>
              <w:left w:val="nil"/>
              <w:bottom w:val="single" w:sz="4" w:space="0" w:color="auto"/>
              <w:right w:val="single" w:sz="4" w:space="0" w:color="auto"/>
            </w:tcBorders>
            <w:shd w:val="clear" w:color="auto" w:fill="auto"/>
            <w:vAlign w:val="center"/>
            <w:hideMark/>
          </w:tcPr>
          <w:p w:rsidR="000320B8" w:rsidRPr="00FE18E4" w:rsidRDefault="000320B8" w:rsidP="000320B8">
            <w:pPr>
              <w:spacing w:line="240" w:lineRule="auto"/>
              <w:jc w:val="center"/>
              <w:rPr>
                <w:rFonts w:eastAsia="Times New Roman" w:cs="Arial"/>
                <w:b/>
                <w:bCs/>
                <w:sz w:val="22"/>
                <w:lang w:eastAsia="pt-BR"/>
              </w:rPr>
            </w:pPr>
            <w:r w:rsidRPr="00FE18E4">
              <w:rPr>
                <w:rFonts w:eastAsia="Times New Roman" w:cs="Arial"/>
                <w:b/>
                <w:bCs/>
                <w:sz w:val="22"/>
                <w:lang w:eastAsia="pt-BR"/>
              </w:rPr>
              <w:t>População urbana atendida (hab.)</w:t>
            </w:r>
          </w:p>
        </w:tc>
        <w:tc>
          <w:tcPr>
            <w:tcW w:w="898" w:type="pct"/>
            <w:tcBorders>
              <w:top w:val="single" w:sz="4" w:space="0" w:color="auto"/>
              <w:left w:val="nil"/>
              <w:bottom w:val="single" w:sz="4" w:space="0" w:color="auto"/>
              <w:right w:val="single" w:sz="4" w:space="0" w:color="auto"/>
            </w:tcBorders>
            <w:shd w:val="clear" w:color="auto" w:fill="auto"/>
            <w:vAlign w:val="center"/>
            <w:hideMark/>
          </w:tcPr>
          <w:p w:rsidR="000320B8" w:rsidRPr="00FE18E4" w:rsidRDefault="000320B8" w:rsidP="000320B8">
            <w:pPr>
              <w:spacing w:line="240" w:lineRule="auto"/>
              <w:jc w:val="center"/>
              <w:rPr>
                <w:rFonts w:eastAsia="Times New Roman" w:cs="Arial"/>
                <w:b/>
                <w:bCs/>
                <w:sz w:val="22"/>
                <w:lang w:eastAsia="pt-BR"/>
              </w:rPr>
            </w:pPr>
            <w:r w:rsidRPr="00FE18E4">
              <w:rPr>
                <w:rFonts w:eastAsia="Times New Roman" w:cs="Arial"/>
                <w:b/>
                <w:bCs/>
                <w:sz w:val="22"/>
                <w:lang w:eastAsia="pt-BR"/>
              </w:rPr>
              <w:t>Vazão sanitária média (L/s)</w:t>
            </w:r>
          </w:p>
        </w:tc>
        <w:tc>
          <w:tcPr>
            <w:tcW w:w="1153" w:type="pct"/>
            <w:tcBorders>
              <w:top w:val="single" w:sz="4" w:space="0" w:color="auto"/>
              <w:left w:val="nil"/>
              <w:bottom w:val="single" w:sz="4" w:space="0" w:color="auto"/>
              <w:right w:val="single" w:sz="4" w:space="0" w:color="auto"/>
            </w:tcBorders>
            <w:shd w:val="clear" w:color="000000" w:fill="FFFFFF"/>
            <w:vAlign w:val="center"/>
            <w:hideMark/>
          </w:tcPr>
          <w:p w:rsidR="000320B8" w:rsidRPr="00FE18E4" w:rsidRDefault="000320B8" w:rsidP="000320B8">
            <w:pPr>
              <w:spacing w:line="240" w:lineRule="auto"/>
              <w:jc w:val="center"/>
              <w:rPr>
                <w:rFonts w:eastAsia="Times New Roman" w:cs="Arial"/>
                <w:b/>
                <w:bCs/>
                <w:sz w:val="22"/>
                <w:lang w:eastAsia="pt-BR"/>
              </w:rPr>
            </w:pPr>
            <w:r w:rsidRPr="00FE18E4">
              <w:rPr>
                <w:rFonts w:eastAsia="Times New Roman" w:cs="Arial"/>
                <w:b/>
                <w:bCs/>
                <w:sz w:val="22"/>
                <w:lang w:eastAsia="pt-BR"/>
              </w:rPr>
              <w:t>Carga removida de coliformes, considerando 99,9% de eficiência de remoção (org/dia)</w:t>
            </w:r>
          </w:p>
        </w:tc>
        <w:tc>
          <w:tcPr>
            <w:tcW w:w="1153" w:type="pct"/>
            <w:tcBorders>
              <w:top w:val="single" w:sz="4" w:space="0" w:color="auto"/>
              <w:left w:val="nil"/>
              <w:bottom w:val="single" w:sz="4" w:space="0" w:color="auto"/>
              <w:right w:val="single" w:sz="4" w:space="0" w:color="auto"/>
            </w:tcBorders>
            <w:shd w:val="clear" w:color="000000" w:fill="FFFFFF"/>
            <w:vAlign w:val="center"/>
            <w:hideMark/>
          </w:tcPr>
          <w:p w:rsidR="000320B8" w:rsidRPr="00FE18E4" w:rsidRDefault="000320B8" w:rsidP="000320B8">
            <w:pPr>
              <w:spacing w:line="240" w:lineRule="auto"/>
              <w:jc w:val="center"/>
              <w:rPr>
                <w:rFonts w:eastAsia="Times New Roman" w:cs="Arial"/>
                <w:b/>
                <w:bCs/>
                <w:sz w:val="22"/>
                <w:lang w:eastAsia="pt-BR"/>
              </w:rPr>
            </w:pPr>
            <w:r w:rsidRPr="00FE18E4">
              <w:rPr>
                <w:rFonts w:eastAsia="Times New Roman" w:cs="Arial"/>
                <w:b/>
                <w:bCs/>
                <w:sz w:val="22"/>
                <w:lang w:eastAsia="pt-BR"/>
              </w:rPr>
              <w:t xml:space="preserve">Concentração removida de coliformes  (org/100mL), considerando 99,9% de eficiência de remoção </w:t>
            </w:r>
          </w:p>
        </w:tc>
      </w:tr>
      <w:tr w:rsidR="00FE18E4" w:rsidRPr="00FE18E4" w:rsidTr="002828C8">
        <w:trPr>
          <w:trHeight w:val="283"/>
        </w:trPr>
        <w:tc>
          <w:tcPr>
            <w:tcW w:w="898" w:type="pct"/>
            <w:tcBorders>
              <w:top w:val="nil"/>
              <w:left w:val="single" w:sz="4" w:space="0" w:color="auto"/>
              <w:bottom w:val="single" w:sz="4" w:space="0" w:color="auto"/>
              <w:right w:val="single" w:sz="4" w:space="0" w:color="auto"/>
            </w:tcBorders>
            <w:shd w:val="clear" w:color="auto" w:fill="auto"/>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2017</w:t>
            </w:r>
          </w:p>
        </w:tc>
        <w:tc>
          <w:tcPr>
            <w:tcW w:w="898" w:type="pct"/>
            <w:tcBorders>
              <w:top w:val="nil"/>
              <w:left w:val="nil"/>
              <w:bottom w:val="single" w:sz="4" w:space="0" w:color="auto"/>
              <w:right w:val="single" w:sz="4" w:space="0" w:color="auto"/>
            </w:tcBorders>
            <w:shd w:val="clear" w:color="auto" w:fill="auto"/>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1.487</w:t>
            </w:r>
          </w:p>
        </w:tc>
        <w:tc>
          <w:tcPr>
            <w:tcW w:w="898"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5,92</w:t>
            </w:r>
          </w:p>
        </w:tc>
        <w:tc>
          <w:tcPr>
            <w:tcW w:w="1153"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1,486E+14</w:t>
            </w:r>
          </w:p>
        </w:tc>
        <w:tc>
          <w:tcPr>
            <w:tcW w:w="1153"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2,907E+07</w:t>
            </w:r>
          </w:p>
        </w:tc>
      </w:tr>
      <w:tr w:rsidR="00FE18E4" w:rsidRPr="00FE18E4" w:rsidTr="002828C8">
        <w:trPr>
          <w:trHeight w:val="283"/>
        </w:trPr>
        <w:tc>
          <w:tcPr>
            <w:tcW w:w="898" w:type="pct"/>
            <w:tcBorders>
              <w:top w:val="nil"/>
              <w:left w:val="single" w:sz="4" w:space="0" w:color="auto"/>
              <w:bottom w:val="single" w:sz="4" w:space="0" w:color="auto"/>
              <w:right w:val="single" w:sz="4" w:space="0" w:color="auto"/>
            </w:tcBorders>
            <w:shd w:val="clear" w:color="auto" w:fill="auto"/>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2018</w:t>
            </w:r>
          </w:p>
        </w:tc>
        <w:tc>
          <w:tcPr>
            <w:tcW w:w="898" w:type="pct"/>
            <w:tcBorders>
              <w:top w:val="nil"/>
              <w:left w:val="nil"/>
              <w:bottom w:val="single" w:sz="4" w:space="0" w:color="auto"/>
              <w:right w:val="single" w:sz="4" w:space="0" w:color="auto"/>
            </w:tcBorders>
            <w:shd w:val="clear" w:color="auto" w:fill="auto"/>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1.477</w:t>
            </w:r>
          </w:p>
        </w:tc>
        <w:tc>
          <w:tcPr>
            <w:tcW w:w="898"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5,90</w:t>
            </w:r>
          </w:p>
        </w:tc>
        <w:tc>
          <w:tcPr>
            <w:tcW w:w="1153"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1,475E+14</w:t>
            </w:r>
          </w:p>
        </w:tc>
        <w:tc>
          <w:tcPr>
            <w:tcW w:w="1153"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2,895E+07</w:t>
            </w:r>
          </w:p>
        </w:tc>
      </w:tr>
      <w:tr w:rsidR="00FE18E4" w:rsidRPr="00FE18E4" w:rsidTr="002828C8">
        <w:trPr>
          <w:trHeight w:val="283"/>
        </w:trPr>
        <w:tc>
          <w:tcPr>
            <w:tcW w:w="898" w:type="pct"/>
            <w:tcBorders>
              <w:top w:val="nil"/>
              <w:left w:val="single" w:sz="4" w:space="0" w:color="auto"/>
              <w:bottom w:val="single" w:sz="4" w:space="0" w:color="auto"/>
              <w:right w:val="single" w:sz="4" w:space="0" w:color="auto"/>
            </w:tcBorders>
            <w:shd w:val="clear" w:color="auto" w:fill="auto"/>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2019</w:t>
            </w:r>
          </w:p>
        </w:tc>
        <w:tc>
          <w:tcPr>
            <w:tcW w:w="898" w:type="pct"/>
            <w:tcBorders>
              <w:top w:val="nil"/>
              <w:left w:val="nil"/>
              <w:bottom w:val="single" w:sz="4" w:space="0" w:color="auto"/>
              <w:right w:val="single" w:sz="4" w:space="0" w:color="auto"/>
            </w:tcBorders>
            <w:shd w:val="clear" w:color="auto" w:fill="auto"/>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1.469</w:t>
            </w:r>
          </w:p>
        </w:tc>
        <w:tc>
          <w:tcPr>
            <w:tcW w:w="898"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5,89</w:t>
            </w:r>
          </w:p>
        </w:tc>
        <w:tc>
          <w:tcPr>
            <w:tcW w:w="1153"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1,468E+14</w:t>
            </w:r>
          </w:p>
        </w:tc>
        <w:tc>
          <w:tcPr>
            <w:tcW w:w="1153"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2,887E+07</w:t>
            </w:r>
          </w:p>
        </w:tc>
      </w:tr>
      <w:tr w:rsidR="00FE18E4" w:rsidRPr="00FE18E4" w:rsidTr="002828C8">
        <w:trPr>
          <w:trHeight w:val="283"/>
        </w:trPr>
        <w:tc>
          <w:tcPr>
            <w:tcW w:w="898" w:type="pct"/>
            <w:tcBorders>
              <w:top w:val="nil"/>
              <w:left w:val="single" w:sz="4" w:space="0" w:color="auto"/>
              <w:bottom w:val="single" w:sz="4" w:space="0" w:color="auto"/>
              <w:right w:val="single" w:sz="4" w:space="0" w:color="auto"/>
            </w:tcBorders>
            <w:shd w:val="clear" w:color="auto" w:fill="auto"/>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2020</w:t>
            </w:r>
          </w:p>
        </w:tc>
        <w:tc>
          <w:tcPr>
            <w:tcW w:w="898" w:type="pct"/>
            <w:tcBorders>
              <w:top w:val="nil"/>
              <w:left w:val="nil"/>
              <w:bottom w:val="single" w:sz="4" w:space="0" w:color="auto"/>
              <w:right w:val="single" w:sz="4" w:space="0" w:color="auto"/>
            </w:tcBorders>
            <w:shd w:val="clear" w:color="auto" w:fill="auto"/>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1.467</w:t>
            </w:r>
          </w:p>
        </w:tc>
        <w:tc>
          <w:tcPr>
            <w:tcW w:w="898"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5,88</w:t>
            </w:r>
          </w:p>
        </w:tc>
        <w:tc>
          <w:tcPr>
            <w:tcW w:w="1153"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1,466E+14</w:t>
            </w:r>
          </w:p>
        </w:tc>
        <w:tc>
          <w:tcPr>
            <w:tcW w:w="1153"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2,884E+07</w:t>
            </w:r>
          </w:p>
        </w:tc>
      </w:tr>
      <w:tr w:rsidR="00FE18E4" w:rsidRPr="00FE18E4" w:rsidTr="002828C8">
        <w:trPr>
          <w:trHeight w:val="283"/>
        </w:trPr>
        <w:tc>
          <w:tcPr>
            <w:tcW w:w="898" w:type="pct"/>
            <w:tcBorders>
              <w:top w:val="nil"/>
              <w:left w:val="single" w:sz="4" w:space="0" w:color="auto"/>
              <w:bottom w:val="single" w:sz="4" w:space="0" w:color="auto"/>
              <w:right w:val="single" w:sz="4" w:space="0" w:color="auto"/>
            </w:tcBorders>
            <w:shd w:val="clear" w:color="auto" w:fill="auto"/>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2021</w:t>
            </w:r>
          </w:p>
        </w:tc>
        <w:tc>
          <w:tcPr>
            <w:tcW w:w="898" w:type="pct"/>
            <w:tcBorders>
              <w:top w:val="nil"/>
              <w:left w:val="nil"/>
              <w:bottom w:val="single" w:sz="4" w:space="0" w:color="auto"/>
              <w:right w:val="single" w:sz="4" w:space="0" w:color="auto"/>
            </w:tcBorders>
            <w:shd w:val="clear" w:color="auto" w:fill="auto"/>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1.457</w:t>
            </w:r>
          </w:p>
        </w:tc>
        <w:tc>
          <w:tcPr>
            <w:tcW w:w="898"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5,86</w:t>
            </w:r>
          </w:p>
        </w:tc>
        <w:tc>
          <w:tcPr>
            <w:tcW w:w="1153"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1,455E+14</w:t>
            </w:r>
          </w:p>
        </w:tc>
        <w:tc>
          <w:tcPr>
            <w:tcW w:w="1153"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2,872E+07</w:t>
            </w:r>
          </w:p>
        </w:tc>
      </w:tr>
      <w:tr w:rsidR="00FE18E4" w:rsidRPr="00FE18E4" w:rsidTr="002828C8">
        <w:trPr>
          <w:trHeight w:val="283"/>
        </w:trPr>
        <w:tc>
          <w:tcPr>
            <w:tcW w:w="898" w:type="pct"/>
            <w:tcBorders>
              <w:top w:val="nil"/>
              <w:left w:val="single" w:sz="4" w:space="0" w:color="auto"/>
              <w:bottom w:val="single" w:sz="4" w:space="0" w:color="auto"/>
              <w:right w:val="single" w:sz="4" w:space="0" w:color="auto"/>
            </w:tcBorders>
            <w:shd w:val="clear" w:color="auto" w:fill="auto"/>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2022</w:t>
            </w:r>
          </w:p>
        </w:tc>
        <w:tc>
          <w:tcPr>
            <w:tcW w:w="898" w:type="pct"/>
            <w:tcBorders>
              <w:top w:val="nil"/>
              <w:left w:val="nil"/>
              <w:bottom w:val="single" w:sz="4" w:space="0" w:color="auto"/>
              <w:right w:val="single" w:sz="4" w:space="0" w:color="auto"/>
            </w:tcBorders>
            <w:shd w:val="clear" w:color="auto" w:fill="auto"/>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1.444</w:t>
            </w:r>
          </w:p>
        </w:tc>
        <w:tc>
          <w:tcPr>
            <w:tcW w:w="898"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5,84</w:t>
            </w:r>
          </w:p>
        </w:tc>
        <w:tc>
          <w:tcPr>
            <w:tcW w:w="1153"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1,442E+14</w:t>
            </w:r>
          </w:p>
        </w:tc>
        <w:tc>
          <w:tcPr>
            <w:tcW w:w="1153"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2,858E+07</w:t>
            </w:r>
          </w:p>
        </w:tc>
      </w:tr>
      <w:tr w:rsidR="00FE18E4" w:rsidRPr="00FE18E4" w:rsidTr="002828C8">
        <w:trPr>
          <w:trHeight w:val="283"/>
        </w:trPr>
        <w:tc>
          <w:tcPr>
            <w:tcW w:w="898" w:type="pct"/>
            <w:tcBorders>
              <w:top w:val="nil"/>
              <w:left w:val="single" w:sz="4" w:space="0" w:color="auto"/>
              <w:bottom w:val="single" w:sz="4" w:space="0" w:color="auto"/>
              <w:right w:val="single" w:sz="4" w:space="0" w:color="auto"/>
            </w:tcBorders>
            <w:shd w:val="clear" w:color="auto" w:fill="auto"/>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2023</w:t>
            </w:r>
          </w:p>
        </w:tc>
        <w:tc>
          <w:tcPr>
            <w:tcW w:w="898" w:type="pct"/>
            <w:tcBorders>
              <w:top w:val="nil"/>
              <w:left w:val="nil"/>
              <w:bottom w:val="single" w:sz="4" w:space="0" w:color="auto"/>
              <w:right w:val="single" w:sz="4" w:space="0" w:color="auto"/>
            </w:tcBorders>
            <w:shd w:val="clear" w:color="auto" w:fill="auto"/>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1.433</w:t>
            </w:r>
          </w:p>
        </w:tc>
        <w:tc>
          <w:tcPr>
            <w:tcW w:w="898"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5,82</w:t>
            </w:r>
          </w:p>
        </w:tc>
        <w:tc>
          <w:tcPr>
            <w:tcW w:w="1153"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1,431E+14</w:t>
            </w:r>
          </w:p>
        </w:tc>
        <w:tc>
          <w:tcPr>
            <w:tcW w:w="1153"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2,845E+07</w:t>
            </w:r>
          </w:p>
        </w:tc>
      </w:tr>
      <w:tr w:rsidR="00FE18E4" w:rsidRPr="00FE18E4" w:rsidTr="002828C8">
        <w:trPr>
          <w:trHeight w:val="283"/>
        </w:trPr>
        <w:tc>
          <w:tcPr>
            <w:tcW w:w="898" w:type="pct"/>
            <w:tcBorders>
              <w:top w:val="nil"/>
              <w:left w:val="single" w:sz="4" w:space="0" w:color="auto"/>
              <w:bottom w:val="single" w:sz="4" w:space="0" w:color="auto"/>
              <w:right w:val="single" w:sz="4" w:space="0" w:color="auto"/>
            </w:tcBorders>
            <w:shd w:val="clear" w:color="auto" w:fill="auto"/>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2024</w:t>
            </w:r>
          </w:p>
        </w:tc>
        <w:tc>
          <w:tcPr>
            <w:tcW w:w="898" w:type="pct"/>
            <w:tcBorders>
              <w:top w:val="nil"/>
              <w:left w:val="nil"/>
              <w:bottom w:val="single" w:sz="4" w:space="0" w:color="auto"/>
              <w:right w:val="single" w:sz="4" w:space="0" w:color="auto"/>
            </w:tcBorders>
            <w:shd w:val="clear" w:color="auto" w:fill="auto"/>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1.430</w:t>
            </w:r>
          </w:p>
        </w:tc>
        <w:tc>
          <w:tcPr>
            <w:tcW w:w="898"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5,82</w:t>
            </w:r>
          </w:p>
        </w:tc>
        <w:tc>
          <w:tcPr>
            <w:tcW w:w="1153"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1,428E+14</w:t>
            </w:r>
          </w:p>
        </w:tc>
        <w:tc>
          <w:tcPr>
            <w:tcW w:w="1153"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2,841E+07</w:t>
            </w:r>
          </w:p>
        </w:tc>
      </w:tr>
      <w:tr w:rsidR="00FE18E4" w:rsidRPr="00FE18E4" w:rsidTr="002828C8">
        <w:trPr>
          <w:trHeight w:val="283"/>
        </w:trPr>
        <w:tc>
          <w:tcPr>
            <w:tcW w:w="898" w:type="pct"/>
            <w:tcBorders>
              <w:top w:val="nil"/>
              <w:left w:val="single" w:sz="4" w:space="0" w:color="auto"/>
              <w:bottom w:val="single" w:sz="4" w:space="0" w:color="auto"/>
              <w:right w:val="single" w:sz="4" w:space="0" w:color="auto"/>
            </w:tcBorders>
            <w:shd w:val="clear" w:color="auto" w:fill="auto"/>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2025</w:t>
            </w:r>
          </w:p>
        </w:tc>
        <w:tc>
          <w:tcPr>
            <w:tcW w:w="898" w:type="pct"/>
            <w:tcBorders>
              <w:top w:val="nil"/>
              <w:left w:val="nil"/>
              <w:bottom w:val="single" w:sz="4" w:space="0" w:color="auto"/>
              <w:right w:val="single" w:sz="4" w:space="0" w:color="auto"/>
            </w:tcBorders>
            <w:shd w:val="clear" w:color="auto" w:fill="auto"/>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1.418</w:t>
            </w:r>
          </w:p>
        </w:tc>
        <w:tc>
          <w:tcPr>
            <w:tcW w:w="898"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5,80</w:t>
            </w:r>
          </w:p>
        </w:tc>
        <w:tc>
          <w:tcPr>
            <w:tcW w:w="1153"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1,417E+14</w:t>
            </w:r>
          </w:p>
        </w:tc>
        <w:tc>
          <w:tcPr>
            <w:tcW w:w="1153"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2,828E+07</w:t>
            </w:r>
          </w:p>
        </w:tc>
      </w:tr>
      <w:tr w:rsidR="00FE18E4" w:rsidRPr="00FE18E4" w:rsidTr="002828C8">
        <w:trPr>
          <w:trHeight w:val="283"/>
        </w:trPr>
        <w:tc>
          <w:tcPr>
            <w:tcW w:w="898" w:type="pct"/>
            <w:tcBorders>
              <w:top w:val="nil"/>
              <w:left w:val="single" w:sz="4" w:space="0" w:color="auto"/>
              <w:bottom w:val="single" w:sz="4" w:space="0" w:color="auto"/>
              <w:right w:val="single" w:sz="4" w:space="0" w:color="auto"/>
            </w:tcBorders>
            <w:shd w:val="clear" w:color="auto" w:fill="auto"/>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2026</w:t>
            </w:r>
          </w:p>
        </w:tc>
        <w:tc>
          <w:tcPr>
            <w:tcW w:w="898" w:type="pct"/>
            <w:tcBorders>
              <w:top w:val="nil"/>
              <w:left w:val="nil"/>
              <w:bottom w:val="single" w:sz="4" w:space="0" w:color="auto"/>
              <w:right w:val="single" w:sz="4" w:space="0" w:color="auto"/>
            </w:tcBorders>
            <w:shd w:val="clear" w:color="auto" w:fill="auto"/>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1.411</w:t>
            </w:r>
          </w:p>
        </w:tc>
        <w:tc>
          <w:tcPr>
            <w:tcW w:w="898"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5,79</w:t>
            </w:r>
          </w:p>
        </w:tc>
        <w:tc>
          <w:tcPr>
            <w:tcW w:w="1153"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1,409E+14</w:t>
            </w:r>
          </w:p>
        </w:tc>
        <w:tc>
          <w:tcPr>
            <w:tcW w:w="1153"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2,819E+07</w:t>
            </w:r>
          </w:p>
        </w:tc>
      </w:tr>
      <w:tr w:rsidR="00FE18E4" w:rsidRPr="00FE18E4" w:rsidTr="002828C8">
        <w:trPr>
          <w:trHeight w:val="283"/>
        </w:trPr>
        <w:tc>
          <w:tcPr>
            <w:tcW w:w="898" w:type="pct"/>
            <w:tcBorders>
              <w:top w:val="nil"/>
              <w:left w:val="single" w:sz="4" w:space="0" w:color="auto"/>
              <w:bottom w:val="single" w:sz="4" w:space="0" w:color="auto"/>
              <w:right w:val="single" w:sz="4" w:space="0" w:color="auto"/>
            </w:tcBorders>
            <w:shd w:val="clear" w:color="auto" w:fill="auto"/>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2027</w:t>
            </w:r>
          </w:p>
        </w:tc>
        <w:tc>
          <w:tcPr>
            <w:tcW w:w="898" w:type="pct"/>
            <w:tcBorders>
              <w:top w:val="nil"/>
              <w:left w:val="nil"/>
              <w:bottom w:val="single" w:sz="4" w:space="0" w:color="auto"/>
              <w:right w:val="single" w:sz="4" w:space="0" w:color="auto"/>
            </w:tcBorders>
            <w:shd w:val="clear" w:color="auto" w:fill="auto"/>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1.397</w:t>
            </w:r>
          </w:p>
        </w:tc>
        <w:tc>
          <w:tcPr>
            <w:tcW w:w="898"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5,76</w:t>
            </w:r>
          </w:p>
        </w:tc>
        <w:tc>
          <w:tcPr>
            <w:tcW w:w="1153"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1,395E+14</w:t>
            </w:r>
          </w:p>
        </w:tc>
        <w:tc>
          <w:tcPr>
            <w:tcW w:w="1153"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2,802E+07</w:t>
            </w:r>
          </w:p>
        </w:tc>
      </w:tr>
      <w:tr w:rsidR="00FE18E4" w:rsidRPr="00FE18E4" w:rsidTr="002828C8">
        <w:trPr>
          <w:trHeight w:val="283"/>
        </w:trPr>
        <w:tc>
          <w:tcPr>
            <w:tcW w:w="898" w:type="pct"/>
            <w:tcBorders>
              <w:top w:val="nil"/>
              <w:left w:val="single" w:sz="4" w:space="0" w:color="auto"/>
              <w:bottom w:val="single" w:sz="4" w:space="0" w:color="auto"/>
              <w:right w:val="single" w:sz="4" w:space="0" w:color="auto"/>
            </w:tcBorders>
            <w:shd w:val="clear" w:color="auto" w:fill="auto"/>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2028</w:t>
            </w:r>
          </w:p>
        </w:tc>
        <w:tc>
          <w:tcPr>
            <w:tcW w:w="898" w:type="pct"/>
            <w:tcBorders>
              <w:top w:val="nil"/>
              <w:left w:val="nil"/>
              <w:bottom w:val="single" w:sz="4" w:space="0" w:color="auto"/>
              <w:right w:val="single" w:sz="4" w:space="0" w:color="auto"/>
            </w:tcBorders>
            <w:shd w:val="clear" w:color="auto" w:fill="auto"/>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1.388</w:t>
            </w:r>
          </w:p>
        </w:tc>
        <w:tc>
          <w:tcPr>
            <w:tcW w:w="898"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5,75</w:t>
            </w:r>
          </w:p>
        </w:tc>
        <w:tc>
          <w:tcPr>
            <w:tcW w:w="1153"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1,387E+14</w:t>
            </w:r>
          </w:p>
        </w:tc>
        <w:tc>
          <w:tcPr>
            <w:tcW w:w="1153"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2,793E+07</w:t>
            </w:r>
          </w:p>
        </w:tc>
      </w:tr>
      <w:tr w:rsidR="00FE18E4" w:rsidRPr="00FE18E4" w:rsidTr="002828C8">
        <w:trPr>
          <w:trHeight w:val="283"/>
        </w:trPr>
        <w:tc>
          <w:tcPr>
            <w:tcW w:w="898" w:type="pct"/>
            <w:tcBorders>
              <w:top w:val="nil"/>
              <w:left w:val="single" w:sz="4" w:space="0" w:color="auto"/>
              <w:bottom w:val="single" w:sz="4" w:space="0" w:color="auto"/>
              <w:right w:val="single" w:sz="4" w:space="0" w:color="auto"/>
            </w:tcBorders>
            <w:shd w:val="clear" w:color="auto" w:fill="auto"/>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2029</w:t>
            </w:r>
          </w:p>
        </w:tc>
        <w:tc>
          <w:tcPr>
            <w:tcW w:w="898" w:type="pct"/>
            <w:tcBorders>
              <w:top w:val="nil"/>
              <w:left w:val="nil"/>
              <w:bottom w:val="single" w:sz="4" w:space="0" w:color="auto"/>
              <w:right w:val="single" w:sz="4" w:space="0" w:color="auto"/>
            </w:tcBorders>
            <w:shd w:val="clear" w:color="auto" w:fill="auto"/>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1.377</w:t>
            </w:r>
          </w:p>
        </w:tc>
        <w:tc>
          <w:tcPr>
            <w:tcW w:w="898"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5,73</w:t>
            </w:r>
          </w:p>
        </w:tc>
        <w:tc>
          <w:tcPr>
            <w:tcW w:w="1153"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1,376E+14</w:t>
            </w:r>
          </w:p>
        </w:tc>
        <w:tc>
          <w:tcPr>
            <w:tcW w:w="1153"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2,779E+07</w:t>
            </w:r>
          </w:p>
        </w:tc>
      </w:tr>
      <w:tr w:rsidR="00FE18E4" w:rsidRPr="00FE18E4" w:rsidTr="002828C8">
        <w:trPr>
          <w:trHeight w:val="283"/>
        </w:trPr>
        <w:tc>
          <w:tcPr>
            <w:tcW w:w="898" w:type="pct"/>
            <w:tcBorders>
              <w:top w:val="nil"/>
              <w:left w:val="single" w:sz="4" w:space="0" w:color="auto"/>
              <w:bottom w:val="single" w:sz="4" w:space="0" w:color="auto"/>
              <w:right w:val="single" w:sz="4" w:space="0" w:color="auto"/>
            </w:tcBorders>
            <w:shd w:val="clear" w:color="auto" w:fill="auto"/>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2030</w:t>
            </w:r>
          </w:p>
        </w:tc>
        <w:tc>
          <w:tcPr>
            <w:tcW w:w="898" w:type="pct"/>
            <w:tcBorders>
              <w:top w:val="nil"/>
              <w:left w:val="nil"/>
              <w:bottom w:val="single" w:sz="4" w:space="0" w:color="auto"/>
              <w:right w:val="single" w:sz="4" w:space="0" w:color="auto"/>
            </w:tcBorders>
            <w:shd w:val="clear" w:color="auto" w:fill="auto"/>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1.360</w:t>
            </w:r>
          </w:p>
        </w:tc>
        <w:tc>
          <w:tcPr>
            <w:tcW w:w="898"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5,70</w:t>
            </w:r>
          </w:p>
        </w:tc>
        <w:tc>
          <w:tcPr>
            <w:tcW w:w="1153"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1,358E+14</w:t>
            </w:r>
          </w:p>
        </w:tc>
        <w:tc>
          <w:tcPr>
            <w:tcW w:w="1153"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2,758E+07</w:t>
            </w:r>
          </w:p>
        </w:tc>
      </w:tr>
      <w:tr w:rsidR="00FE18E4" w:rsidRPr="00FE18E4" w:rsidTr="002828C8">
        <w:trPr>
          <w:trHeight w:val="283"/>
        </w:trPr>
        <w:tc>
          <w:tcPr>
            <w:tcW w:w="898" w:type="pct"/>
            <w:tcBorders>
              <w:top w:val="nil"/>
              <w:left w:val="single" w:sz="4" w:space="0" w:color="auto"/>
              <w:bottom w:val="single" w:sz="4" w:space="0" w:color="auto"/>
              <w:right w:val="single" w:sz="4" w:space="0" w:color="auto"/>
            </w:tcBorders>
            <w:shd w:val="clear" w:color="auto" w:fill="auto"/>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2031</w:t>
            </w:r>
          </w:p>
        </w:tc>
        <w:tc>
          <w:tcPr>
            <w:tcW w:w="898" w:type="pct"/>
            <w:tcBorders>
              <w:top w:val="nil"/>
              <w:left w:val="nil"/>
              <w:bottom w:val="single" w:sz="4" w:space="0" w:color="auto"/>
              <w:right w:val="single" w:sz="4" w:space="0" w:color="auto"/>
            </w:tcBorders>
            <w:shd w:val="clear" w:color="auto" w:fill="auto"/>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1.346</w:t>
            </w:r>
          </w:p>
        </w:tc>
        <w:tc>
          <w:tcPr>
            <w:tcW w:w="898"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5,68</w:t>
            </w:r>
          </w:p>
        </w:tc>
        <w:tc>
          <w:tcPr>
            <w:tcW w:w="1153"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1,345E+14</w:t>
            </w:r>
          </w:p>
        </w:tc>
        <w:tc>
          <w:tcPr>
            <w:tcW w:w="1153"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2,742E+07</w:t>
            </w:r>
          </w:p>
        </w:tc>
      </w:tr>
      <w:tr w:rsidR="00FE18E4" w:rsidRPr="00FE18E4" w:rsidTr="002828C8">
        <w:trPr>
          <w:trHeight w:val="283"/>
        </w:trPr>
        <w:tc>
          <w:tcPr>
            <w:tcW w:w="898" w:type="pct"/>
            <w:tcBorders>
              <w:top w:val="nil"/>
              <w:left w:val="single" w:sz="4" w:space="0" w:color="auto"/>
              <w:bottom w:val="single" w:sz="4" w:space="0" w:color="auto"/>
              <w:right w:val="single" w:sz="4" w:space="0" w:color="auto"/>
            </w:tcBorders>
            <w:shd w:val="clear" w:color="auto" w:fill="auto"/>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2032</w:t>
            </w:r>
          </w:p>
        </w:tc>
        <w:tc>
          <w:tcPr>
            <w:tcW w:w="898" w:type="pct"/>
            <w:tcBorders>
              <w:top w:val="nil"/>
              <w:left w:val="nil"/>
              <w:bottom w:val="single" w:sz="4" w:space="0" w:color="auto"/>
              <w:right w:val="single" w:sz="4" w:space="0" w:color="auto"/>
            </w:tcBorders>
            <w:shd w:val="clear" w:color="auto" w:fill="auto"/>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1.334</w:t>
            </w:r>
          </w:p>
        </w:tc>
        <w:tc>
          <w:tcPr>
            <w:tcW w:w="898"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5,66</w:t>
            </w:r>
          </w:p>
        </w:tc>
        <w:tc>
          <w:tcPr>
            <w:tcW w:w="1153"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1,333E+14</w:t>
            </w:r>
          </w:p>
        </w:tc>
        <w:tc>
          <w:tcPr>
            <w:tcW w:w="1153"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2,727E+07</w:t>
            </w:r>
          </w:p>
        </w:tc>
      </w:tr>
      <w:tr w:rsidR="00FE18E4" w:rsidRPr="00FE18E4" w:rsidTr="002828C8">
        <w:trPr>
          <w:trHeight w:val="283"/>
        </w:trPr>
        <w:tc>
          <w:tcPr>
            <w:tcW w:w="898" w:type="pct"/>
            <w:tcBorders>
              <w:top w:val="nil"/>
              <w:left w:val="single" w:sz="4" w:space="0" w:color="auto"/>
              <w:bottom w:val="single" w:sz="4" w:space="0" w:color="auto"/>
              <w:right w:val="single" w:sz="4" w:space="0" w:color="auto"/>
            </w:tcBorders>
            <w:shd w:val="clear" w:color="auto" w:fill="auto"/>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2033</w:t>
            </w:r>
          </w:p>
        </w:tc>
        <w:tc>
          <w:tcPr>
            <w:tcW w:w="898" w:type="pct"/>
            <w:tcBorders>
              <w:top w:val="nil"/>
              <w:left w:val="nil"/>
              <w:bottom w:val="single" w:sz="4" w:space="0" w:color="auto"/>
              <w:right w:val="single" w:sz="4" w:space="0" w:color="auto"/>
            </w:tcBorders>
            <w:shd w:val="clear" w:color="auto" w:fill="auto"/>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1.328</w:t>
            </w:r>
          </w:p>
        </w:tc>
        <w:tc>
          <w:tcPr>
            <w:tcW w:w="898"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5,65</w:t>
            </w:r>
          </w:p>
        </w:tc>
        <w:tc>
          <w:tcPr>
            <w:tcW w:w="1153"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1,326E+14</w:t>
            </w:r>
          </w:p>
        </w:tc>
        <w:tc>
          <w:tcPr>
            <w:tcW w:w="1153"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2,719E+07</w:t>
            </w:r>
          </w:p>
        </w:tc>
      </w:tr>
      <w:tr w:rsidR="00FE18E4" w:rsidRPr="00FE18E4" w:rsidTr="002828C8">
        <w:trPr>
          <w:trHeight w:val="283"/>
        </w:trPr>
        <w:tc>
          <w:tcPr>
            <w:tcW w:w="898" w:type="pct"/>
            <w:tcBorders>
              <w:top w:val="nil"/>
              <w:left w:val="single" w:sz="4" w:space="0" w:color="auto"/>
              <w:bottom w:val="single" w:sz="4" w:space="0" w:color="auto"/>
              <w:right w:val="single" w:sz="4" w:space="0" w:color="auto"/>
            </w:tcBorders>
            <w:shd w:val="clear" w:color="auto" w:fill="auto"/>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2034</w:t>
            </w:r>
          </w:p>
        </w:tc>
        <w:tc>
          <w:tcPr>
            <w:tcW w:w="898" w:type="pct"/>
            <w:tcBorders>
              <w:top w:val="nil"/>
              <w:left w:val="nil"/>
              <w:bottom w:val="single" w:sz="4" w:space="0" w:color="auto"/>
              <w:right w:val="single" w:sz="4" w:space="0" w:color="auto"/>
            </w:tcBorders>
            <w:shd w:val="clear" w:color="auto" w:fill="auto"/>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1.313</w:t>
            </w:r>
          </w:p>
        </w:tc>
        <w:tc>
          <w:tcPr>
            <w:tcW w:w="898"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5,62</w:t>
            </w:r>
          </w:p>
        </w:tc>
        <w:tc>
          <w:tcPr>
            <w:tcW w:w="1153"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1,312E+14</w:t>
            </w:r>
          </w:p>
        </w:tc>
        <w:tc>
          <w:tcPr>
            <w:tcW w:w="1153"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2,701E+07</w:t>
            </w:r>
          </w:p>
        </w:tc>
      </w:tr>
      <w:tr w:rsidR="00FE18E4" w:rsidRPr="00FE18E4" w:rsidTr="002828C8">
        <w:trPr>
          <w:trHeight w:val="283"/>
        </w:trPr>
        <w:tc>
          <w:tcPr>
            <w:tcW w:w="898" w:type="pct"/>
            <w:tcBorders>
              <w:top w:val="nil"/>
              <w:left w:val="single" w:sz="4" w:space="0" w:color="auto"/>
              <w:bottom w:val="single" w:sz="4" w:space="0" w:color="auto"/>
              <w:right w:val="single" w:sz="4" w:space="0" w:color="auto"/>
            </w:tcBorders>
            <w:shd w:val="clear" w:color="auto" w:fill="auto"/>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2035</w:t>
            </w:r>
          </w:p>
        </w:tc>
        <w:tc>
          <w:tcPr>
            <w:tcW w:w="898" w:type="pct"/>
            <w:tcBorders>
              <w:top w:val="nil"/>
              <w:left w:val="nil"/>
              <w:bottom w:val="single" w:sz="4" w:space="0" w:color="auto"/>
              <w:right w:val="single" w:sz="4" w:space="0" w:color="auto"/>
            </w:tcBorders>
            <w:shd w:val="clear" w:color="auto" w:fill="auto"/>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1.298</w:t>
            </w:r>
          </w:p>
        </w:tc>
        <w:tc>
          <w:tcPr>
            <w:tcW w:w="898"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5,59</w:t>
            </w:r>
          </w:p>
        </w:tc>
        <w:tc>
          <w:tcPr>
            <w:tcW w:w="1153"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1,296E+14</w:t>
            </w:r>
          </w:p>
        </w:tc>
        <w:tc>
          <w:tcPr>
            <w:tcW w:w="1153"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2,682E+07</w:t>
            </w:r>
          </w:p>
        </w:tc>
      </w:tr>
      <w:tr w:rsidR="00FE18E4" w:rsidRPr="00FE18E4" w:rsidTr="002828C8">
        <w:trPr>
          <w:trHeight w:val="283"/>
        </w:trPr>
        <w:tc>
          <w:tcPr>
            <w:tcW w:w="898" w:type="pct"/>
            <w:tcBorders>
              <w:top w:val="nil"/>
              <w:left w:val="single" w:sz="4" w:space="0" w:color="auto"/>
              <w:bottom w:val="single" w:sz="4" w:space="0" w:color="auto"/>
              <w:right w:val="single" w:sz="4" w:space="0" w:color="auto"/>
            </w:tcBorders>
            <w:shd w:val="clear" w:color="auto" w:fill="auto"/>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2036</w:t>
            </w:r>
          </w:p>
        </w:tc>
        <w:tc>
          <w:tcPr>
            <w:tcW w:w="898" w:type="pct"/>
            <w:tcBorders>
              <w:top w:val="nil"/>
              <w:left w:val="nil"/>
              <w:bottom w:val="single" w:sz="4" w:space="0" w:color="auto"/>
              <w:right w:val="single" w:sz="4" w:space="0" w:color="auto"/>
            </w:tcBorders>
            <w:shd w:val="clear" w:color="auto" w:fill="auto"/>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1.283</w:t>
            </w:r>
          </w:p>
        </w:tc>
        <w:tc>
          <w:tcPr>
            <w:tcW w:w="898"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5,57</w:t>
            </w:r>
          </w:p>
        </w:tc>
        <w:tc>
          <w:tcPr>
            <w:tcW w:w="1153"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1,282E+14</w:t>
            </w:r>
          </w:p>
        </w:tc>
        <w:tc>
          <w:tcPr>
            <w:tcW w:w="1153"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2,664E+07</w:t>
            </w:r>
          </w:p>
        </w:tc>
      </w:tr>
      <w:tr w:rsidR="00FE18E4" w:rsidRPr="00FE18E4" w:rsidTr="002828C8">
        <w:trPr>
          <w:trHeight w:val="283"/>
        </w:trPr>
        <w:tc>
          <w:tcPr>
            <w:tcW w:w="898" w:type="pct"/>
            <w:tcBorders>
              <w:top w:val="nil"/>
              <w:left w:val="single" w:sz="4" w:space="0" w:color="auto"/>
              <w:bottom w:val="single" w:sz="4" w:space="0" w:color="auto"/>
              <w:right w:val="single" w:sz="4" w:space="0" w:color="auto"/>
            </w:tcBorders>
            <w:shd w:val="clear" w:color="auto" w:fill="auto"/>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2037</w:t>
            </w:r>
          </w:p>
        </w:tc>
        <w:tc>
          <w:tcPr>
            <w:tcW w:w="898" w:type="pct"/>
            <w:tcBorders>
              <w:top w:val="nil"/>
              <w:left w:val="nil"/>
              <w:bottom w:val="single" w:sz="4" w:space="0" w:color="auto"/>
              <w:right w:val="single" w:sz="4" w:space="0" w:color="auto"/>
            </w:tcBorders>
            <w:shd w:val="clear" w:color="auto" w:fill="auto"/>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1.277</w:t>
            </w:r>
          </w:p>
        </w:tc>
        <w:tc>
          <w:tcPr>
            <w:tcW w:w="898"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5,56</w:t>
            </w:r>
          </w:p>
        </w:tc>
        <w:tc>
          <w:tcPr>
            <w:tcW w:w="1153"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1,275E+14</w:t>
            </w:r>
          </w:p>
        </w:tc>
        <w:tc>
          <w:tcPr>
            <w:tcW w:w="1153"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2,655E+07</w:t>
            </w:r>
          </w:p>
        </w:tc>
      </w:tr>
      <w:tr w:rsidR="00FE18E4" w:rsidRPr="00FE18E4" w:rsidTr="002828C8">
        <w:trPr>
          <w:trHeight w:val="283"/>
        </w:trPr>
        <w:tc>
          <w:tcPr>
            <w:tcW w:w="898" w:type="pct"/>
            <w:tcBorders>
              <w:top w:val="nil"/>
              <w:left w:val="single" w:sz="4" w:space="0" w:color="auto"/>
              <w:bottom w:val="single" w:sz="4" w:space="0" w:color="auto"/>
              <w:right w:val="single" w:sz="4" w:space="0" w:color="auto"/>
            </w:tcBorders>
            <w:shd w:val="clear" w:color="auto" w:fill="auto"/>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2038</w:t>
            </w:r>
          </w:p>
        </w:tc>
        <w:tc>
          <w:tcPr>
            <w:tcW w:w="898" w:type="pct"/>
            <w:tcBorders>
              <w:top w:val="nil"/>
              <w:left w:val="nil"/>
              <w:bottom w:val="single" w:sz="4" w:space="0" w:color="auto"/>
              <w:right w:val="single" w:sz="4" w:space="0" w:color="auto"/>
            </w:tcBorders>
            <w:shd w:val="clear" w:color="auto" w:fill="auto"/>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1.268</w:t>
            </w:r>
          </w:p>
        </w:tc>
        <w:tc>
          <w:tcPr>
            <w:tcW w:w="898"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5,55</w:t>
            </w:r>
          </w:p>
        </w:tc>
        <w:tc>
          <w:tcPr>
            <w:tcW w:w="1153"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1,267E+14</w:t>
            </w:r>
          </w:p>
        </w:tc>
        <w:tc>
          <w:tcPr>
            <w:tcW w:w="1153" w:type="pct"/>
            <w:tcBorders>
              <w:top w:val="nil"/>
              <w:left w:val="nil"/>
              <w:bottom w:val="single" w:sz="4" w:space="0" w:color="auto"/>
              <w:right w:val="single" w:sz="4" w:space="0" w:color="auto"/>
            </w:tcBorders>
            <w:shd w:val="clear" w:color="auto" w:fill="auto"/>
            <w:noWrap/>
            <w:vAlign w:val="center"/>
            <w:hideMark/>
          </w:tcPr>
          <w:p w:rsidR="000320B8" w:rsidRPr="00FE18E4" w:rsidRDefault="000320B8" w:rsidP="000320B8">
            <w:pPr>
              <w:spacing w:line="240" w:lineRule="auto"/>
              <w:jc w:val="center"/>
              <w:rPr>
                <w:rFonts w:eastAsia="Times New Roman" w:cs="Arial"/>
                <w:sz w:val="22"/>
                <w:lang w:eastAsia="pt-BR"/>
              </w:rPr>
            </w:pPr>
            <w:r w:rsidRPr="00FE18E4">
              <w:rPr>
                <w:rFonts w:eastAsia="Times New Roman" w:cs="Arial"/>
                <w:sz w:val="22"/>
                <w:lang w:eastAsia="pt-BR"/>
              </w:rPr>
              <w:t>2,645E+07</w:t>
            </w:r>
          </w:p>
        </w:tc>
      </w:tr>
    </w:tbl>
    <w:p w:rsidR="005A0D0E" w:rsidRPr="00DA6A87" w:rsidRDefault="005A0D0E" w:rsidP="005A0D0E">
      <w:pPr>
        <w:widowControl w:val="0"/>
        <w:tabs>
          <w:tab w:val="left" w:pos="4395"/>
        </w:tabs>
        <w:autoSpaceDE w:val="0"/>
        <w:autoSpaceDN w:val="0"/>
        <w:adjustRightInd w:val="0"/>
        <w:spacing w:before="120" w:after="120"/>
        <w:ind w:firstLine="709"/>
        <w:contextualSpacing/>
        <w:rPr>
          <w:rFonts w:cs="Arial"/>
          <w:szCs w:val="24"/>
        </w:rPr>
      </w:pPr>
      <w:r w:rsidRPr="00DA6A87">
        <w:rPr>
          <w:rFonts w:cs="Arial"/>
          <w:szCs w:val="24"/>
        </w:rPr>
        <w:lastRenderedPageBreak/>
        <w:t xml:space="preserve">O </w:t>
      </w:r>
      <w:r w:rsidRPr="00DA6A87">
        <w:rPr>
          <w:rFonts w:cs="Arial"/>
          <w:szCs w:val="24"/>
        </w:rPr>
        <w:fldChar w:fldCharType="begin"/>
      </w:r>
      <w:r w:rsidRPr="00DA6A87">
        <w:rPr>
          <w:rFonts w:cs="Arial"/>
          <w:szCs w:val="24"/>
        </w:rPr>
        <w:instrText xml:space="preserve"> REF _Ref484678676 \h  \* MERGEFORMAT </w:instrText>
      </w:r>
      <w:r w:rsidRPr="00DA6A87">
        <w:rPr>
          <w:rFonts w:cs="Arial"/>
          <w:szCs w:val="24"/>
        </w:rPr>
      </w:r>
      <w:r w:rsidRPr="00DA6A87">
        <w:rPr>
          <w:rFonts w:cs="Arial"/>
          <w:szCs w:val="24"/>
        </w:rPr>
        <w:fldChar w:fldCharType="separate"/>
      </w:r>
      <w:r w:rsidR="004D1D76" w:rsidRPr="00DA6A87">
        <w:t xml:space="preserve">Quadro </w:t>
      </w:r>
      <w:r w:rsidR="004D1D76">
        <w:rPr>
          <w:noProof/>
        </w:rPr>
        <w:t>10</w:t>
      </w:r>
      <w:r w:rsidRPr="00DA6A87">
        <w:rPr>
          <w:rFonts w:cs="Arial"/>
          <w:szCs w:val="24"/>
        </w:rPr>
        <w:fldChar w:fldCharType="end"/>
      </w:r>
      <w:r w:rsidRPr="00DA6A87">
        <w:rPr>
          <w:rFonts w:cs="Arial"/>
          <w:szCs w:val="24"/>
        </w:rPr>
        <w:t xml:space="preserve"> e o </w:t>
      </w:r>
      <w:r w:rsidRPr="00DA6A87">
        <w:rPr>
          <w:rFonts w:cs="Arial"/>
          <w:szCs w:val="24"/>
        </w:rPr>
        <w:fldChar w:fldCharType="begin"/>
      </w:r>
      <w:r w:rsidRPr="00DA6A87">
        <w:rPr>
          <w:rFonts w:cs="Arial"/>
          <w:szCs w:val="24"/>
        </w:rPr>
        <w:instrText xml:space="preserve"> REF _Ref484678805 \h  \* MERGEFORMAT </w:instrText>
      </w:r>
      <w:r w:rsidRPr="00DA6A87">
        <w:rPr>
          <w:rFonts w:cs="Arial"/>
          <w:szCs w:val="24"/>
        </w:rPr>
      </w:r>
      <w:r w:rsidRPr="00DA6A87">
        <w:rPr>
          <w:rFonts w:cs="Arial"/>
          <w:szCs w:val="24"/>
        </w:rPr>
        <w:fldChar w:fldCharType="separate"/>
      </w:r>
      <w:r w:rsidR="004D1D76" w:rsidRPr="00DA6A87">
        <w:t xml:space="preserve">Quadro </w:t>
      </w:r>
      <w:r w:rsidR="004D1D76">
        <w:rPr>
          <w:noProof/>
        </w:rPr>
        <w:t>12</w:t>
      </w:r>
      <w:r w:rsidRPr="00DA6A87">
        <w:rPr>
          <w:rFonts w:cs="Arial"/>
          <w:szCs w:val="24"/>
        </w:rPr>
        <w:fldChar w:fldCharType="end"/>
      </w:r>
      <w:r w:rsidRPr="00DA6A87">
        <w:rPr>
          <w:rFonts w:cs="Arial"/>
          <w:szCs w:val="24"/>
        </w:rPr>
        <w:t xml:space="preserve"> apresentaram a carga orgânica bruta em termos de DBO e concentração inicial de DBO, além de contribuição </w:t>
      </w:r>
      <w:r w:rsidRPr="00DA6A87">
        <w:rPr>
          <w:rFonts w:cs="Arial"/>
          <w:i/>
          <w:szCs w:val="24"/>
        </w:rPr>
        <w:t>per capita</w:t>
      </w:r>
      <w:r w:rsidRPr="00DA6A87">
        <w:rPr>
          <w:rFonts w:cs="Arial"/>
          <w:szCs w:val="24"/>
        </w:rPr>
        <w:t xml:space="preserve"> de coliformes fecais termotolerantes, carga inicial de coliformes e concentração inicial de coliformes.</w:t>
      </w:r>
    </w:p>
    <w:p w:rsidR="005A0D0E" w:rsidRDefault="005A0D0E" w:rsidP="005A0D0E">
      <w:pPr>
        <w:ind w:firstLine="709"/>
        <w:contextualSpacing/>
        <w:rPr>
          <w:rFonts w:cs="Arial"/>
        </w:rPr>
      </w:pPr>
      <w:r w:rsidRPr="00DA6A87">
        <w:rPr>
          <w:rFonts w:cs="Arial"/>
        </w:rPr>
        <w:t xml:space="preserve">O </w:t>
      </w:r>
      <w:r w:rsidRPr="00DA6A87">
        <w:rPr>
          <w:rFonts w:cs="Arial"/>
        </w:rPr>
        <w:fldChar w:fldCharType="begin"/>
      </w:r>
      <w:r w:rsidRPr="00DA6A87">
        <w:rPr>
          <w:rFonts w:cs="Arial"/>
        </w:rPr>
        <w:instrText xml:space="preserve"> REF _Ref485736731 \h </w:instrText>
      </w:r>
      <w:r w:rsidRPr="00DA6A87">
        <w:rPr>
          <w:rFonts w:cs="Arial"/>
        </w:rPr>
      </w:r>
      <w:r w:rsidRPr="00DA6A87">
        <w:rPr>
          <w:rFonts w:cs="Arial"/>
        </w:rPr>
        <w:fldChar w:fldCharType="separate"/>
      </w:r>
      <w:r w:rsidR="004D1D76" w:rsidRPr="00DA6A87">
        <w:t xml:space="preserve">Quadro </w:t>
      </w:r>
      <w:r w:rsidR="004D1D76">
        <w:rPr>
          <w:noProof/>
        </w:rPr>
        <w:t>14</w:t>
      </w:r>
      <w:r w:rsidRPr="00DA6A87">
        <w:rPr>
          <w:rFonts w:cs="Arial"/>
        </w:rPr>
        <w:fldChar w:fldCharType="end"/>
      </w:r>
      <w:r w:rsidRPr="00DA6A87">
        <w:rPr>
          <w:rFonts w:cs="Arial"/>
        </w:rPr>
        <w:t xml:space="preserve"> apresenta os resultados obtidos das vazões de esgoto doméstico de Córrego Novo para o cenário normativo, no qual o consumo </w:t>
      </w:r>
      <w:r w:rsidRPr="00DA6A87">
        <w:rPr>
          <w:rFonts w:cs="Arial"/>
          <w:i/>
        </w:rPr>
        <w:t>per capita</w:t>
      </w:r>
      <w:r w:rsidRPr="00DA6A87">
        <w:rPr>
          <w:rFonts w:cs="Arial"/>
        </w:rPr>
        <w:t xml:space="preserve"> de água varia de acordo com </w:t>
      </w:r>
      <w:r w:rsidRPr="00DA6A87">
        <w:rPr>
          <w:rFonts w:cs="Arial"/>
          <w:szCs w:val="24"/>
        </w:rPr>
        <w:t>o passar dos anos, como já apresentado nas projeções do sistema de abastecimento de água</w:t>
      </w:r>
      <w:r w:rsidRPr="00DA6A87">
        <w:rPr>
          <w:rFonts w:cs="Arial"/>
        </w:rPr>
        <w:t>.</w:t>
      </w:r>
    </w:p>
    <w:p w:rsidR="005A0D0E" w:rsidRDefault="005A0D0E" w:rsidP="005A0D0E">
      <w:pPr>
        <w:pStyle w:val="Legenda"/>
        <w:rPr>
          <w:lang w:val="pt-BR"/>
        </w:rPr>
      </w:pPr>
      <w:bookmarkStart w:id="125" w:name="_Ref485736731"/>
      <w:bookmarkStart w:id="126" w:name="_Toc497469135"/>
      <w:r w:rsidRPr="00DA6A87">
        <w:t xml:space="preserve">Quadro </w:t>
      </w:r>
      <w:r w:rsidR="00D71C43">
        <w:fldChar w:fldCharType="begin"/>
      </w:r>
      <w:r w:rsidR="00D71C43">
        <w:instrText xml:space="preserve"> SEQ Quadro \* ARABIC </w:instrText>
      </w:r>
      <w:r w:rsidR="00D71C43">
        <w:fldChar w:fldCharType="separate"/>
      </w:r>
      <w:r w:rsidR="004D1D76">
        <w:rPr>
          <w:noProof/>
        </w:rPr>
        <w:t>14</w:t>
      </w:r>
      <w:r w:rsidR="00D71C43">
        <w:rPr>
          <w:noProof/>
        </w:rPr>
        <w:fldChar w:fldCharType="end"/>
      </w:r>
      <w:bookmarkEnd w:id="125"/>
      <w:r w:rsidRPr="00DA6A87">
        <w:t xml:space="preserve"> - Evolução da vazão de esgoto doméstico para </w:t>
      </w:r>
      <w:r w:rsidRPr="00331849">
        <w:t>o cenário normativo</w:t>
      </w:r>
      <w:r w:rsidRPr="00331849">
        <w:rPr>
          <w:lang w:val="pt-BR"/>
        </w:rPr>
        <w:t xml:space="preserve"> do município</w:t>
      </w:r>
      <w:r w:rsidRPr="00DA6A87">
        <w:t xml:space="preserve"> </w:t>
      </w:r>
      <w:r w:rsidRPr="00DA6A87">
        <w:rPr>
          <w:lang w:val="pt-BR"/>
        </w:rPr>
        <w:t xml:space="preserve">de </w:t>
      </w:r>
      <w:r w:rsidRPr="00DA6A87">
        <w:t>Córrego Novo</w:t>
      </w:r>
      <w:bookmarkEnd w:id="126"/>
    </w:p>
    <w:tbl>
      <w:tblPr>
        <w:tblW w:w="5000" w:type="pct"/>
        <w:tblCellMar>
          <w:left w:w="70" w:type="dxa"/>
          <w:right w:w="70" w:type="dxa"/>
        </w:tblCellMar>
        <w:tblLook w:val="04A0" w:firstRow="1" w:lastRow="0" w:firstColumn="1" w:lastColumn="0" w:noHBand="0" w:noVBand="1"/>
      </w:tblPr>
      <w:tblGrid>
        <w:gridCol w:w="710"/>
        <w:gridCol w:w="1253"/>
        <w:gridCol w:w="1448"/>
        <w:gridCol w:w="1253"/>
        <w:gridCol w:w="1264"/>
        <w:gridCol w:w="898"/>
        <w:gridCol w:w="772"/>
        <w:gridCol w:w="948"/>
        <w:gridCol w:w="948"/>
      </w:tblGrid>
      <w:tr w:rsidR="00F13109" w:rsidRPr="00F13109" w:rsidTr="002828C8">
        <w:trPr>
          <w:trHeight w:val="340"/>
        </w:trPr>
        <w:tc>
          <w:tcPr>
            <w:tcW w:w="41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b/>
                <w:bCs/>
                <w:color w:val="000000"/>
                <w:sz w:val="22"/>
                <w:lang w:eastAsia="pt-BR"/>
              </w:rPr>
            </w:pPr>
            <w:r w:rsidRPr="00F13109">
              <w:rPr>
                <w:rFonts w:eastAsia="Times New Roman" w:cs="Arial"/>
                <w:b/>
                <w:bCs/>
                <w:color w:val="000000"/>
                <w:sz w:val="22"/>
                <w:lang w:eastAsia="pt-BR"/>
              </w:rPr>
              <w:t>Ano</w:t>
            </w:r>
          </w:p>
        </w:tc>
        <w:tc>
          <w:tcPr>
            <w:tcW w:w="6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b/>
                <w:bCs/>
                <w:color w:val="000000"/>
                <w:sz w:val="22"/>
                <w:lang w:eastAsia="pt-BR"/>
              </w:rPr>
            </w:pPr>
            <w:r w:rsidRPr="00F13109">
              <w:rPr>
                <w:rFonts w:eastAsia="Times New Roman" w:cs="Arial"/>
                <w:b/>
                <w:bCs/>
                <w:color w:val="000000"/>
                <w:sz w:val="22"/>
                <w:lang w:eastAsia="pt-BR"/>
              </w:rPr>
              <w:t>População urbana (hab.)</w:t>
            </w:r>
          </w:p>
        </w:tc>
        <w:tc>
          <w:tcPr>
            <w:tcW w:w="68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b/>
                <w:bCs/>
                <w:color w:val="000000"/>
                <w:sz w:val="22"/>
                <w:lang w:eastAsia="pt-BR"/>
              </w:rPr>
            </w:pPr>
            <w:r w:rsidRPr="00F13109">
              <w:rPr>
                <w:rFonts w:eastAsia="Times New Roman" w:cs="Arial"/>
                <w:b/>
                <w:bCs/>
                <w:color w:val="000000"/>
                <w:sz w:val="22"/>
                <w:lang w:eastAsia="pt-BR"/>
              </w:rPr>
              <w:t>Índice de atendimento (%)</w:t>
            </w:r>
          </w:p>
        </w:tc>
        <w:tc>
          <w:tcPr>
            <w:tcW w:w="68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b/>
                <w:bCs/>
                <w:color w:val="000000"/>
                <w:sz w:val="22"/>
                <w:lang w:eastAsia="pt-BR"/>
              </w:rPr>
            </w:pPr>
            <w:r w:rsidRPr="00F13109">
              <w:rPr>
                <w:rFonts w:eastAsia="Times New Roman" w:cs="Arial"/>
                <w:b/>
                <w:bCs/>
                <w:color w:val="000000"/>
                <w:sz w:val="22"/>
                <w:lang w:eastAsia="pt-BR"/>
              </w:rPr>
              <w:t>População Urbana Atendida (hab)</w:t>
            </w:r>
          </w:p>
        </w:tc>
        <w:tc>
          <w:tcPr>
            <w:tcW w:w="7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b/>
                <w:bCs/>
                <w:color w:val="000000"/>
                <w:sz w:val="22"/>
                <w:lang w:eastAsia="pt-BR"/>
              </w:rPr>
            </w:pPr>
            <w:r w:rsidRPr="00F13109">
              <w:rPr>
                <w:rFonts w:eastAsia="Times New Roman" w:cs="Arial"/>
                <w:b/>
                <w:bCs/>
                <w:color w:val="000000"/>
                <w:sz w:val="22"/>
                <w:lang w:eastAsia="pt-BR"/>
              </w:rPr>
              <w:t xml:space="preserve">Consumo </w:t>
            </w:r>
            <w:r w:rsidRPr="00F13109">
              <w:rPr>
                <w:rFonts w:eastAsia="Times New Roman" w:cs="Arial"/>
                <w:b/>
                <w:bCs/>
                <w:i/>
                <w:iCs/>
                <w:color w:val="000000"/>
                <w:sz w:val="22"/>
                <w:lang w:eastAsia="pt-BR"/>
              </w:rPr>
              <w:t>per capita</w:t>
            </w:r>
            <w:r w:rsidRPr="00F13109">
              <w:rPr>
                <w:rFonts w:eastAsia="Times New Roman" w:cs="Arial"/>
                <w:b/>
                <w:bCs/>
                <w:color w:val="000000"/>
                <w:sz w:val="22"/>
                <w:lang w:eastAsia="pt-BR"/>
              </w:rPr>
              <w:t xml:space="preserve"> de água (L/hab.dia)</w:t>
            </w:r>
          </w:p>
        </w:tc>
        <w:tc>
          <w:tcPr>
            <w:tcW w:w="1792" w:type="pct"/>
            <w:gridSpan w:val="4"/>
            <w:tcBorders>
              <w:top w:val="single" w:sz="4" w:space="0" w:color="auto"/>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b/>
                <w:bCs/>
                <w:color w:val="000000"/>
                <w:sz w:val="22"/>
                <w:lang w:eastAsia="pt-BR"/>
              </w:rPr>
            </w:pPr>
            <w:r w:rsidRPr="00F13109">
              <w:rPr>
                <w:rFonts w:eastAsia="Times New Roman" w:cs="Arial"/>
                <w:b/>
                <w:bCs/>
                <w:color w:val="000000"/>
                <w:sz w:val="22"/>
                <w:lang w:eastAsia="pt-BR"/>
              </w:rPr>
              <w:t>Vazão esgoto doméstico (L/s)</w:t>
            </w:r>
          </w:p>
        </w:tc>
      </w:tr>
      <w:tr w:rsidR="00F13109" w:rsidRPr="00F13109" w:rsidTr="002828C8">
        <w:trPr>
          <w:trHeight w:val="340"/>
        </w:trPr>
        <w:tc>
          <w:tcPr>
            <w:tcW w:w="416" w:type="pct"/>
            <w:vMerge/>
            <w:tcBorders>
              <w:top w:val="single" w:sz="4" w:space="0" w:color="auto"/>
              <w:left w:val="single" w:sz="4" w:space="0" w:color="auto"/>
              <w:bottom w:val="single" w:sz="4" w:space="0" w:color="auto"/>
              <w:right w:val="single" w:sz="4" w:space="0" w:color="auto"/>
            </w:tcBorders>
            <w:vAlign w:val="center"/>
            <w:hideMark/>
          </w:tcPr>
          <w:p w:rsidR="00F13109" w:rsidRPr="00F13109" w:rsidRDefault="00F13109" w:rsidP="00F13109">
            <w:pPr>
              <w:spacing w:line="240" w:lineRule="auto"/>
              <w:jc w:val="left"/>
              <w:rPr>
                <w:rFonts w:eastAsia="Times New Roman" w:cs="Arial"/>
                <w:b/>
                <w:bCs/>
                <w:color w:val="000000"/>
                <w:sz w:val="22"/>
                <w:lang w:eastAsia="pt-BR"/>
              </w:rPr>
            </w:pPr>
          </w:p>
        </w:tc>
        <w:tc>
          <w:tcPr>
            <w:tcW w:w="664" w:type="pct"/>
            <w:vMerge/>
            <w:tcBorders>
              <w:top w:val="single" w:sz="4" w:space="0" w:color="auto"/>
              <w:left w:val="single" w:sz="4" w:space="0" w:color="auto"/>
              <w:bottom w:val="single" w:sz="4" w:space="0" w:color="auto"/>
              <w:right w:val="single" w:sz="4" w:space="0" w:color="auto"/>
            </w:tcBorders>
            <w:vAlign w:val="center"/>
            <w:hideMark/>
          </w:tcPr>
          <w:p w:rsidR="00F13109" w:rsidRPr="00F13109" w:rsidRDefault="00F13109" w:rsidP="00F13109">
            <w:pPr>
              <w:spacing w:line="240" w:lineRule="auto"/>
              <w:jc w:val="left"/>
              <w:rPr>
                <w:rFonts w:eastAsia="Times New Roman" w:cs="Arial"/>
                <w:b/>
                <w:bCs/>
                <w:color w:val="000000"/>
                <w:sz w:val="22"/>
                <w:lang w:eastAsia="pt-BR"/>
              </w:rPr>
            </w:pPr>
          </w:p>
        </w:tc>
        <w:tc>
          <w:tcPr>
            <w:tcW w:w="680" w:type="pct"/>
            <w:vMerge/>
            <w:tcBorders>
              <w:top w:val="single" w:sz="4" w:space="0" w:color="auto"/>
              <w:left w:val="single" w:sz="4" w:space="0" w:color="auto"/>
              <w:bottom w:val="single" w:sz="4" w:space="0" w:color="000000"/>
              <w:right w:val="single" w:sz="4" w:space="0" w:color="auto"/>
            </w:tcBorders>
            <w:vAlign w:val="center"/>
            <w:hideMark/>
          </w:tcPr>
          <w:p w:rsidR="00F13109" w:rsidRPr="00F13109" w:rsidRDefault="00F13109" w:rsidP="00F13109">
            <w:pPr>
              <w:spacing w:line="240" w:lineRule="auto"/>
              <w:jc w:val="left"/>
              <w:rPr>
                <w:rFonts w:eastAsia="Times New Roman" w:cs="Arial"/>
                <w:b/>
                <w:bCs/>
                <w:color w:val="000000"/>
                <w:sz w:val="22"/>
                <w:lang w:eastAsia="pt-BR"/>
              </w:rPr>
            </w:pPr>
          </w:p>
        </w:tc>
        <w:tc>
          <w:tcPr>
            <w:tcW w:w="680" w:type="pct"/>
            <w:vMerge/>
            <w:tcBorders>
              <w:top w:val="single" w:sz="4" w:space="0" w:color="auto"/>
              <w:left w:val="single" w:sz="4" w:space="0" w:color="auto"/>
              <w:bottom w:val="single" w:sz="4" w:space="0" w:color="auto"/>
              <w:right w:val="single" w:sz="4" w:space="0" w:color="auto"/>
            </w:tcBorders>
            <w:vAlign w:val="center"/>
            <w:hideMark/>
          </w:tcPr>
          <w:p w:rsidR="00F13109" w:rsidRPr="00F13109" w:rsidRDefault="00F13109" w:rsidP="00F13109">
            <w:pPr>
              <w:spacing w:line="240" w:lineRule="auto"/>
              <w:jc w:val="left"/>
              <w:rPr>
                <w:rFonts w:eastAsia="Times New Roman" w:cs="Arial"/>
                <w:b/>
                <w:bCs/>
                <w:color w:val="000000"/>
                <w:sz w:val="22"/>
                <w:lang w:eastAsia="pt-BR"/>
              </w:rPr>
            </w:pPr>
          </w:p>
        </w:tc>
        <w:tc>
          <w:tcPr>
            <w:tcW w:w="768" w:type="pct"/>
            <w:vMerge/>
            <w:tcBorders>
              <w:top w:val="single" w:sz="4" w:space="0" w:color="auto"/>
              <w:left w:val="single" w:sz="4" w:space="0" w:color="auto"/>
              <w:bottom w:val="single" w:sz="4" w:space="0" w:color="auto"/>
              <w:right w:val="single" w:sz="4" w:space="0" w:color="auto"/>
            </w:tcBorders>
            <w:vAlign w:val="center"/>
            <w:hideMark/>
          </w:tcPr>
          <w:p w:rsidR="00F13109" w:rsidRPr="00F13109" w:rsidRDefault="00F13109" w:rsidP="00F13109">
            <w:pPr>
              <w:spacing w:line="240" w:lineRule="auto"/>
              <w:jc w:val="left"/>
              <w:rPr>
                <w:rFonts w:eastAsia="Times New Roman" w:cs="Arial"/>
                <w:b/>
                <w:bCs/>
                <w:color w:val="000000"/>
                <w:sz w:val="22"/>
                <w:lang w:eastAsia="pt-BR"/>
              </w:rPr>
            </w:pP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b/>
                <w:bCs/>
                <w:color w:val="000000"/>
                <w:sz w:val="22"/>
                <w:lang w:eastAsia="pt-BR"/>
              </w:rPr>
            </w:pPr>
            <w:r w:rsidRPr="00F13109">
              <w:rPr>
                <w:rFonts w:eastAsia="Times New Roman" w:cs="Arial"/>
                <w:b/>
                <w:bCs/>
                <w:color w:val="000000"/>
                <w:sz w:val="22"/>
                <w:lang w:eastAsia="pt-BR"/>
              </w:rPr>
              <w:t>Mínima</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b/>
                <w:bCs/>
                <w:color w:val="000000"/>
                <w:sz w:val="22"/>
                <w:lang w:eastAsia="pt-BR"/>
              </w:rPr>
            </w:pPr>
            <w:r w:rsidRPr="00F13109">
              <w:rPr>
                <w:rFonts w:eastAsia="Times New Roman" w:cs="Arial"/>
                <w:b/>
                <w:bCs/>
                <w:color w:val="000000"/>
                <w:sz w:val="22"/>
                <w:lang w:eastAsia="pt-BR"/>
              </w:rPr>
              <w:t>Média</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b/>
                <w:bCs/>
                <w:color w:val="000000"/>
                <w:sz w:val="22"/>
                <w:lang w:eastAsia="pt-BR"/>
              </w:rPr>
            </w:pPr>
            <w:r w:rsidRPr="00F13109">
              <w:rPr>
                <w:rFonts w:eastAsia="Times New Roman" w:cs="Arial"/>
                <w:b/>
                <w:bCs/>
                <w:color w:val="000000"/>
                <w:sz w:val="22"/>
                <w:lang w:eastAsia="pt-BR"/>
              </w:rPr>
              <w:t>Máxima Diária</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b/>
                <w:bCs/>
                <w:color w:val="000000"/>
                <w:sz w:val="22"/>
                <w:lang w:eastAsia="pt-BR"/>
              </w:rPr>
            </w:pPr>
            <w:r w:rsidRPr="00F13109">
              <w:rPr>
                <w:rFonts w:eastAsia="Times New Roman" w:cs="Arial"/>
                <w:b/>
                <w:bCs/>
                <w:color w:val="000000"/>
                <w:sz w:val="22"/>
                <w:lang w:eastAsia="pt-BR"/>
              </w:rPr>
              <w:t>Máxima Horária</w:t>
            </w:r>
          </w:p>
        </w:tc>
      </w:tr>
      <w:tr w:rsidR="00F13109" w:rsidRPr="00F13109" w:rsidTr="002828C8">
        <w:trPr>
          <w:trHeight w:val="340"/>
        </w:trPr>
        <w:tc>
          <w:tcPr>
            <w:tcW w:w="416" w:type="pct"/>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2017</w:t>
            </w:r>
          </w:p>
        </w:tc>
        <w:tc>
          <w:tcPr>
            <w:tcW w:w="664"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1.983</w:t>
            </w:r>
          </w:p>
        </w:tc>
        <w:tc>
          <w:tcPr>
            <w:tcW w:w="680" w:type="pct"/>
            <w:tcBorders>
              <w:top w:val="nil"/>
              <w:left w:val="single" w:sz="4" w:space="0" w:color="auto"/>
              <w:bottom w:val="single" w:sz="4" w:space="0" w:color="auto"/>
              <w:right w:val="nil"/>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75,00</w:t>
            </w:r>
          </w:p>
        </w:tc>
        <w:tc>
          <w:tcPr>
            <w:tcW w:w="680" w:type="pct"/>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1.487</w:t>
            </w:r>
          </w:p>
        </w:tc>
        <w:tc>
          <w:tcPr>
            <w:tcW w:w="76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137,00</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1,26</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2,52</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3,02</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4,53</w:t>
            </w:r>
          </w:p>
        </w:tc>
      </w:tr>
      <w:tr w:rsidR="00F13109" w:rsidRPr="00F13109" w:rsidTr="002828C8">
        <w:trPr>
          <w:trHeight w:val="340"/>
        </w:trPr>
        <w:tc>
          <w:tcPr>
            <w:tcW w:w="416" w:type="pct"/>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2018</w:t>
            </w:r>
          </w:p>
        </w:tc>
        <w:tc>
          <w:tcPr>
            <w:tcW w:w="664"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1.969</w:t>
            </w:r>
          </w:p>
        </w:tc>
        <w:tc>
          <w:tcPr>
            <w:tcW w:w="680" w:type="pct"/>
            <w:tcBorders>
              <w:top w:val="nil"/>
              <w:left w:val="single" w:sz="4" w:space="0" w:color="auto"/>
              <w:bottom w:val="single" w:sz="4" w:space="0" w:color="auto"/>
              <w:right w:val="nil"/>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75,00</w:t>
            </w:r>
          </w:p>
        </w:tc>
        <w:tc>
          <w:tcPr>
            <w:tcW w:w="680" w:type="pct"/>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1.477</w:t>
            </w:r>
          </w:p>
        </w:tc>
        <w:tc>
          <w:tcPr>
            <w:tcW w:w="76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137,00</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1,25</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2,50</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3,00</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4,50</w:t>
            </w:r>
          </w:p>
        </w:tc>
      </w:tr>
      <w:tr w:rsidR="00F13109" w:rsidRPr="00F13109" w:rsidTr="002828C8">
        <w:trPr>
          <w:trHeight w:val="340"/>
        </w:trPr>
        <w:tc>
          <w:tcPr>
            <w:tcW w:w="416" w:type="pct"/>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2019</w:t>
            </w:r>
          </w:p>
        </w:tc>
        <w:tc>
          <w:tcPr>
            <w:tcW w:w="664"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1.959</w:t>
            </w:r>
          </w:p>
        </w:tc>
        <w:tc>
          <w:tcPr>
            <w:tcW w:w="680" w:type="pct"/>
            <w:tcBorders>
              <w:top w:val="nil"/>
              <w:left w:val="single" w:sz="4" w:space="0" w:color="auto"/>
              <w:bottom w:val="single" w:sz="4" w:space="0" w:color="auto"/>
              <w:right w:val="nil"/>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83,33</w:t>
            </w:r>
          </w:p>
        </w:tc>
        <w:tc>
          <w:tcPr>
            <w:tcW w:w="680" w:type="pct"/>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1.633</w:t>
            </w:r>
          </w:p>
        </w:tc>
        <w:tc>
          <w:tcPr>
            <w:tcW w:w="76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137,65</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1,25</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2,50</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3,00</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4,49</w:t>
            </w:r>
          </w:p>
        </w:tc>
      </w:tr>
      <w:tr w:rsidR="00F13109" w:rsidRPr="00F13109" w:rsidTr="002828C8">
        <w:trPr>
          <w:trHeight w:val="340"/>
        </w:trPr>
        <w:tc>
          <w:tcPr>
            <w:tcW w:w="416" w:type="pct"/>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2020</w:t>
            </w:r>
          </w:p>
        </w:tc>
        <w:tc>
          <w:tcPr>
            <w:tcW w:w="664"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1.956</w:t>
            </w:r>
          </w:p>
        </w:tc>
        <w:tc>
          <w:tcPr>
            <w:tcW w:w="680" w:type="pct"/>
            <w:tcBorders>
              <w:top w:val="nil"/>
              <w:left w:val="single" w:sz="4" w:space="0" w:color="auto"/>
              <w:bottom w:val="single" w:sz="4" w:space="0" w:color="auto"/>
              <w:right w:val="nil"/>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91,67</w:t>
            </w:r>
          </w:p>
        </w:tc>
        <w:tc>
          <w:tcPr>
            <w:tcW w:w="680" w:type="pct"/>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1.793</w:t>
            </w:r>
          </w:p>
        </w:tc>
        <w:tc>
          <w:tcPr>
            <w:tcW w:w="76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138,30</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1,25</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2,50</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3,01</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4,51</w:t>
            </w:r>
          </w:p>
        </w:tc>
      </w:tr>
      <w:tr w:rsidR="00F13109" w:rsidRPr="00F13109" w:rsidTr="002828C8">
        <w:trPr>
          <w:trHeight w:val="340"/>
        </w:trPr>
        <w:tc>
          <w:tcPr>
            <w:tcW w:w="416" w:type="pct"/>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2021</w:t>
            </w:r>
          </w:p>
        </w:tc>
        <w:tc>
          <w:tcPr>
            <w:tcW w:w="664"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1.942</w:t>
            </w:r>
          </w:p>
        </w:tc>
        <w:tc>
          <w:tcPr>
            <w:tcW w:w="680" w:type="pct"/>
            <w:tcBorders>
              <w:top w:val="nil"/>
              <w:left w:val="single" w:sz="4" w:space="0" w:color="auto"/>
              <w:bottom w:val="single" w:sz="4" w:space="0" w:color="auto"/>
              <w:right w:val="nil"/>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100,00</w:t>
            </w:r>
          </w:p>
        </w:tc>
        <w:tc>
          <w:tcPr>
            <w:tcW w:w="680" w:type="pct"/>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1.942</w:t>
            </w:r>
          </w:p>
        </w:tc>
        <w:tc>
          <w:tcPr>
            <w:tcW w:w="76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138,95</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1,25</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2,50</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3,00</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4,50</w:t>
            </w:r>
          </w:p>
        </w:tc>
      </w:tr>
      <w:tr w:rsidR="00F13109" w:rsidRPr="00F13109" w:rsidTr="002828C8">
        <w:trPr>
          <w:trHeight w:val="340"/>
        </w:trPr>
        <w:tc>
          <w:tcPr>
            <w:tcW w:w="416" w:type="pct"/>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2022</w:t>
            </w:r>
          </w:p>
        </w:tc>
        <w:tc>
          <w:tcPr>
            <w:tcW w:w="664"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1.925</w:t>
            </w:r>
          </w:p>
        </w:tc>
        <w:tc>
          <w:tcPr>
            <w:tcW w:w="680" w:type="pct"/>
            <w:tcBorders>
              <w:top w:val="nil"/>
              <w:left w:val="single" w:sz="4" w:space="0" w:color="auto"/>
              <w:bottom w:val="single" w:sz="4" w:space="0" w:color="auto"/>
              <w:right w:val="nil"/>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100,00</w:t>
            </w:r>
          </w:p>
        </w:tc>
        <w:tc>
          <w:tcPr>
            <w:tcW w:w="680" w:type="pct"/>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1.925</w:t>
            </w:r>
          </w:p>
        </w:tc>
        <w:tc>
          <w:tcPr>
            <w:tcW w:w="76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139,60</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1,24</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2,49</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2,99</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4,48</w:t>
            </w:r>
          </w:p>
        </w:tc>
      </w:tr>
      <w:tr w:rsidR="00F13109" w:rsidRPr="00F13109" w:rsidTr="002828C8">
        <w:trPr>
          <w:trHeight w:val="340"/>
        </w:trPr>
        <w:tc>
          <w:tcPr>
            <w:tcW w:w="416" w:type="pct"/>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2023</w:t>
            </w:r>
          </w:p>
        </w:tc>
        <w:tc>
          <w:tcPr>
            <w:tcW w:w="664"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1.910</w:t>
            </w:r>
          </w:p>
        </w:tc>
        <w:tc>
          <w:tcPr>
            <w:tcW w:w="680" w:type="pct"/>
            <w:tcBorders>
              <w:top w:val="nil"/>
              <w:left w:val="single" w:sz="4" w:space="0" w:color="auto"/>
              <w:bottom w:val="single" w:sz="4" w:space="0" w:color="auto"/>
              <w:right w:val="nil"/>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100,00</w:t>
            </w:r>
          </w:p>
        </w:tc>
        <w:tc>
          <w:tcPr>
            <w:tcW w:w="680" w:type="pct"/>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1.910</w:t>
            </w:r>
          </w:p>
        </w:tc>
        <w:tc>
          <w:tcPr>
            <w:tcW w:w="76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140,25</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1,24</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2,48</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2,98</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4,46</w:t>
            </w:r>
          </w:p>
        </w:tc>
      </w:tr>
      <w:tr w:rsidR="00F13109" w:rsidRPr="00F13109" w:rsidTr="002828C8">
        <w:trPr>
          <w:trHeight w:val="340"/>
        </w:trPr>
        <w:tc>
          <w:tcPr>
            <w:tcW w:w="416" w:type="pct"/>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2024</w:t>
            </w:r>
          </w:p>
        </w:tc>
        <w:tc>
          <w:tcPr>
            <w:tcW w:w="664"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1.906</w:t>
            </w:r>
          </w:p>
        </w:tc>
        <w:tc>
          <w:tcPr>
            <w:tcW w:w="680" w:type="pct"/>
            <w:tcBorders>
              <w:top w:val="nil"/>
              <w:left w:val="single" w:sz="4" w:space="0" w:color="auto"/>
              <w:bottom w:val="single" w:sz="4" w:space="0" w:color="auto"/>
              <w:right w:val="nil"/>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100,00</w:t>
            </w:r>
          </w:p>
        </w:tc>
        <w:tc>
          <w:tcPr>
            <w:tcW w:w="680" w:type="pct"/>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1.906</w:t>
            </w:r>
          </w:p>
        </w:tc>
        <w:tc>
          <w:tcPr>
            <w:tcW w:w="76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140,90</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1,24</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2,49</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2,98</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4,48</w:t>
            </w:r>
          </w:p>
        </w:tc>
      </w:tr>
      <w:tr w:rsidR="00F13109" w:rsidRPr="00F13109" w:rsidTr="002828C8">
        <w:trPr>
          <w:trHeight w:val="340"/>
        </w:trPr>
        <w:tc>
          <w:tcPr>
            <w:tcW w:w="416" w:type="pct"/>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2025</w:t>
            </w:r>
          </w:p>
        </w:tc>
        <w:tc>
          <w:tcPr>
            <w:tcW w:w="664"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1.891</w:t>
            </w:r>
          </w:p>
        </w:tc>
        <w:tc>
          <w:tcPr>
            <w:tcW w:w="680" w:type="pct"/>
            <w:tcBorders>
              <w:top w:val="nil"/>
              <w:left w:val="single" w:sz="4" w:space="0" w:color="auto"/>
              <w:bottom w:val="single" w:sz="4" w:space="0" w:color="auto"/>
              <w:right w:val="nil"/>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100,00</w:t>
            </w:r>
          </w:p>
        </w:tc>
        <w:tc>
          <w:tcPr>
            <w:tcW w:w="680" w:type="pct"/>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1.891</w:t>
            </w:r>
          </w:p>
        </w:tc>
        <w:tc>
          <w:tcPr>
            <w:tcW w:w="76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141,55</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1,24</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2,48</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2,97</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4,46</w:t>
            </w:r>
          </w:p>
        </w:tc>
      </w:tr>
      <w:tr w:rsidR="00F13109" w:rsidRPr="00F13109" w:rsidTr="002828C8">
        <w:trPr>
          <w:trHeight w:val="340"/>
        </w:trPr>
        <w:tc>
          <w:tcPr>
            <w:tcW w:w="416" w:type="pct"/>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2026</w:t>
            </w:r>
          </w:p>
        </w:tc>
        <w:tc>
          <w:tcPr>
            <w:tcW w:w="664"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1.881</w:t>
            </w:r>
          </w:p>
        </w:tc>
        <w:tc>
          <w:tcPr>
            <w:tcW w:w="680" w:type="pct"/>
            <w:tcBorders>
              <w:top w:val="nil"/>
              <w:left w:val="single" w:sz="4" w:space="0" w:color="auto"/>
              <w:bottom w:val="single" w:sz="4" w:space="0" w:color="auto"/>
              <w:right w:val="nil"/>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100,00</w:t>
            </w:r>
          </w:p>
        </w:tc>
        <w:tc>
          <w:tcPr>
            <w:tcW w:w="680" w:type="pct"/>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1.881</w:t>
            </w:r>
          </w:p>
        </w:tc>
        <w:tc>
          <w:tcPr>
            <w:tcW w:w="76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142,20</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1,24</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2,48</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2,97</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4,46</w:t>
            </w:r>
          </w:p>
        </w:tc>
      </w:tr>
      <w:tr w:rsidR="00F13109" w:rsidRPr="00F13109" w:rsidTr="002828C8">
        <w:trPr>
          <w:trHeight w:val="340"/>
        </w:trPr>
        <w:tc>
          <w:tcPr>
            <w:tcW w:w="416" w:type="pct"/>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2027</w:t>
            </w:r>
          </w:p>
        </w:tc>
        <w:tc>
          <w:tcPr>
            <w:tcW w:w="664"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1.862</w:t>
            </w:r>
          </w:p>
        </w:tc>
        <w:tc>
          <w:tcPr>
            <w:tcW w:w="680" w:type="pct"/>
            <w:tcBorders>
              <w:top w:val="nil"/>
              <w:left w:val="single" w:sz="4" w:space="0" w:color="auto"/>
              <w:bottom w:val="single" w:sz="4" w:space="0" w:color="auto"/>
              <w:right w:val="nil"/>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100,00</w:t>
            </w:r>
          </w:p>
        </w:tc>
        <w:tc>
          <w:tcPr>
            <w:tcW w:w="680" w:type="pct"/>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1.862</w:t>
            </w:r>
          </w:p>
        </w:tc>
        <w:tc>
          <w:tcPr>
            <w:tcW w:w="76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142,85</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1,23</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2,46</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2,96</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4,43</w:t>
            </w:r>
          </w:p>
        </w:tc>
      </w:tr>
      <w:tr w:rsidR="00F13109" w:rsidRPr="00F13109" w:rsidTr="002828C8">
        <w:trPr>
          <w:trHeight w:val="340"/>
        </w:trPr>
        <w:tc>
          <w:tcPr>
            <w:tcW w:w="416" w:type="pct"/>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2028</w:t>
            </w:r>
          </w:p>
        </w:tc>
        <w:tc>
          <w:tcPr>
            <w:tcW w:w="664"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1.851</w:t>
            </w:r>
          </w:p>
        </w:tc>
        <w:tc>
          <w:tcPr>
            <w:tcW w:w="680" w:type="pct"/>
            <w:tcBorders>
              <w:top w:val="nil"/>
              <w:left w:val="single" w:sz="4" w:space="0" w:color="auto"/>
              <w:bottom w:val="single" w:sz="4" w:space="0" w:color="auto"/>
              <w:right w:val="nil"/>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100,00</w:t>
            </w:r>
          </w:p>
        </w:tc>
        <w:tc>
          <w:tcPr>
            <w:tcW w:w="680" w:type="pct"/>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1.851</w:t>
            </w:r>
          </w:p>
        </w:tc>
        <w:tc>
          <w:tcPr>
            <w:tcW w:w="76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143,50</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1,23</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2,46</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2,95</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4,43</w:t>
            </w:r>
          </w:p>
        </w:tc>
      </w:tr>
      <w:tr w:rsidR="00F13109" w:rsidRPr="00F13109" w:rsidTr="002828C8">
        <w:trPr>
          <w:trHeight w:val="340"/>
        </w:trPr>
        <w:tc>
          <w:tcPr>
            <w:tcW w:w="416" w:type="pct"/>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2029</w:t>
            </w:r>
          </w:p>
        </w:tc>
        <w:tc>
          <w:tcPr>
            <w:tcW w:w="664"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1.836</w:t>
            </w:r>
          </w:p>
        </w:tc>
        <w:tc>
          <w:tcPr>
            <w:tcW w:w="680" w:type="pct"/>
            <w:tcBorders>
              <w:top w:val="nil"/>
              <w:left w:val="single" w:sz="4" w:space="0" w:color="auto"/>
              <w:bottom w:val="single" w:sz="4" w:space="0" w:color="auto"/>
              <w:right w:val="nil"/>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100,00</w:t>
            </w:r>
          </w:p>
        </w:tc>
        <w:tc>
          <w:tcPr>
            <w:tcW w:w="680" w:type="pct"/>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1.836</w:t>
            </w:r>
          </w:p>
        </w:tc>
        <w:tc>
          <w:tcPr>
            <w:tcW w:w="76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144,15</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1,23</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2,45</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2,94</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4,41</w:t>
            </w:r>
          </w:p>
        </w:tc>
      </w:tr>
      <w:tr w:rsidR="00F13109" w:rsidRPr="00F13109" w:rsidTr="002828C8">
        <w:trPr>
          <w:trHeight w:val="340"/>
        </w:trPr>
        <w:tc>
          <w:tcPr>
            <w:tcW w:w="416" w:type="pct"/>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2030</w:t>
            </w:r>
          </w:p>
        </w:tc>
        <w:tc>
          <w:tcPr>
            <w:tcW w:w="664"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1.813</w:t>
            </w:r>
          </w:p>
        </w:tc>
        <w:tc>
          <w:tcPr>
            <w:tcW w:w="680" w:type="pct"/>
            <w:tcBorders>
              <w:top w:val="nil"/>
              <w:left w:val="single" w:sz="4" w:space="0" w:color="auto"/>
              <w:bottom w:val="single" w:sz="4" w:space="0" w:color="auto"/>
              <w:right w:val="nil"/>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100,00</w:t>
            </w:r>
          </w:p>
        </w:tc>
        <w:tc>
          <w:tcPr>
            <w:tcW w:w="680" w:type="pct"/>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1.813</w:t>
            </w:r>
          </w:p>
        </w:tc>
        <w:tc>
          <w:tcPr>
            <w:tcW w:w="76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144,80</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1,22</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2,43</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2,92</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4,38</w:t>
            </w:r>
          </w:p>
        </w:tc>
      </w:tr>
      <w:tr w:rsidR="00F13109" w:rsidRPr="00F13109" w:rsidTr="002828C8">
        <w:trPr>
          <w:trHeight w:val="340"/>
        </w:trPr>
        <w:tc>
          <w:tcPr>
            <w:tcW w:w="416" w:type="pct"/>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2031</w:t>
            </w:r>
          </w:p>
        </w:tc>
        <w:tc>
          <w:tcPr>
            <w:tcW w:w="664"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1.795</w:t>
            </w:r>
          </w:p>
        </w:tc>
        <w:tc>
          <w:tcPr>
            <w:tcW w:w="680" w:type="pct"/>
            <w:tcBorders>
              <w:top w:val="nil"/>
              <w:left w:val="single" w:sz="4" w:space="0" w:color="auto"/>
              <w:bottom w:val="single" w:sz="4" w:space="0" w:color="auto"/>
              <w:right w:val="nil"/>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100,00</w:t>
            </w:r>
          </w:p>
        </w:tc>
        <w:tc>
          <w:tcPr>
            <w:tcW w:w="680" w:type="pct"/>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1.795</w:t>
            </w:r>
          </w:p>
        </w:tc>
        <w:tc>
          <w:tcPr>
            <w:tcW w:w="76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145,45</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1,21</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2,42</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2,90</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4,35</w:t>
            </w:r>
          </w:p>
        </w:tc>
      </w:tr>
      <w:tr w:rsidR="00F13109" w:rsidRPr="00F13109" w:rsidTr="002828C8">
        <w:trPr>
          <w:trHeight w:val="340"/>
        </w:trPr>
        <w:tc>
          <w:tcPr>
            <w:tcW w:w="416" w:type="pct"/>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2032</w:t>
            </w:r>
          </w:p>
        </w:tc>
        <w:tc>
          <w:tcPr>
            <w:tcW w:w="664"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1.779</w:t>
            </w:r>
          </w:p>
        </w:tc>
        <w:tc>
          <w:tcPr>
            <w:tcW w:w="680" w:type="pct"/>
            <w:tcBorders>
              <w:top w:val="nil"/>
              <w:left w:val="single" w:sz="4" w:space="0" w:color="auto"/>
              <w:bottom w:val="single" w:sz="4" w:space="0" w:color="auto"/>
              <w:right w:val="nil"/>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100,00</w:t>
            </w:r>
          </w:p>
        </w:tc>
        <w:tc>
          <w:tcPr>
            <w:tcW w:w="680" w:type="pct"/>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1.779</w:t>
            </w:r>
          </w:p>
        </w:tc>
        <w:tc>
          <w:tcPr>
            <w:tcW w:w="76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146,10</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1,20</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2,41</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2,89</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4,33</w:t>
            </w:r>
          </w:p>
        </w:tc>
      </w:tr>
      <w:tr w:rsidR="00F13109" w:rsidRPr="00F13109" w:rsidTr="002828C8">
        <w:trPr>
          <w:trHeight w:val="340"/>
        </w:trPr>
        <w:tc>
          <w:tcPr>
            <w:tcW w:w="416" w:type="pct"/>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2033</w:t>
            </w:r>
          </w:p>
        </w:tc>
        <w:tc>
          <w:tcPr>
            <w:tcW w:w="664"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1.770</w:t>
            </w:r>
          </w:p>
        </w:tc>
        <w:tc>
          <w:tcPr>
            <w:tcW w:w="680" w:type="pct"/>
            <w:tcBorders>
              <w:top w:val="nil"/>
              <w:left w:val="single" w:sz="4" w:space="0" w:color="auto"/>
              <w:bottom w:val="single" w:sz="4" w:space="0" w:color="auto"/>
              <w:right w:val="nil"/>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100,00</w:t>
            </w:r>
          </w:p>
        </w:tc>
        <w:tc>
          <w:tcPr>
            <w:tcW w:w="680" w:type="pct"/>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1.770</w:t>
            </w:r>
          </w:p>
        </w:tc>
        <w:tc>
          <w:tcPr>
            <w:tcW w:w="76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146,75</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1,20</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2,41</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2,89</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4,33</w:t>
            </w:r>
          </w:p>
        </w:tc>
      </w:tr>
      <w:tr w:rsidR="00F13109" w:rsidRPr="00F13109" w:rsidTr="002828C8">
        <w:trPr>
          <w:trHeight w:val="340"/>
        </w:trPr>
        <w:tc>
          <w:tcPr>
            <w:tcW w:w="416" w:type="pct"/>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2034</w:t>
            </w:r>
          </w:p>
        </w:tc>
        <w:tc>
          <w:tcPr>
            <w:tcW w:w="664"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1.751</w:t>
            </w:r>
          </w:p>
        </w:tc>
        <w:tc>
          <w:tcPr>
            <w:tcW w:w="680" w:type="pct"/>
            <w:tcBorders>
              <w:top w:val="nil"/>
              <w:left w:val="single" w:sz="4" w:space="0" w:color="auto"/>
              <w:bottom w:val="single" w:sz="4" w:space="0" w:color="auto"/>
              <w:right w:val="nil"/>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100,00</w:t>
            </w:r>
          </w:p>
        </w:tc>
        <w:tc>
          <w:tcPr>
            <w:tcW w:w="680" w:type="pct"/>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1.751</w:t>
            </w:r>
          </w:p>
        </w:tc>
        <w:tc>
          <w:tcPr>
            <w:tcW w:w="76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147,40</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1,19</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2,39</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2,87</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4,30</w:t>
            </w:r>
          </w:p>
        </w:tc>
      </w:tr>
      <w:tr w:rsidR="00F13109" w:rsidRPr="00F13109" w:rsidTr="002828C8">
        <w:trPr>
          <w:trHeight w:val="340"/>
        </w:trPr>
        <w:tc>
          <w:tcPr>
            <w:tcW w:w="416" w:type="pct"/>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2035</w:t>
            </w:r>
          </w:p>
        </w:tc>
        <w:tc>
          <w:tcPr>
            <w:tcW w:w="664"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1.730</w:t>
            </w:r>
          </w:p>
        </w:tc>
        <w:tc>
          <w:tcPr>
            <w:tcW w:w="680" w:type="pct"/>
            <w:tcBorders>
              <w:top w:val="nil"/>
              <w:left w:val="single" w:sz="4" w:space="0" w:color="auto"/>
              <w:bottom w:val="single" w:sz="4" w:space="0" w:color="auto"/>
              <w:right w:val="nil"/>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100,00</w:t>
            </w:r>
          </w:p>
        </w:tc>
        <w:tc>
          <w:tcPr>
            <w:tcW w:w="680" w:type="pct"/>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1.730</w:t>
            </w:r>
          </w:p>
        </w:tc>
        <w:tc>
          <w:tcPr>
            <w:tcW w:w="76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148,05</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1,19</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2,37</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2,85</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4,27</w:t>
            </w:r>
          </w:p>
        </w:tc>
      </w:tr>
      <w:tr w:rsidR="00F13109" w:rsidRPr="00F13109" w:rsidTr="002828C8">
        <w:trPr>
          <w:trHeight w:val="340"/>
        </w:trPr>
        <w:tc>
          <w:tcPr>
            <w:tcW w:w="416" w:type="pct"/>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2036</w:t>
            </w:r>
          </w:p>
        </w:tc>
        <w:tc>
          <w:tcPr>
            <w:tcW w:w="664"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1.711</w:t>
            </w:r>
          </w:p>
        </w:tc>
        <w:tc>
          <w:tcPr>
            <w:tcW w:w="680" w:type="pct"/>
            <w:tcBorders>
              <w:top w:val="nil"/>
              <w:left w:val="single" w:sz="4" w:space="0" w:color="auto"/>
              <w:bottom w:val="single" w:sz="4" w:space="0" w:color="auto"/>
              <w:right w:val="nil"/>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100,00</w:t>
            </w:r>
          </w:p>
        </w:tc>
        <w:tc>
          <w:tcPr>
            <w:tcW w:w="680" w:type="pct"/>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1.711</w:t>
            </w:r>
          </w:p>
        </w:tc>
        <w:tc>
          <w:tcPr>
            <w:tcW w:w="76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148,70</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1,18</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2,36</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2,83</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4,24</w:t>
            </w:r>
          </w:p>
        </w:tc>
      </w:tr>
      <w:tr w:rsidR="00F13109" w:rsidRPr="00F13109" w:rsidTr="002828C8">
        <w:trPr>
          <w:trHeight w:val="340"/>
        </w:trPr>
        <w:tc>
          <w:tcPr>
            <w:tcW w:w="416" w:type="pct"/>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2037</w:t>
            </w:r>
          </w:p>
        </w:tc>
        <w:tc>
          <w:tcPr>
            <w:tcW w:w="664"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1.702</w:t>
            </w:r>
          </w:p>
        </w:tc>
        <w:tc>
          <w:tcPr>
            <w:tcW w:w="680" w:type="pct"/>
            <w:tcBorders>
              <w:top w:val="nil"/>
              <w:left w:val="single" w:sz="4" w:space="0" w:color="auto"/>
              <w:bottom w:val="single" w:sz="4" w:space="0" w:color="auto"/>
              <w:right w:val="nil"/>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100,00</w:t>
            </w:r>
          </w:p>
        </w:tc>
        <w:tc>
          <w:tcPr>
            <w:tcW w:w="680" w:type="pct"/>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1.702</w:t>
            </w:r>
          </w:p>
        </w:tc>
        <w:tc>
          <w:tcPr>
            <w:tcW w:w="76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149,35</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1,18</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2,35</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2,82</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4,24</w:t>
            </w:r>
          </w:p>
        </w:tc>
      </w:tr>
      <w:tr w:rsidR="00F13109" w:rsidRPr="00F13109" w:rsidTr="002828C8">
        <w:trPr>
          <w:trHeight w:val="340"/>
        </w:trPr>
        <w:tc>
          <w:tcPr>
            <w:tcW w:w="416" w:type="pct"/>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2038</w:t>
            </w:r>
          </w:p>
        </w:tc>
        <w:tc>
          <w:tcPr>
            <w:tcW w:w="664"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1.691</w:t>
            </w:r>
          </w:p>
        </w:tc>
        <w:tc>
          <w:tcPr>
            <w:tcW w:w="680" w:type="pct"/>
            <w:tcBorders>
              <w:top w:val="nil"/>
              <w:left w:val="single" w:sz="4" w:space="0" w:color="auto"/>
              <w:bottom w:val="single" w:sz="4" w:space="0" w:color="auto"/>
              <w:right w:val="nil"/>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100,00</w:t>
            </w:r>
          </w:p>
        </w:tc>
        <w:tc>
          <w:tcPr>
            <w:tcW w:w="680" w:type="pct"/>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1.691</w:t>
            </w:r>
          </w:p>
        </w:tc>
        <w:tc>
          <w:tcPr>
            <w:tcW w:w="76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150,00</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1,17</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2,35</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2,82</w:t>
            </w:r>
          </w:p>
        </w:tc>
        <w:tc>
          <w:tcPr>
            <w:tcW w:w="448" w:type="pct"/>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4,23</w:t>
            </w:r>
          </w:p>
        </w:tc>
      </w:tr>
    </w:tbl>
    <w:p w:rsidR="005A0D0E" w:rsidRPr="00DA6A87" w:rsidRDefault="00984457" w:rsidP="00984457">
      <w:pPr>
        <w:pStyle w:val="Fonte"/>
        <w:rPr>
          <w:rStyle w:val="Forte"/>
        </w:rPr>
      </w:pPr>
      <w:r w:rsidRPr="00E972F5">
        <w:rPr>
          <w:rStyle w:val="Forte"/>
          <w:b w:val="0"/>
          <w:bCs w:val="0"/>
        </w:rPr>
        <w:t>Fonte: SHS, 2017.</w:t>
      </w:r>
    </w:p>
    <w:p w:rsidR="005A0D0E" w:rsidRDefault="005A0D0E" w:rsidP="005A0D0E">
      <w:pPr>
        <w:shd w:val="clear" w:color="auto" w:fill="FFFFFF"/>
        <w:ind w:firstLine="709"/>
        <w:rPr>
          <w:rFonts w:cs="Arial"/>
        </w:rPr>
      </w:pPr>
      <w:r w:rsidRPr="00DA6A87">
        <w:rPr>
          <w:rFonts w:cs="Arial"/>
          <w:szCs w:val="24"/>
        </w:rPr>
        <w:lastRenderedPageBreak/>
        <w:t xml:space="preserve">Os valores das vazões de infiltração para o cenário normativo variam se comparados com os valores do cenário previsível, pois dependem do número de habitantes que são atendidos pelo sistema de esgotamento sanitário. Assim, os valores obtidos das vazões de infiltração para o cenário normativo </w:t>
      </w:r>
      <w:r>
        <w:rPr>
          <w:rFonts w:cs="Arial"/>
        </w:rPr>
        <w:t xml:space="preserve">do município </w:t>
      </w:r>
      <w:r w:rsidRPr="00DA6A87">
        <w:rPr>
          <w:rFonts w:cs="Arial"/>
        </w:rPr>
        <w:t xml:space="preserve">encontram-se no </w:t>
      </w:r>
      <w:r w:rsidRPr="00DA6A87">
        <w:rPr>
          <w:rFonts w:cs="Arial"/>
        </w:rPr>
        <w:fldChar w:fldCharType="begin"/>
      </w:r>
      <w:r w:rsidRPr="00DA6A87">
        <w:rPr>
          <w:rFonts w:cs="Arial"/>
        </w:rPr>
        <w:instrText xml:space="preserve"> REF _Ref486407040 \h </w:instrText>
      </w:r>
      <w:r w:rsidRPr="00DA6A87">
        <w:rPr>
          <w:rFonts w:cs="Arial"/>
        </w:rPr>
      </w:r>
      <w:r w:rsidRPr="00DA6A87">
        <w:rPr>
          <w:rFonts w:cs="Arial"/>
        </w:rPr>
        <w:fldChar w:fldCharType="separate"/>
      </w:r>
      <w:r w:rsidR="004D1D76" w:rsidRPr="00DA6A87">
        <w:t xml:space="preserve">Quadro </w:t>
      </w:r>
      <w:r w:rsidR="004D1D76">
        <w:rPr>
          <w:noProof/>
        </w:rPr>
        <w:t>15</w:t>
      </w:r>
      <w:r w:rsidRPr="00DA6A87">
        <w:rPr>
          <w:rFonts w:cs="Arial"/>
        </w:rPr>
        <w:fldChar w:fldCharType="end"/>
      </w:r>
      <w:r w:rsidRPr="00DA6A87">
        <w:rPr>
          <w:rFonts w:cs="Arial"/>
        </w:rPr>
        <w:t>.</w:t>
      </w:r>
    </w:p>
    <w:p w:rsidR="005A0D0E" w:rsidRDefault="005A0D0E" w:rsidP="005A0D0E">
      <w:pPr>
        <w:pStyle w:val="Legenda"/>
        <w:rPr>
          <w:lang w:val="pt-BR"/>
        </w:rPr>
      </w:pPr>
      <w:bookmarkStart w:id="127" w:name="_Ref486407040"/>
      <w:bookmarkStart w:id="128" w:name="_Toc497469136"/>
      <w:r w:rsidRPr="00DA6A87">
        <w:t xml:space="preserve">Quadro </w:t>
      </w:r>
      <w:r w:rsidR="00D71C43">
        <w:fldChar w:fldCharType="begin"/>
      </w:r>
      <w:r w:rsidR="00D71C43">
        <w:instrText xml:space="preserve"> SEQ Quadro \* ARABIC </w:instrText>
      </w:r>
      <w:r w:rsidR="00D71C43">
        <w:fldChar w:fldCharType="separate"/>
      </w:r>
      <w:r w:rsidR="004D1D76">
        <w:rPr>
          <w:noProof/>
        </w:rPr>
        <w:t>15</w:t>
      </w:r>
      <w:r w:rsidR="00D71C43">
        <w:rPr>
          <w:noProof/>
        </w:rPr>
        <w:fldChar w:fldCharType="end"/>
      </w:r>
      <w:bookmarkEnd w:id="127"/>
      <w:r w:rsidRPr="00DA6A87">
        <w:rPr>
          <w:lang w:val="pt-BR"/>
        </w:rPr>
        <w:t xml:space="preserve"> - </w:t>
      </w:r>
      <w:r w:rsidRPr="00DA6A87">
        <w:t>Evolução da vazão de infiltração para o cenário normativo d</w:t>
      </w:r>
      <w:r w:rsidRPr="00DA6A87">
        <w:rPr>
          <w:lang w:val="pt-BR"/>
        </w:rPr>
        <w:t>o município de Córrego Novo</w:t>
      </w:r>
      <w:bookmarkEnd w:id="128"/>
    </w:p>
    <w:tbl>
      <w:tblPr>
        <w:tblW w:w="0" w:type="auto"/>
        <w:tblCellMar>
          <w:left w:w="70" w:type="dxa"/>
          <w:right w:w="70" w:type="dxa"/>
        </w:tblCellMar>
        <w:tblLook w:val="04A0" w:firstRow="1" w:lastRow="0" w:firstColumn="1" w:lastColumn="0" w:noHBand="0" w:noVBand="1"/>
      </w:tblPr>
      <w:tblGrid>
        <w:gridCol w:w="630"/>
        <w:gridCol w:w="3006"/>
        <w:gridCol w:w="1119"/>
        <w:gridCol w:w="997"/>
        <w:gridCol w:w="813"/>
        <w:gridCol w:w="1628"/>
        <w:gridCol w:w="1301"/>
      </w:tblGrid>
      <w:tr w:rsidR="00F13109" w:rsidRPr="00F13109" w:rsidTr="002828C8">
        <w:trPr>
          <w:trHeight w:val="34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b/>
                <w:bCs/>
                <w:color w:val="000000"/>
                <w:sz w:val="22"/>
                <w:lang w:eastAsia="pt-BR"/>
              </w:rPr>
            </w:pPr>
            <w:r w:rsidRPr="00F13109">
              <w:rPr>
                <w:rFonts w:eastAsia="Times New Roman" w:cs="Arial"/>
                <w:b/>
                <w:bCs/>
                <w:color w:val="000000"/>
                <w:sz w:val="22"/>
                <w:lang w:eastAsia="pt-BR"/>
              </w:rPr>
              <w:t>Ano</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b/>
                <w:bCs/>
                <w:color w:val="000000"/>
                <w:sz w:val="22"/>
                <w:lang w:eastAsia="pt-BR"/>
              </w:rPr>
            </w:pPr>
            <w:r w:rsidRPr="00F13109">
              <w:rPr>
                <w:rFonts w:eastAsia="Times New Roman" w:cs="Arial"/>
                <w:b/>
                <w:bCs/>
                <w:color w:val="000000"/>
                <w:sz w:val="22"/>
                <w:lang w:eastAsia="pt-BR"/>
              </w:rPr>
              <w:t>População urbana atendida (hab.)</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b/>
                <w:bCs/>
                <w:color w:val="000000"/>
                <w:sz w:val="22"/>
                <w:lang w:eastAsia="pt-BR"/>
              </w:rPr>
            </w:pPr>
            <w:r w:rsidRPr="00F13109">
              <w:rPr>
                <w:rFonts w:eastAsia="Times New Roman" w:cs="Arial"/>
                <w:b/>
                <w:bCs/>
                <w:color w:val="000000"/>
                <w:sz w:val="22"/>
                <w:lang w:eastAsia="pt-BR"/>
              </w:rPr>
              <w:t>Extensão (m)</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b/>
                <w:bCs/>
                <w:color w:val="000000"/>
                <w:sz w:val="22"/>
                <w:lang w:eastAsia="pt-BR"/>
              </w:rPr>
            </w:pPr>
            <w:r w:rsidRPr="00F13109">
              <w:rPr>
                <w:rFonts w:eastAsia="Times New Roman" w:cs="Arial"/>
                <w:b/>
                <w:bCs/>
                <w:color w:val="000000"/>
                <w:sz w:val="22"/>
                <w:lang w:eastAsia="pt-BR"/>
              </w:rPr>
              <w:t>Contribuição de infiltração</w:t>
            </w:r>
          </w:p>
        </w:tc>
      </w:tr>
      <w:tr w:rsidR="00F13109" w:rsidRPr="00F13109" w:rsidTr="002828C8">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rsidR="00F13109" w:rsidRPr="00F13109" w:rsidRDefault="00F13109" w:rsidP="00F13109">
            <w:pPr>
              <w:spacing w:line="240" w:lineRule="auto"/>
              <w:jc w:val="left"/>
              <w:rPr>
                <w:rFonts w:eastAsia="Times New Roman" w:cs="Arial"/>
                <w:b/>
                <w:bCs/>
                <w:color w:val="000000"/>
                <w:sz w:val="22"/>
                <w:lang w:eastAsia="pt-B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13109" w:rsidRPr="00F13109" w:rsidRDefault="00F13109" w:rsidP="00F13109">
            <w:pPr>
              <w:spacing w:line="240" w:lineRule="auto"/>
              <w:jc w:val="left"/>
              <w:rPr>
                <w:rFonts w:eastAsia="Times New Roman" w:cs="Arial"/>
                <w:b/>
                <w:bCs/>
                <w:color w:val="000000"/>
                <w:sz w:val="22"/>
                <w:lang w:eastAsia="pt-BR"/>
              </w:rPr>
            </w:pP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b/>
                <w:bCs/>
                <w:color w:val="000000"/>
                <w:sz w:val="22"/>
                <w:lang w:eastAsia="pt-BR"/>
              </w:rPr>
            </w:pPr>
            <w:r w:rsidRPr="00F13109">
              <w:rPr>
                <w:rFonts w:eastAsia="Times New Roman" w:cs="Arial"/>
                <w:b/>
                <w:bCs/>
                <w:color w:val="000000"/>
                <w:sz w:val="22"/>
                <w:lang w:eastAsia="pt-BR"/>
              </w:rPr>
              <w:t>Existente</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b/>
                <w:bCs/>
                <w:color w:val="000000"/>
                <w:sz w:val="22"/>
                <w:lang w:eastAsia="pt-BR"/>
              </w:rPr>
            </w:pPr>
            <w:r w:rsidRPr="00F13109">
              <w:rPr>
                <w:rFonts w:eastAsia="Times New Roman" w:cs="Arial"/>
                <w:b/>
                <w:bCs/>
                <w:color w:val="000000"/>
                <w:sz w:val="22"/>
                <w:lang w:eastAsia="pt-BR"/>
              </w:rPr>
              <w:t>Prevista</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b/>
                <w:bCs/>
                <w:color w:val="000000"/>
                <w:sz w:val="22"/>
                <w:lang w:eastAsia="pt-BR"/>
              </w:rPr>
            </w:pPr>
            <w:r w:rsidRPr="00F13109">
              <w:rPr>
                <w:rFonts w:eastAsia="Times New Roman" w:cs="Arial"/>
                <w:b/>
                <w:bCs/>
                <w:color w:val="000000"/>
                <w:sz w:val="22"/>
                <w:lang w:eastAsia="pt-BR"/>
              </w:rPr>
              <w:t>Total</w:t>
            </w:r>
          </w:p>
        </w:tc>
        <w:tc>
          <w:tcPr>
            <w:tcW w:w="0" w:type="auto"/>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b/>
                <w:bCs/>
                <w:color w:val="000000"/>
                <w:sz w:val="22"/>
                <w:lang w:eastAsia="pt-BR"/>
              </w:rPr>
            </w:pPr>
            <w:r w:rsidRPr="00F13109">
              <w:rPr>
                <w:rFonts w:eastAsia="Times New Roman" w:cs="Arial"/>
                <w:b/>
                <w:bCs/>
                <w:color w:val="000000"/>
                <w:sz w:val="22"/>
                <w:lang w:eastAsia="pt-BR"/>
              </w:rPr>
              <w:t>Taxa (L/s.Km)</w:t>
            </w:r>
          </w:p>
        </w:tc>
        <w:tc>
          <w:tcPr>
            <w:tcW w:w="0" w:type="auto"/>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b/>
                <w:bCs/>
                <w:color w:val="000000"/>
                <w:sz w:val="22"/>
                <w:lang w:eastAsia="pt-BR"/>
              </w:rPr>
            </w:pPr>
            <w:r w:rsidRPr="00F13109">
              <w:rPr>
                <w:rFonts w:eastAsia="Times New Roman" w:cs="Arial"/>
                <w:b/>
                <w:bCs/>
                <w:color w:val="000000"/>
                <w:sz w:val="22"/>
                <w:lang w:eastAsia="pt-BR"/>
              </w:rPr>
              <w:t>Vazão (L/s)</w:t>
            </w:r>
          </w:p>
        </w:tc>
      </w:tr>
      <w:tr w:rsidR="00F13109" w:rsidRPr="00F13109"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2017</w:t>
            </w:r>
          </w:p>
        </w:tc>
        <w:tc>
          <w:tcPr>
            <w:tcW w:w="0" w:type="auto"/>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1.487</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0,2</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3,40</w:t>
            </w:r>
          </w:p>
        </w:tc>
      </w:tr>
      <w:tr w:rsidR="00F13109" w:rsidRPr="00F13109"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2018</w:t>
            </w:r>
          </w:p>
        </w:tc>
        <w:tc>
          <w:tcPr>
            <w:tcW w:w="0" w:type="auto"/>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1.477</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0,2</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3,40</w:t>
            </w:r>
          </w:p>
        </w:tc>
      </w:tr>
      <w:tr w:rsidR="00F13109" w:rsidRPr="00F13109"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2019</w:t>
            </w:r>
          </w:p>
        </w:tc>
        <w:tc>
          <w:tcPr>
            <w:tcW w:w="0" w:type="auto"/>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1.633</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0,2</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3,40</w:t>
            </w:r>
          </w:p>
        </w:tc>
      </w:tr>
      <w:tr w:rsidR="00F13109" w:rsidRPr="00F13109"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2020</w:t>
            </w:r>
          </w:p>
        </w:tc>
        <w:tc>
          <w:tcPr>
            <w:tcW w:w="0" w:type="auto"/>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1.793</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0,2</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3,40</w:t>
            </w:r>
          </w:p>
        </w:tc>
      </w:tr>
      <w:tr w:rsidR="00F13109" w:rsidRPr="00F13109"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2021</w:t>
            </w:r>
          </w:p>
        </w:tc>
        <w:tc>
          <w:tcPr>
            <w:tcW w:w="0" w:type="auto"/>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1.942</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0,2</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3,40</w:t>
            </w:r>
          </w:p>
        </w:tc>
      </w:tr>
      <w:tr w:rsidR="00F13109" w:rsidRPr="00F13109"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2022</w:t>
            </w:r>
          </w:p>
        </w:tc>
        <w:tc>
          <w:tcPr>
            <w:tcW w:w="0" w:type="auto"/>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1.925</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0,2</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3,40</w:t>
            </w:r>
          </w:p>
        </w:tc>
      </w:tr>
      <w:tr w:rsidR="00F13109" w:rsidRPr="00F13109"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2023</w:t>
            </w:r>
          </w:p>
        </w:tc>
        <w:tc>
          <w:tcPr>
            <w:tcW w:w="0" w:type="auto"/>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1.910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0,2</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3,40</w:t>
            </w:r>
          </w:p>
        </w:tc>
      </w:tr>
      <w:tr w:rsidR="00F13109" w:rsidRPr="00F13109"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2024</w:t>
            </w:r>
          </w:p>
        </w:tc>
        <w:tc>
          <w:tcPr>
            <w:tcW w:w="0" w:type="auto"/>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1.906</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0,2</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3,40</w:t>
            </w:r>
          </w:p>
        </w:tc>
      </w:tr>
      <w:tr w:rsidR="00F13109" w:rsidRPr="00F13109"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2025</w:t>
            </w:r>
          </w:p>
        </w:tc>
        <w:tc>
          <w:tcPr>
            <w:tcW w:w="0" w:type="auto"/>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1.891</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0,2</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3,40</w:t>
            </w:r>
          </w:p>
        </w:tc>
      </w:tr>
      <w:tr w:rsidR="00F13109" w:rsidRPr="00F13109"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2026</w:t>
            </w:r>
          </w:p>
        </w:tc>
        <w:tc>
          <w:tcPr>
            <w:tcW w:w="0" w:type="auto"/>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1.881</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0,2</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3,40</w:t>
            </w:r>
          </w:p>
        </w:tc>
      </w:tr>
      <w:tr w:rsidR="00F13109" w:rsidRPr="00F13109"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2027</w:t>
            </w:r>
          </w:p>
        </w:tc>
        <w:tc>
          <w:tcPr>
            <w:tcW w:w="0" w:type="auto"/>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1.862</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0,2</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3,40</w:t>
            </w:r>
          </w:p>
        </w:tc>
      </w:tr>
      <w:tr w:rsidR="00F13109" w:rsidRPr="00F13109"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2028</w:t>
            </w:r>
          </w:p>
        </w:tc>
        <w:tc>
          <w:tcPr>
            <w:tcW w:w="0" w:type="auto"/>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1.851</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0,2</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3,40</w:t>
            </w:r>
          </w:p>
        </w:tc>
      </w:tr>
      <w:tr w:rsidR="00F13109" w:rsidRPr="00F13109"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2029</w:t>
            </w:r>
          </w:p>
        </w:tc>
        <w:tc>
          <w:tcPr>
            <w:tcW w:w="0" w:type="auto"/>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1.836</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0,2</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3,40</w:t>
            </w:r>
          </w:p>
        </w:tc>
      </w:tr>
      <w:tr w:rsidR="00F13109" w:rsidRPr="00F13109"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2030</w:t>
            </w:r>
          </w:p>
        </w:tc>
        <w:tc>
          <w:tcPr>
            <w:tcW w:w="0" w:type="auto"/>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1.813</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0,2</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3,40</w:t>
            </w:r>
          </w:p>
        </w:tc>
      </w:tr>
      <w:tr w:rsidR="00F13109" w:rsidRPr="00F13109"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2031</w:t>
            </w:r>
          </w:p>
        </w:tc>
        <w:tc>
          <w:tcPr>
            <w:tcW w:w="0" w:type="auto"/>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1.795</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0,2</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3,40</w:t>
            </w:r>
          </w:p>
        </w:tc>
      </w:tr>
      <w:tr w:rsidR="00F13109" w:rsidRPr="00F13109"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2032</w:t>
            </w:r>
          </w:p>
        </w:tc>
        <w:tc>
          <w:tcPr>
            <w:tcW w:w="0" w:type="auto"/>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1.779</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0,2</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3,40</w:t>
            </w:r>
          </w:p>
        </w:tc>
      </w:tr>
      <w:tr w:rsidR="00F13109" w:rsidRPr="00F13109"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2033</w:t>
            </w:r>
          </w:p>
        </w:tc>
        <w:tc>
          <w:tcPr>
            <w:tcW w:w="0" w:type="auto"/>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1.770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0,2</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3,40</w:t>
            </w:r>
          </w:p>
        </w:tc>
      </w:tr>
      <w:tr w:rsidR="00F13109" w:rsidRPr="00F13109"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2034</w:t>
            </w:r>
          </w:p>
        </w:tc>
        <w:tc>
          <w:tcPr>
            <w:tcW w:w="0" w:type="auto"/>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1.751</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0,2</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3,40</w:t>
            </w:r>
          </w:p>
        </w:tc>
      </w:tr>
      <w:tr w:rsidR="00F13109" w:rsidRPr="00F13109"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2035</w:t>
            </w:r>
          </w:p>
        </w:tc>
        <w:tc>
          <w:tcPr>
            <w:tcW w:w="0" w:type="auto"/>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1.730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0,2</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3,40</w:t>
            </w:r>
          </w:p>
        </w:tc>
      </w:tr>
      <w:tr w:rsidR="00F13109" w:rsidRPr="00F13109"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2036</w:t>
            </w:r>
          </w:p>
        </w:tc>
        <w:tc>
          <w:tcPr>
            <w:tcW w:w="0" w:type="auto"/>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1.711</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0,2</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3,40</w:t>
            </w:r>
          </w:p>
        </w:tc>
      </w:tr>
      <w:tr w:rsidR="00F13109" w:rsidRPr="00F13109"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2037</w:t>
            </w:r>
          </w:p>
        </w:tc>
        <w:tc>
          <w:tcPr>
            <w:tcW w:w="0" w:type="auto"/>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1.702</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0,2</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3,40</w:t>
            </w:r>
          </w:p>
        </w:tc>
      </w:tr>
      <w:tr w:rsidR="00F13109" w:rsidRPr="00F13109"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2038</w:t>
            </w:r>
          </w:p>
        </w:tc>
        <w:tc>
          <w:tcPr>
            <w:tcW w:w="0" w:type="auto"/>
            <w:tcBorders>
              <w:top w:val="nil"/>
              <w:left w:val="nil"/>
              <w:bottom w:val="single" w:sz="4" w:space="0" w:color="auto"/>
              <w:right w:val="single" w:sz="4" w:space="0" w:color="auto"/>
            </w:tcBorders>
            <w:shd w:val="clear" w:color="auto" w:fill="auto"/>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1.691</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17.000</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0,2</w:t>
            </w:r>
          </w:p>
        </w:tc>
        <w:tc>
          <w:tcPr>
            <w:tcW w:w="0" w:type="auto"/>
            <w:tcBorders>
              <w:top w:val="nil"/>
              <w:left w:val="nil"/>
              <w:bottom w:val="single" w:sz="4" w:space="0" w:color="auto"/>
              <w:right w:val="single" w:sz="4" w:space="0" w:color="auto"/>
            </w:tcBorders>
            <w:shd w:val="clear" w:color="auto" w:fill="auto"/>
            <w:noWrap/>
            <w:vAlign w:val="center"/>
            <w:hideMark/>
          </w:tcPr>
          <w:p w:rsidR="00F13109" w:rsidRPr="00F13109" w:rsidRDefault="00F13109" w:rsidP="00F13109">
            <w:pPr>
              <w:spacing w:line="240" w:lineRule="auto"/>
              <w:jc w:val="center"/>
              <w:rPr>
                <w:rFonts w:eastAsia="Times New Roman" w:cs="Arial"/>
                <w:color w:val="000000"/>
                <w:sz w:val="22"/>
                <w:lang w:eastAsia="pt-BR"/>
              </w:rPr>
            </w:pPr>
            <w:r w:rsidRPr="00F13109">
              <w:rPr>
                <w:rFonts w:eastAsia="Times New Roman" w:cs="Arial"/>
                <w:color w:val="000000"/>
                <w:sz w:val="22"/>
                <w:lang w:eastAsia="pt-BR"/>
              </w:rPr>
              <w:t>3,40</w:t>
            </w:r>
          </w:p>
        </w:tc>
      </w:tr>
    </w:tbl>
    <w:p w:rsidR="00984457" w:rsidRDefault="00984457" w:rsidP="00984457">
      <w:pPr>
        <w:pStyle w:val="Fonte"/>
        <w:rPr>
          <w:rFonts w:eastAsia="Calibri"/>
          <w:b/>
          <w:bCs/>
          <w:sz w:val="24"/>
          <w:lang w:eastAsia="en-US"/>
        </w:rPr>
      </w:pPr>
      <w:bookmarkStart w:id="129" w:name="_Ref485737085"/>
      <w:r w:rsidRPr="00E972F5">
        <w:rPr>
          <w:rStyle w:val="Forte"/>
          <w:b w:val="0"/>
          <w:bCs w:val="0"/>
        </w:rPr>
        <w:t>Fonte: SHS, 2017.</w:t>
      </w:r>
    </w:p>
    <w:p w:rsidR="005A0D0E" w:rsidRDefault="005A0D0E" w:rsidP="005A0D0E">
      <w:pPr>
        <w:pStyle w:val="Legenda"/>
        <w:spacing w:line="360" w:lineRule="auto"/>
        <w:ind w:firstLine="708"/>
        <w:jc w:val="both"/>
        <w:rPr>
          <w:rFonts w:eastAsia="Calibri"/>
          <w:b w:val="0"/>
          <w:bCs w:val="0"/>
          <w:sz w:val="24"/>
          <w:lang w:val="pt-BR" w:eastAsia="en-US"/>
        </w:rPr>
      </w:pPr>
      <w:r w:rsidRPr="00DA6A87">
        <w:rPr>
          <w:rFonts w:eastAsia="Calibri"/>
          <w:b w:val="0"/>
          <w:bCs w:val="0"/>
          <w:sz w:val="24"/>
          <w:lang w:val="pt-BR" w:eastAsia="en-US"/>
        </w:rPr>
        <w:lastRenderedPageBreak/>
        <w:t xml:space="preserve">Conhecendo-se a vazão de esgotos e de infiltração, foi determinada a vazão sanitária, que é a soma da vazão de esgotos doméstica com a vazão de infiltração. Os valores obtidos para o cenário normativo do município encontram-se no  </w:t>
      </w:r>
      <w:r w:rsidRPr="00DA6A87">
        <w:rPr>
          <w:rFonts w:eastAsia="Calibri"/>
          <w:b w:val="0"/>
          <w:bCs w:val="0"/>
          <w:sz w:val="24"/>
          <w:lang w:val="pt-BR" w:eastAsia="en-US"/>
        </w:rPr>
        <w:fldChar w:fldCharType="begin"/>
      </w:r>
      <w:r w:rsidRPr="00DA6A87">
        <w:rPr>
          <w:rFonts w:eastAsia="Calibri"/>
          <w:b w:val="0"/>
          <w:bCs w:val="0"/>
          <w:sz w:val="24"/>
          <w:lang w:val="pt-BR" w:eastAsia="en-US"/>
        </w:rPr>
        <w:instrText xml:space="preserve"> REF _Ref486407106 \h  \* MERGEFORMAT </w:instrText>
      </w:r>
      <w:r w:rsidRPr="00DA6A87">
        <w:rPr>
          <w:rFonts w:eastAsia="Calibri"/>
          <w:b w:val="0"/>
          <w:bCs w:val="0"/>
          <w:sz w:val="24"/>
          <w:lang w:val="pt-BR" w:eastAsia="en-US"/>
        </w:rPr>
      </w:r>
      <w:r w:rsidRPr="00DA6A87">
        <w:rPr>
          <w:rFonts w:eastAsia="Calibri"/>
          <w:b w:val="0"/>
          <w:bCs w:val="0"/>
          <w:sz w:val="24"/>
          <w:lang w:val="pt-BR" w:eastAsia="en-US"/>
        </w:rPr>
        <w:fldChar w:fldCharType="separate"/>
      </w:r>
      <w:r w:rsidR="004D1D76" w:rsidRPr="004D1D76">
        <w:rPr>
          <w:rFonts w:eastAsia="Calibri"/>
          <w:b w:val="0"/>
          <w:bCs w:val="0"/>
          <w:sz w:val="24"/>
          <w:lang w:val="pt-BR" w:eastAsia="en-US"/>
        </w:rPr>
        <w:t>Quadro 16</w:t>
      </w:r>
      <w:r w:rsidRPr="00DA6A87">
        <w:rPr>
          <w:rFonts w:eastAsia="Calibri"/>
          <w:b w:val="0"/>
          <w:bCs w:val="0"/>
          <w:sz w:val="24"/>
          <w:lang w:val="pt-BR" w:eastAsia="en-US"/>
        </w:rPr>
        <w:fldChar w:fldCharType="end"/>
      </w:r>
      <w:r w:rsidRPr="00DA6A87">
        <w:rPr>
          <w:rFonts w:eastAsia="Calibri"/>
          <w:b w:val="0"/>
          <w:bCs w:val="0"/>
          <w:sz w:val="24"/>
          <w:lang w:val="pt-BR" w:eastAsia="en-US"/>
        </w:rPr>
        <w:t xml:space="preserve">. </w:t>
      </w:r>
    </w:p>
    <w:p w:rsidR="005A0D0E" w:rsidRDefault="005A0D0E" w:rsidP="005A0D0E">
      <w:pPr>
        <w:pStyle w:val="Legenda"/>
        <w:rPr>
          <w:lang w:val="pt-BR"/>
        </w:rPr>
      </w:pPr>
      <w:bookmarkStart w:id="130" w:name="_Ref486407106"/>
      <w:bookmarkStart w:id="131" w:name="_Toc497469137"/>
      <w:r w:rsidRPr="00DA6A87">
        <w:t xml:space="preserve">Quadro </w:t>
      </w:r>
      <w:r w:rsidR="00D71C43">
        <w:fldChar w:fldCharType="begin"/>
      </w:r>
      <w:r w:rsidR="00D71C43">
        <w:instrText xml:space="preserve"> SEQ Quadro \* ARABIC </w:instrText>
      </w:r>
      <w:r w:rsidR="00D71C43">
        <w:fldChar w:fldCharType="separate"/>
      </w:r>
      <w:r w:rsidR="004D1D76">
        <w:rPr>
          <w:noProof/>
        </w:rPr>
        <w:t>16</w:t>
      </w:r>
      <w:r w:rsidR="00D71C43">
        <w:rPr>
          <w:noProof/>
        </w:rPr>
        <w:fldChar w:fldCharType="end"/>
      </w:r>
      <w:bookmarkEnd w:id="129"/>
      <w:bookmarkEnd w:id="130"/>
      <w:r w:rsidRPr="00DA6A87">
        <w:t xml:space="preserve"> - Evolução da vazão sanitária para o cenário normativo</w:t>
      </w:r>
      <w:r w:rsidRPr="00DA6A87">
        <w:rPr>
          <w:lang w:val="pt-BR"/>
        </w:rPr>
        <w:t xml:space="preserve"> do município</w:t>
      </w:r>
      <w:r w:rsidRPr="00DA6A87">
        <w:t xml:space="preserve"> de Córrego Novo</w:t>
      </w:r>
      <w:bookmarkEnd w:id="131"/>
    </w:p>
    <w:tbl>
      <w:tblPr>
        <w:tblW w:w="0" w:type="auto"/>
        <w:tblCellMar>
          <w:left w:w="70" w:type="dxa"/>
          <w:right w:w="70" w:type="dxa"/>
        </w:tblCellMar>
        <w:tblLook w:val="04A0" w:firstRow="1" w:lastRow="0" w:firstColumn="1" w:lastColumn="0" w:noHBand="0" w:noVBand="1"/>
      </w:tblPr>
      <w:tblGrid>
        <w:gridCol w:w="630"/>
        <w:gridCol w:w="3673"/>
        <w:gridCol w:w="898"/>
        <w:gridCol w:w="764"/>
        <w:gridCol w:w="1620"/>
        <w:gridCol w:w="1779"/>
      </w:tblGrid>
      <w:tr w:rsidR="005D4720" w:rsidRPr="005D4720" w:rsidTr="002828C8">
        <w:trPr>
          <w:trHeight w:val="34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D4720" w:rsidRPr="005D4720" w:rsidRDefault="005D4720" w:rsidP="005D4720">
            <w:pPr>
              <w:spacing w:line="240" w:lineRule="auto"/>
              <w:jc w:val="center"/>
              <w:rPr>
                <w:rFonts w:eastAsia="Times New Roman" w:cs="Arial"/>
                <w:b/>
                <w:bCs/>
                <w:color w:val="000000"/>
                <w:sz w:val="22"/>
                <w:lang w:eastAsia="pt-BR"/>
              </w:rPr>
            </w:pPr>
            <w:r w:rsidRPr="005D4720">
              <w:rPr>
                <w:rFonts w:eastAsia="Times New Roman" w:cs="Arial"/>
                <w:b/>
                <w:bCs/>
                <w:color w:val="000000"/>
                <w:sz w:val="22"/>
                <w:lang w:eastAsia="pt-BR"/>
              </w:rPr>
              <w:t>Ano</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b/>
                <w:bCs/>
                <w:color w:val="000000"/>
                <w:sz w:val="22"/>
                <w:lang w:eastAsia="pt-BR"/>
              </w:rPr>
            </w:pPr>
            <w:r w:rsidRPr="005D4720">
              <w:rPr>
                <w:rFonts w:eastAsia="Times New Roman" w:cs="Arial"/>
                <w:b/>
                <w:bCs/>
                <w:color w:val="000000"/>
                <w:sz w:val="22"/>
                <w:lang w:eastAsia="pt-BR"/>
              </w:rPr>
              <w:t>População urbana atendida (hab.)</w:t>
            </w:r>
          </w:p>
        </w:tc>
        <w:tc>
          <w:tcPr>
            <w:tcW w:w="0" w:type="auto"/>
            <w:gridSpan w:val="4"/>
            <w:tcBorders>
              <w:top w:val="single" w:sz="4" w:space="0" w:color="auto"/>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b/>
                <w:bCs/>
                <w:color w:val="000000"/>
                <w:sz w:val="22"/>
                <w:lang w:eastAsia="pt-BR"/>
              </w:rPr>
            </w:pPr>
            <w:r w:rsidRPr="005D4720">
              <w:rPr>
                <w:rFonts w:eastAsia="Times New Roman" w:cs="Arial"/>
                <w:b/>
                <w:bCs/>
                <w:color w:val="000000"/>
                <w:sz w:val="22"/>
                <w:lang w:eastAsia="pt-BR"/>
              </w:rPr>
              <w:t>Vazão sanitária (L/s)</w:t>
            </w:r>
          </w:p>
        </w:tc>
      </w:tr>
      <w:tr w:rsidR="005D4720" w:rsidRPr="005D4720" w:rsidTr="002828C8">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rsidR="005D4720" w:rsidRPr="005D4720" w:rsidRDefault="005D4720" w:rsidP="005D4720">
            <w:pPr>
              <w:spacing w:line="240" w:lineRule="auto"/>
              <w:jc w:val="left"/>
              <w:rPr>
                <w:rFonts w:eastAsia="Times New Roman" w:cs="Arial"/>
                <w:b/>
                <w:bCs/>
                <w:color w:val="000000"/>
                <w:sz w:val="22"/>
                <w:lang w:eastAsia="pt-B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D4720" w:rsidRPr="005D4720" w:rsidRDefault="005D4720" w:rsidP="005D4720">
            <w:pPr>
              <w:spacing w:line="240" w:lineRule="auto"/>
              <w:jc w:val="left"/>
              <w:rPr>
                <w:rFonts w:eastAsia="Times New Roman" w:cs="Arial"/>
                <w:b/>
                <w:bCs/>
                <w:color w:val="000000"/>
                <w:sz w:val="22"/>
                <w:lang w:eastAsia="pt-BR"/>
              </w:rPr>
            </w:pP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b/>
                <w:bCs/>
                <w:color w:val="000000"/>
                <w:sz w:val="22"/>
                <w:lang w:eastAsia="pt-BR"/>
              </w:rPr>
            </w:pPr>
            <w:r w:rsidRPr="005D4720">
              <w:rPr>
                <w:rFonts w:eastAsia="Times New Roman" w:cs="Arial"/>
                <w:b/>
                <w:bCs/>
                <w:color w:val="000000"/>
                <w:sz w:val="22"/>
                <w:lang w:eastAsia="pt-BR"/>
              </w:rPr>
              <w:t>Mínima</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b/>
                <w:bCs/>
                <w:color w:val="000000"/>
                <w:sz w:val="22"/>
                <w:lang w:eastAsia="pt-BR"/>
              </w:rPr>
            </w:pPr>
            <w:r w:rsidRPr="005D4720">
              <w:rPr>
                <w:rFonts w:eastAsia="Times New Roman" w:cs="Arial"/>
                <w:b/>
                <w:bCs/>
                <w:color w:val="000000"/>
                <w:sz w:val="22"/>
                <w:lang w:eastAsia="pt-BR"/>
              </w:rPr>
              <w:t>Média</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b/>
                <w:bCs/>
                <w:color w:val="000000"/>
                <w:sz w:val="22"/>
                <w:lang w:eastAsia="pt-BR"/>
              </w:rPr>
            </w:pPr>
            <w:r w:rsidRPr="005D4720">
              <w:rPr>
                <w:rFonts w:eastAsia="Times New Roman" w:cs="Arial"/>
                <w:b/>
                <w:bCs/>
                <w:color w:val="000000"/>
                <w:sz w:val="22"/>
                <w:lang w:eastAsia="pt-BR"/>
              </w:rPr>
              <w:t>Máxima Diária</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b/>
                <w:bCs/>
                <w:color w:val="000000"/>
                <w:sz w:val="22"/>
                <w:lang w:eastAsia="pt-BR"/>
              </w:rPr>
            </w:pPr>
            <w:r w:rsidRPr="005D4720">
              <w:rPr>
                <w:rFonts w:eastAsia="Times New Roman" w:cs="Arial"/>
                <w:b/>
                <w:bCs/>
                <w:color w:val="000000"/>
                <w:sz w:val="22"/>
                <w:lang w:eastAsia="pt-BR"/>
              </w:rPr>
              <w:t>Máxima Horária</w:t>
            </w:r>
          </w:p>
        </w:tc>
      </w:tr>
      <w:tr w:rsidR="005D4720" w:rsidRPr="005D4720"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2017</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1.487</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4,66</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5,92</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6,42</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7,93</w:t>
            </w:r>
          </w:p>
        </w:tc>
      </w:tr>
      <w:tr w:rsidR="005D4720" w:rsidRPr="005D4720"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2018</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1.477</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4,65</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5,90</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6,40</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7,90</w:t>
            </w:r>
          </w:p>
        </w:tc>
      </w:tr>
      <w:tr w:rsidR="005D4720" w:rsidRPr="005D4720"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2019</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1.633</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4,65</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5,90</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6,40</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7,89</w:t>
            </w:r>
          </w:p>
        </w:tc>
      </w:tr>
      <w:tr w:rsidR="005D4720" w:rsidRPr="005D4720"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2020</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1.793</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4,65</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5,90</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6,41</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7,91</w:t>
            </w:r>
          </w:p>
        </w:tc>
      </w:tr>
      <w:tr w:rsidR="005D4720" w:rsidRPr="005D4720"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2021</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1.942</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4,65</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5,90</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6,40</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7,90</w:t>
            </w:r>
          </w:p>
        </w:tc>
      </w:tr>
      <w:tr w:rsidR="005D4720" w:rsidRPr="005D4720"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2022</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1.925</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4,64</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5,89</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6,39</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7,88</w:t>
            </w:r>
          </w:p>
        </w:tc>
      </w:tr>
      <w:tr w:rsidR="005D4720" w:rsidRPr="005D4720"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2023</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1.910</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4,64</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5,88</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6,38</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7,86</w:t>
            </w:r>
          </w:p>
        </w:tc>
      </w:tr>
      <w:tr w:rsidR="005D4720" w:rsidRPr="005D4720"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2024</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1.906</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4,64</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5,89</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6,38</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7,88</w:t>
            </w:r>
          </w:p>
        </w:tc>
      </w:tr>
      <w:tr w:rsidR="005D4720" w:rsidRPr="005D4720"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2025</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1.891</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4,64</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5,88</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6,37</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7,86</w:t>
            </w:r>
          </w:p>
        </w:tc>
      </w:tr>
      <w:tr w:rsidR="005D4720" w:rsidRPr="005D4720"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2026</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1.881</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4,64</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5,88</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6,37</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7,86</w:t>
            </w:r>
          </w:p>
        </w:tc>
      </w:tr>
      <w:tr w:rsidR="005D4720" w:rsidRPr="005D4720"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2027</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1.862</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4,63</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5,86</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6,36</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7,83</w:t>
            </w:r>
          </w:p>
        </w:tc>
      </w:tr>
      <w:tr w:rsidR="005D4720" w:rsidRPr="005D4720"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2028</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1.851</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4,63</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5,86</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6,35</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7,83</w:t>
            </w:r>
          </w:p>
        </w:tc>
      </w:tr>
      <w:tr w:rsidR="005D4720" w:rsidRPr="005D4720"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2029</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1.836</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4,63</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5,85</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6,34</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7,81</w:t>
            </w:r>
          </w:p>
        </w:tc>
      </w:tr>
      <w:tr w:rsidR="005D4720" w:rsidRPr="005D4720"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2030</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1.813</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4,62</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5,83</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6,32</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7,78</w:t>
            </w:r>
          </w:p>
        </w:tc>
      </w:tr>
      <w:tr w:rsidR="005D4720" w:rsidRPr="005D4720"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2031</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1.795</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4,61</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5,82</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6,30</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7,75</w:t>
            </w:r>
          </w:p>
        </w:tc>
      </w:tr>
      <w:tr w:rsidR="005D4720" w:rsidRPr="005D4720"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2032</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1.779</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4,60</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5,81</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6,29</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7,73</w:t>
            </w:r>
          </w:p>
        </w:tc>
      </w:tr>
      <w:tr w:rsidR="005D4720" w:rsidRPr="005D4720"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2033</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1.770</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4,60</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5,81</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6,29</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7,73</w:t>
            </w:r>
          </w:p>
        </w:tc>
      </w:tr>
      <w:tr w:rsidR="005D4720" w:rsidRPr="005D4720"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2034</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1.751</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4,59</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5,79</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6,27</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7,70</w:t>
            </w:r>
          </w:p>
        </w:tc>
      </w:tr>
      <w:tr w:rsidR="005D4720" w:rsidRPr="005D4720"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2035</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1.730</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4,59</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5,77</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6,25</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7,67</w:t>
            </w:r>
          </w:p>
        </w:tc>
      </w:tr>
      <w:tr w:rsidR="005D4720" w:rsidRPr="005D4720"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2036</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1.711</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4,58</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5,76</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6,23</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7,64</w:t>
            </w:r>
          </w:p>
        </w:tc>
      </w:tr>
      <w:tr w:rsidR="005D4720" w:rsidRPr="005D4720"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2037</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1.702</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4,58</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5,75</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6,22</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7,64</w:t>
            </w:r>
          </w:p>
        </w:tc>
      </w:tr>
      <w:tr w:rsidR="005D4720" w:rsidRPr="005D4720"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2038</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1.691</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4,57</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5,75</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6,22</w:t>
            </w:r>
          </w:p>
        </w:tc>
        <w:tc>
          <w:tcPr>
            <w:tcW w:w="0" w:type="auto"/>
            <w:tcBorders>
              <w:top w:val="nil"/>
              <w:left w:val="nil"/>
              <w:bottom w:val="single" w:sz="4" w:space="0" w:color="auto"/>
              <w:right w:val="single" w:sz="4" w:space="0" w:color="auto"/>
            </w:tcBorders>
            <w:shd w:val="clear" w:color="auto" w:fill="auto"/>
            <w:vAlign w:val="center"/>
            <w:hideMark/>
          </w:tcPr>
          <w:p w:rsidR="005D4720" w:rsidRPr="005D4720" w:rsidRDefault="005D4720" w:rsidP="005D4720">
            <w:pPr>
              <w:spacing w:line="240" w:lineRule="auto"/>
              <w:jc w:val="center"/>
              <w:rPr>
                <w:rFonts w:eastAsia="Times New Roman" w:cs="Arial"/>
                <w:color w:val="000000"/>
                <w:sz w:val="22"/>
                <w:lang w:eastAsia="pt-BR"/>
              </w:rPr>
            </w:pPr>
            <w:r w:rsidRPr="005D4720">
              <w:rPr>
                <w:rFonts w:eastAsia="Times New Roman" w:cs="Arial"/>
                <w:color w:val="000000"/>
                <w:sz w:val="22"/>
                <w:lang w:eastAsia="pt-BR"/>
              </w:rPr>
              <w:t>7,63</w:t>
            </w:r>
          </w:p>
        </w:tc>
      </w:tr>
    </w:tbl>
    <w:p w:rsidR="005A0D0E" w:rsidRPr="00DA6A87" w:rsidRDefault="00984457" w:rsidP="00984457">
      <w:pPr>
        <w:pStyle w:val="Fonte"/>
        <w:rPr>
          <w:rStyle w:val="Forte"/>
        </w:rPr>
      </w:pPr>
      <w:r w:rsidRPr="00E972F5">
        <w:rPr>
          <w:rStyle w:val="Forte"/>
          <w:b w:val="0"/>
          <w:bCs w:val="0"/>
        </w:rPr>
        <w:t>Fonte: SHS, 2017.</w:t>
      </w:r>
    </w:p>
    <w:p w:rsidR="005A0D0E" w:rsidRPr="00DA6A87" w:rsidRDefault="005A0D0E" w:rsidP="005A0D0E">
      <w:pPr>
        <w:shd w:val="clear" w:color="auto" w:fill="FFFFFF"/>
        <w:ind w:firstLine="708"/>
        <w:rPr>
          <w:rFonts w:cs="Arial"/>
          <w:szCs w:val="24"/>
        </w:rPr>
      </w:pPr>
      <w:r w:rsidRPr="00DA6A87">
        <w:rPr>
          <w:rFonts w:cs="Arial"/>
          <w:szCs w:val="24"/>
        </w:rPr>
        <w:t xml:space="preserve">Com base na contribuição de carga orgânica </w:t>
      </w:r>
      <w:r w:rsidRPr="00DA6A87">
        <w:rPr>
          <w:rFonts w:cs="Arial"/>
          <w:i/>
          <w:szCs w:val="24"/>
        </w:rPr>
        <w:t>per capita</w:t>
      </w:r>
      <w:r w:rsidRPr="00DA6A87">
        <w:rPr>
          <w:rFonts w:cs="Arial"/>
          <w:szCs w:val="24"/>
        </w:rPr>
        <w:t xml:space="preserve"> de DBO (54 gDBO/hab.dia) e na estimativa populacional e de vazão para o período, é possível calcular a carga orgânica bruta (</w:t>
      </w:r>
      <w:r w:rsidRPr="00DA6A87">
        <w:rPr>
          <w:rFonts w:cs="Arial"/>
          <w:szCs w:val="24"/>
        </w:rPr>
        <w:fldChar w:fldCharType="begin"/>
      </w:r>
      <w:r w:rsidRPr="00DA6A87">
        <w:rPr>
          <w:rFonts w:cs="Arial"/>
          <w:szCs w:val="24"/>
        </w:rPr>
        <w:instrText xml:space="preserve"> REF _Ref433708938 \h  \* MERGEFORMAT </w:instrText>
      </w:r>
      <w:r w:rsidRPr="00DA6A87">
        <w:rPr>
          <w:rFonts w:cs="Arial"/>
          <w:szCs w:val="24"/>
        </w:rPr>
      </w:r>
      <w:r w:rsidRPr="00DA6A87">
        <w:rPr>
          <w:rFonts w:cs="Arial"/>
          <w:szCs w:val="24"/>
        </w:rPr>
        <w:fldChar w:fldCharType="separate"/>
      </w:r>
      <w:r w:rsidR="004D1D76" w:rsidRPr="00DA6A87">
        <w:t xml:space="preserve">Equação </w:t>
      </w:r>
      <w:r w:rsidR="004D1D76">
        <w:rPr>
          <w:noProof/>
        </w:rPr>
        <w:t>12</w:t>
      </w:r>
      <w:r w:rsidRPr="00DA6A87">
        <w:rPr>
          <w:rFonts w:cs="Arial"/>
          <w:szCs w:val="24"/>
        </w:rPr>
        <w:fldChar w:fldCharType="end"/>
      </w:r>
      <w:r w:rsidRPr="00DA6A87">
        <w:rPr>
          <w:rFonts w:cs="Arial"/>
          <w:szCs w:val="24"/>
        </w:rPr>
        <w:t>) e a concentração inicial de DBO (</w:t>
      </w:r>
      <w:r w:rsidRPr="00DA6A87">
        <w:rPr>
          <w:rFonts w:cs="Arial"/>
          <w:szCs w:val="24"/>
        </w:rPr>
        <w:fldChar w:fldCharType="begin"/>
      </w:r>
      <w:r w:rsidRPr="00DA6A87">
        <w:rPr>
          <w:rFonts w:cs="Arial"/>
          <w:szCs w:val="24"/>
        </w:rPr>
        <w:instrText xml:space="preserve"> REF _Ref433709229 \h </w:instrText>
      </w:r>
      <w:r w:rsidRPr="00DA6A87">
        <w:rPr>
          <w:rFonts w:cs="Arial"/>
          <w:szCs w:val="24"/>
        </w:rPr>
      </w:r>
      <w:r w:rsidRPr="00DA6A87">
        <w:rPr>
          <w:rFonts w:cs="Arial"/>
          <w:szCs w:val="24"/>
        </w:rPr>
        <w:fldChar w:fldCharType="separate"/>
      </w:r>
      <w:r w:rsidR="004D1D76" w:rsidRPr="00DA6A87">
        <w:t xml:space="preserve">Equação </w:t>
      </w:r>
      <w:r w:rsidR="004D1D76">
        <w:rPr>
          <w:noProof/>
        </w:rPr>
        <w:t>13</w:t>
      </w:r>
      <w:r w:rsidRPr="00DA6A87">
        <w:rPr>
          <w:rFonts w:cs="Arial"/>
          <w:szCs w:val="24"/>
        </w:rPr>
        <w:fldChar w:fldCharType="end"/>
      </w:r>
      <w:r w:rsidRPr="00DA6A87">
        <w:rPr>
          <w:rFonts w:cs="Arial"/>
          <w:szCs w:val="24"/>
        </w:rPr>
        <w:t xml:space="preserve">) para cada ano do cenário normativo. </w:t>
      </w:r>
    </w:p>
    <w:p w:rsidR="005A0D0E" w:rsidRDefault="005A0D0E" w:rsidP="005A0D0E">
      <w:pPr>
        <w:pStyle w:val="Legenda"/>
        <w:rPr>
          <w:lang w:val="pt-BR"/>
        </w:rPr>
      </w:pPr>
      <w:bookmarkStart w:id="132" w:name="_Ref485737329"/>
      <w:bookmarkStart w:id="133" w:name="_Toc497469138"/>
      <w:r w:rsidRPr="00DA6A87">
        <w:lastRenderedPageBreak/>
        <w:t xml:space="preserve">Quadro </w:t>
      </w:r>
      <w:r w:rsidR="00D71C43">
        <w:fldChar w:fldCharType="begin"/>
      </w:r>
      <w:r w:rsidR="00D71C43">
        <w:instrText xml:space="preserve"> SEQ Quadro \* ARABIC </w:instrText>
      </w:r>
      <w:r w:rsidR="00D71C43">
        <w:fldChar w:fldCharType="separate"/>
      </w:r>
      <w:r w:rsidR="004D1D76">
        <w:rPr>
          <w:noProof/>
        </w:rPr>
        <w:t>17</w:t>
      </w:r>
      <w:r w:rsidR="00D71C43">
        <w:rPr>
          <w:noProof/>
        </w:rPr>
        <w:fldChar w:fldCharType="end"/>
      </w:r>
      <w:bookmarkEnd w:id="132"/>
      <w:r w:rsidRPr="00DA6A87">
        <w:t xml:space="preserve"> - Evolução da carga orgânica bruta e concentração inicial de DBO</w:t>
      </w:r>
      <w:r w:rsidRPr="00DA6A87">
        <w:rPr>
          <w:lang w:val="pt-BR"/>
        </w:rPr>
        <w:t xml:space="preserve"> </w:t>
      </w:r>
      <w:r w:rsidRPr="00DA6A87">
        <w:t>para o cenário normativo d</w:t>
      </w:r>
      <w:r w:rsidRPr="00DA6A87">
        <w:rPr>
          <w:lang w:val="pt-BR"/>
        </w:rPr>
        <w:t>o</w:t>
      </w:r>
      <w:r w:rsidRPr="00DA6A87">
        <w:t xml:space="preserve"> </w:t>
      </w:r>
      <w:r w:rsidRPr="00DA6A87">
        <w:rPr>
          <w:lang w:val="pt-BR"/>
        </w:rPr>
        <w:t>município</w:t>
      </w:r>
      <w:r w:rsidRPr="00DA6A87">
        <w:t xml:space="preserve"> de Córrego Novo</w:t>
      </w:r>
      <w:bookmarkEnd w:id="133"/>
    </w:p>
    <w:tbl>
      <w:tblPr>
        <w:tblW w:w="0" w:type="auto"/>
        <w:tblCellMar>
          <w:left w:w="70" w:type="dxa"/>
          <w:right w:w="70" w:type="dxa"/>
        </w:tblCellMar>
        <w:tblLook w:val="04A0" w:firstRow="1" w:lastRow="0" w:firstColumn="1" w:lastColumn="0" w:noHBand="0" w:noVBand="1"/>
      </w:tblPr>
      <w:tblGrid>
        <w:gridCol w:w="631"/>
        <w:gridCol w:w="1486"/>
        <w:gridCol w:w="1230"/>
        <w:gridCol w:w="1244"/>
        <w:gridCol w:w="2068"/>
        <w:gridCol w:w="1073"/>
        <w:gridCol w:w="1762"/>
      </w:tblGrid>
      <w:tr w:rsidR="00A25B52" w:rsidRPr="00A25B52" w:rsidTr="002828C8">
        <w:trPr>
          <w:trHeight w:val="3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b/>
                <w:bCs/>
                <w:color w:val="000000"/>
                <w:sz w:val="22"/>
                <w:lang w:eastAsia="pt-BR"/>
              </w:rPr>
            </w:pPr>
            <w:r w:rsidRPr="00A25B52">
              <w:rPr>
                <w:rFonts w:eastAsia="Times New Roman" w:cs="Arial"/>
                <w:b/>
                <w:bCs/>
                <w:color w:val="000000"/>
                <w:sz w:val="22"/>
                <w:lang w:eastAsia="pt-BR"/>
              </w:rPr>
              <w:t>Ano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b/>
                <w:bCs/>
                <w:color w:val="000000"/>
                <w:sz w:val="22"/>
                <w:lang w:eastAsia="pt-BR"/>
              </w:rPr>
            </w:pPr>
            <w:r w:rsidRPr="00A25B52">
              <w:rPr>
                <w:rFonts w:eastAsia="Times New Roman" w:cs="Arial"/>
                <w:b/>
                <w:bCs/>
                <w:color w:val="000000"/>
                <w:sz w:val="22"/>
                <w:lang w:eastAsia="pt-BR"/>
              </w:rPr>
              <w:t>População urbana atendida (hab.)</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b/>
                <w:bCs/>
                <w:color w:val="000000"/>
                <w:sz w:val="22"/>
                <w:lang w:eastAsia="pt-BR"/>
              </w:rPr>
            </w:pPr>
            <w:r w:rsidRPr="00A25B52">
              <w:rPr>
                <w:rFonts w:eastAsia="Times New Roman" w:cs="Arial"/>
                <w:b/>
                <w:bCs/>
                <w:color w:val="000000"/>
                <w:sz w:val="22"/>
                <w:lang w:eastAsia="pt-BR"/>
              </w:rPr>
              <w:t>Vazão sanitária média (L/s)</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b/>
                <w:bCs/>
                <w:color w:val="000000"/>
                <w:sz w:val="22"/>
                <w:lang w:eastAsia="pt-BR"/>
              </w:rPr>
            </w:pPr>
            <w:r w:rsidRPr="00A25B52">
              <w:rPr>
                <w:rFonts w:eastAsia="Times New Roman" w:cs="Arial"/>
                <w:b/>
                <w:bCs/>
                <w:color w:val="000000"/>
                <w:sz w:val="22"/>
                <w:lang w:eastAsia="pt-BR"/>
              </w:rPr>
              <w:t>Vazão sanitária média (m³/d)</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b/>
                <w:bCs/>
                <w:color w:val="000000"/>
                <w:sz w:val="22"/>
                <w:lang w:eastAsia="pt-BR"/>
              </w:rPr>
            </w:pPr>
            <w:r w:rsidRPr="00A25B52">
              <w:rPr>
                <w:rFonts w:eastAsia="Times New Roman" w:cs="Arial"/>
                <w:b/>
                <w:bCs/>
                <w:color w:val="000000"/>
                <w:sz w:val="22"/>
                <w:lang w:eastAsia="pt-BR"/>
              </w:rPr>
              <w:t>Contribuição per capita de DBO (gDBO/hab.dia)</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b/>
                <w:bCs/>
                <w:color w:val="000000"/>
                <w:sz w:val="22"/>
                <w:lang w:eastAsia="pt-BR"/>
              </w:rPr>
            </w:pPr>
            <w:r w:rsidRPr="00A25B52">
              <w:rPr>
                <w:rFonts w:eastAsia="Times New Roman" w:cs="Arial"/>
                <w:b/>
                <w:bCs/>
                <w:color w:val="000000"/>
                <w:sz w:val="22"/>
                <w:lang w:eastAsia="pt-BR"/>
              </w:rPr>
              <w:t>Carga de DBO (kg/dia)</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b/>
                <w:bCs/>
                <w:color w:val="000000"/>
                <w:sz w:val="22"/>
                <w:lang w:eastAsia="pt-BR"/>
              </w:rPr>
            </w:pPr>
            <w:r w:rsidRPr="00A25B52">
              <w:rPr>
                <w:rFonts w:eastAsia="Times New Roman" w:cs="Arial"/>
                <w:b/>
                <w:bCs/>
                <w:color w:val="000000"/>
                <w:sz w:val="22"/>
                <w:lang w:eastAsia="pt-BR"/>
              </w:rPr>
              <w:t>Concentração de DBO (mg/L)</w:t>
            </w:r>
          </w:p>
        </w:tc>
      </w:tr>
      <w:tr w:rsidR="00A25B52" w:rsidRPr="00A25B52"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2017</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1.487</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5,92</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511,10</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54</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80,31</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157,14</w:t>
            </w:r>
          </w:p>
        </w:tc>
      </w:tr>
      <w:tr w:rsidR="00A25B52" w:rsidRPr="00A25B52"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2018</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1.477</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5,90</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509,56</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54</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79,74</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156,50</w:t>
            </w:r>
          </w:p>
        </w:tc>
      </w:tr>
      <w:tr w:rsidR="00A25B52" w:rsidRPr="00A25B52"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2019</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1.633</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5,90</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509,49</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54</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88,16</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173,03</w:t>
            </w:r>
          </w:p>
        </w:tc>
      </w:tr>
      <w:tr w:rsidR="00A25B52" w:rsidRPr="00A25B52"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2020</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1.793</w:t>
            </w:r>
          </w:p>
        </w:tc>
        <w:tc>
          <w:tcPr>
            <w:tcW w:w="0" w:type="auto"/>
            <w:tcBorders>
              <w:top w:val="nil"/>
              <w:left w:val="nil"/>
              <w:bottom w:val="single" w:sz="4" w:space="0" w:color="auto"/>
              <w:right w:val="single" w:sz="4" w:space="0" w:color="auto"/>
            </w:tcBorders>
            <w:shd w:val="clear" w:color="auto" w:fill="auto"/>
            <w:noWrap/>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5,90</w:t>
            </w:r>
          </w:p>
        </w:tc>
        <w:tc>
          <w:tcPr>
            <w:tcW w:w="0" w:type="auto"/>
            <w:tcBorders>
              <w:top w:val="nil"/>
              <w:left w:val="nil"/>
              <w:bottom w:val="single" w:sz="4" w:space="0" w:color="auto"/>
              <w:right w:val="single" w:sz="4" w:space="0" w:color="auto"/>
            </w:tcBorders>
            <w:shd w:val="clear" w:color="auto" w:fill="auto"/>
            <w:noWrap/>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510,17</w:t>
            </w:r>
          </w:p>
        </w:tc>
        <w:tc>
          <w:tcPr>
            <w:tcW w:w="0" w:type="auto"/>
            <w:tcBorders>
              <w:top w:val="nil"/>
              <w:left w:val="nil"/>
              <w:bottom w:val="single" w:sz="4" w:space="0" w:color="auto"/>
              <w:right w:val="single" w:sz="4" w:space="0" w:color="auto"/>
            </w:tcBorders>
            <w:shd w:val="clear" w:color="auto" w:fill="auto"/>
            <w:noWrap/>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54</w:t>
            </w:r>
          </w:p>
        </w:tc>
        <w:tc>
          <w:tcPr>
            <w:tcW w:w="0" w:type="auto"/>
            <w:tcBorders>
              <w:top w:val="nil"/>
              <w:left w:val="nil"/>
              <w:bottom w:val="single" w:sz="4" w:space="0" w:color="auto"/>
              <w:right w:val="single" w:sz="4" w:space="0" w:color="auto"/>
            </w:tcBorders>
            <w:shd w:val="clear" w:color="auto" w:fill="auto"/>
            <w:noWrap/>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96,82</w:t>
            </w:r>
          </w:p>
        </w:tc>
        <w:tc>
          <w:tcPr>
            <w:tcW w:w="0" w:type="auto"/>
            <w:tcBorders>
              <w:top w:val="nil"/>
              <w:left w:val="nil"/>
              <w:bottom w:val="single" w:sz="4" w:space="0" w:color="auto"/>
              <w:right w:val="single" w:sz="4" w:space="0" w:color="auto"/>
            </w:tcBorders>
            <w:shd w:val="clear" w:color="auto" w:fill="auto"/>
            <w:noWrap/>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189,78</w:t>
            </w:r>
          </w:p>
        </w:tc>
      </w:tr>
      <w:tr w:rsidR="00A25B52" w:rsidRPr="00A25B52"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2021</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1.942</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5,90</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509,63</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54</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104,87</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205,77</w:t>
            </w:r>
          </w:p>
        </w:tc>
      </w:tr>
      <w:tr w:rsidR="00A25B52" w:rsidRPr="00A25B52"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2022</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1.925</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5,89</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508,74</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54</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103,95</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204,33</w:t>
            </w:r>
          </w:p>
        </w:tc>
      </w:tr>
      <w:tr w:rsidR="00A25B52" w:rsidRPr="00A25B52"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2023</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1.910</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5,88</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508,06</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54</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103,14</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203,01</w:t>
            </w:r>
          </w:p>
        </w:tc>
      </w:tr>
      <w:tr w:rsidR="00A25B52" w:rsidRPr="00A25B52"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2024</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1.906</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5,89</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508,60</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54</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102,92</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202,37</w:t>
            </w:r>
          </w:p>
        </w:tc>
      </w:tr>
      <w:tr w:rsidR="00A25B52" w:rsidRPr="00A25B52"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2025</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1.891</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5,88</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507,90</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54</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102,11</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201,05</w:t>
            </w:r>
          </w:p>
        </w:tc>
      </w:tr>
      <w:tr w:rsidR="00A25B52" w:rsidRPr="00A25B52"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2026</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1.881</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5,88</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507,74</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54</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101,57</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200,05</w:t>
            </w:r>
          </w:p>
        </w:tc>
      </w:tr>
      <w:tr w:rsidR="00A25B52" w:rsidRPr="00A25B52"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2027</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1.862</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5,86</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506,55</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54</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100,55</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198,50</w:t>
            </w:r>
          </w:p>
        </w:tc>
      </w:tr>
      <w:tr w:rsidR="00A25B52" w:rsidRPr="00A25B52"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2028</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1.851</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5,86</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506,25</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54</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99,95</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197,44</w:t>
            </w:r>
          </w:p>
        </w:tc>
      </w:tr>
      <w:tr w:rsidR="00A25B52" w:rsidRPr="00A25B52"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2029</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1.836</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5,85</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505,49</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54</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99,14</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196,14</w:t>
            </w:r>
          </w:p>
        </w:tc>
      </w:tr>
      <w:tr w:rsidR="00A25B52" w:rsidRPr="00A25B52"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2030</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1.813</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5,83</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503,78</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54</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97,90</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194,34</w:t>
            </w:r>
          </w:p>
        </w:tc>
      </w:tr>
      <w:tr w:rsidR="00A25B52" w:rsidRPr="00A25B52"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2031</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1.795</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5,82</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502,63</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54</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96,93</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192,85</w:t>
            </w:r>
          </w:p>
        </w:tc>
      </w:tr>
      <w:tr w:rsidR="00A25B52" w:rsidRPr="00A25B52"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2032</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1.779</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5,81</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501,69</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54</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96,07</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191,48</w:t>
            </w:r>
          </w:p>
        </w:tc>
      </w:tr>
      <w:tr w:rsidR="00A25B52" w:rsidRPr="00A25B52"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2033</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1.770</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5,81</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501,56</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54</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95,58</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190,57</w:t>
            </w:r>
          </w:p>
        </w:tc>
      </w:tr>
      <w:tr w:rsidR="00A25B52" w:rsidRPr="00A25B52"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2034</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1.751</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5,79</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500,24</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54</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94,55</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189,02</w:t>
            </w:r>
          </w:p>
        </w:tc>
      </w:tr>
      <w:tr w:rsidR="00A25B52" w:rsidRPr="00A25B52"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2035</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1.730</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5,77</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498,66</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54</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93,42</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187,34</w:t>
            </w:r>
          </w:p>
        </w:tc>
      </w:tr>
      <w:tr w:rsidR="00A25B52" w:rsidRPr="00A25B52"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2036</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1.711</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5,76</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497,30</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54</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92,39</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185,79</w:t>
            </w:r>
          </w:p>
        </w:tc>
      </w:tr>
      <w:tr w:rsidR="00A25B52" w:rsidRPr="00A25B52"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2037</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1.702</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5,75</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497,11</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54</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91,91</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184,88</w:t>
            </w:r>
          </w:p>
        </w:tc>
      </w:tr>
      <w:tr w:rsidR="00A25B52" w:rsidRPr="00A25B52"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2038</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1.691</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5,75</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496,68</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54</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91,31</w:t>
            </w:r>
          </w:p>
        </w:tc>
        <w:tc>
          <w:tcPr>
            <w:tcW w:w="0" w:type="auto"/>
            <w:tcBorders>
              <w:top w:val="nil"/>
              <w:left w:val="nil"/>
              <w:bottom w:val="single" w:sz="4" w:space="0" w:color="auto"/>
              <w:right w:val="single" w:sz="4" w:space="0" w:color="auto"/>
            </w:tcBorders>
            <w:shd w:val="clear" w:color="auto" w:fill="auto"/>
            <w:vAlign w:val="center"/>
            <w:hideMark/>
          </w:tcPr>
          <w:p w:rsidR="00A25B52" w:rsidRPr="00A25B52" w:rsidRDefault="00A25B52" w:rsidP="00A25B52">
            <w:pPr>
              <w:spacing w:line="240" w:lineRule="auto"/>
              <w:jc w:val="center"/>
              <w:rPr>
                <w:rFonts w:eastAsia="Times New Roman" w:cs="Arial"/>
                <w:color w:val="000000"/>
                <w:sz w:val="22"/>
                <w:lang w:eastAsia="pt-BR"/>
              </w:rPr>
            </w:pPr>
            <w:r w:rsidRPr="00A25B52">
              <w:rPr>
                <w:rFonts w:eastAsia="Times New Roman" w:cs="Arial"/>
                <w:color w:val="000000"/>
                <w:sz w:val="22"/>
                <w:lang w:eastAsia="pt-BR"/>
              </w:rPr>
              <w:t>183,85</w:t>
            </w:r>
          </w:p>
        </w:tc>
      </w:tr>
    </w:tbl>
    <w:p w:rsidR="005A0D0E" w:rsidRPr="00FF544E" w:rsidRDefault="00984457" w:rsidP="00984457">
      <w:pPr>
        <w:pStyle w:val="Fonte"/>
        <w:rPr>
          <w:rStyle w:val="Forte"/>
          <w:b w:val="0"/>
          <w:bCs w:val="0"/>
        </w:rPr>
      </w:pPr>
      <w:r w:rsidRPr="00E972F5">
        <w:rPr>
          <w:rStyle w:val="Forte"/>
          <w:b w:val="0"/>
          <w:bCs w:val="0"/>
        </w:rPr>
        <w:t>Fonte</w:t>
      </w:r>
      <w:r w:rsidRPr="00FF544E">
        <w:rPr>
          <w:rStyle w:val="Forte"/>
          <w:b w:val="0"/>
          <w:bCs w:val="0"/>
        </w:rPr>
        <w:t>: SHS, 2017.</w:t>
      </w:r>
    </w:p>
    <w:p w:rsidR="009A2D17" w:rsidRDefault="009A2D17" w:rsidP="009A2D17">
      <w:pPr>
        <w:shd w:val="clear" w:color="auto" w:fill="FFFFFF"/>
        <w:ind w:firstLine="709"/>
        <w:rPr>
          <w:szCs w:val="24"/>
        </w:rPr>
      </w:pPr>
      <w:r w:rsidRPr="00FF544E">
        <w:rPr>
          <w:szCs w:val="24"/>
        </w:rPr>
        <w:t xml:space="preserve">O </w:t>
      </w:r>
      <w:r w:rsidRPr="00FF544E">
        <w:rPr>
          <w:szCs w:val="24"/>
        </w:rPr>
        <w:fldChar w:fldCharType="begin"/>
      </w:r>
      <w:r w:rsidRPr="00FF544E">
        <w:rPr>
          <w:szCs w:val="24"/>
        </w:rPr>
        <w:instrText xml:space="preserve"> REF _Ref493781150 \h </w:instrText>
      </w:r>
      <w:r w:rsidRPr="00FF544E">
        <w:rPr>
          <w:szCs w:val="24"/>
        </w:rPr>
      </w:r>
      <w:r w:rsidRPr="00FF544E">
        <w:rPr>
          <w:szCs w:val="24"/>
        </w:rPr>
        <w:fldChar w:fldCharType="separate"/>
      </w:r>
      <w:r w:rsidR="004D1D76" w:rsidRPr="00FF544E">
        <w:t xml:space="preserve">Quadro </w:t>
      </w:r>
      <w:r w:rsidR="004D1D76">
        <w:rPr>
          <w:noProof/>
        </w:rPr>
        <w:t>18</w:t>
      </w:r>
      <w:r w:rsidRPr="00FF544E">
        <w:rPr>
          <w:szCs w:val="24"/>
        </w:rPr>
        <w:fldChar w:fldCharType="end"/>
      </w:r>
      <w:r w:rsidRPr="00FF544E">
        <w:rPr>
          <w:szCs w:val="24"/>
        </w:rPr>
        <w:t xml:space="preserve"> apresenta a evolução da carga removida de DBO e </w:t>
      </w:r>
      <w:r w:rsidR="008911C5" w:rsidRPr="00FF544E">
        <w:rPr>
          <w:szCs w:val="24"/>
        </w:rPr>
        <w:t xml:space="preserve">a </w:t>
      </w:r>
      <w:r w:rsidRPr="00FF544E">
        <w:rPr>
          <w:szCs w:val="24"/>
        </w:rPr>
        <w:t>concentração removida de DBO para o cenário normativo, considerando 70% de eficiência de remoção.</w:t>
      </w:r>
    </w:p>
    <w:p w:rsidR="002828C8" w:rsidRDefault="002828C8" w:rsidP="009A2D17">
      <w:pPr>
        <w:shd w:val="clear" w:color="auto" w:fill="FFFFFF"/>
        <w:ind w:firstLine="709"/>
        <w:rPr>
          <w:szCs w:val="24"/>
        </w:rPr>
      </w:pPr>
    </w:p>
    <w:p w:rsidR="002828C8" w:rsidRDefault="002828C8" w:rsidP="009A2D17">
      <w:pPr>
        <w:shd w:val="clear" w:color="auto" w:fill="FFFFFF"/>
        <w:ind w:firstLine="709"/>
        <w:rPr>
          <w:szCs w:val="24"/>
        </w:rPr>
      </w:pPr>
    </w:p>
    <w:p w:rsidR="002828C8" w:rsidRPr="00FF544E" w:rsidRDefault="002828C8" w:rsidP="009A2D17">
      <w:pPr>
        <w:shd w:val="clear" w:color="auto" w:fill="FFFFFF"/>
        <w:ind w:firstLine="709"/>
        <w:rPr>
          <w:szCs w:val="24"/>
        </w:rPr>
      </w:pPr>
    </w:p>
    <w:p w:rsidR="009A2D17" w:rsidRPr="00FF544E" w:rsidRDefault="009A2D17" w:rsidP="009A2D17">
      <w:pPr>
        <w:pStyle w:val="Legenda"/>
        <w:rPr>
          <w:lang w:val="pt-BR"/>
        </w:rPr>
      </w:pPr>
      <w:bookmarkStart w:id="134" w:name="_Ref493781150"/>
      <w:bookmarkStart w:id="135" w:name="_Toc493781579"/>
      <w:bookmarkStart w:id="136" w:name="_Toc497469139"/>
      <w:r w:rsidRPr="00FF544E">
        <w:lastRenderedPageBreak/>
        <w:t xml:space="preserve">Quadro </w:t>
      </w:r>
      <w:r w:rsidR="00D71C43">
        <w:fldChar w:fldCharType="begin"/>
      </w:r>
      <w:r w:rsidR="00D71C43">
        <w:instrText xml:space="preserve"> SEQ Quadro \* ARABIC </w:instrText>
      </w:r>
      <w:r w:rsidR="00D71C43">
        <w:fldChar w:fldCharType="separate"/>
      </w:r>
      <w:r w:rsidR="004D1D76">
        <w:rPr>
          <w:noProof/>
        </w:rPr>
        <w:t>18</w:t>
      </w:r>
      <w:r w:rsidR="00D71C43">
        <w:rPr>
          <w:noProof/>
        </w:rPr>
        <w:fldChar w:fldCharType="end"/>
      </w:r>
      <w:bookmarkEnd w:id="134"/>
      <w:r w:rsidR="002828C8">
        <w:rPr>
          <w:lang w:val="pt-BR"/>
        </w:rPr>
        <w:t xml:space="preserve"> -</w:t>
      </w:r>
      <w:r w:rsidRPr="00FF544E">
        <w:rPr>
          <w:lang w:val="pt-BR"/>
        </w:rPr>
        <w:t xml:space="preserve"> </w:t>
      </w:r>
      <w:r w:rsidRPr="00FF544E">
        <w:t xml:space="preserve">Evolução da carga e concentração removida de </w:t>
      </w:r>
      <w:r w:rsidRPr="00FF544E">
        <w:rPr>
          <w:lang w:val="pt-BR"/>
        </w:rPr>
        <w:t xml:space="preserve">DBO </w:t>
      </w:r>
      <w:r w:rsidRPr="00FF544E">
        <w:t xml:space="preserve">para o cenário </w:t>
      </w:r>
      <w:r w:rsidRPr="00FF544E">
        <w:rPr>
          <w:lang w:val="pt-BR"/>
        </w:rPr>
        <w:t>normativo</w:t>
      </w:r>
      <w:r w:rsidRPr="00FF544E">
        <w:t xml:space="preserve"> do município de </w:t>
      </w:r>
      <w:r w:rsidRPr="00FF544E">
        <w:rPr>
          <w:lang w:val="pt-BR"/>
        </w:rPr>
        <w:t>Córrego Novo</w:t>
      </w:r>
      <w:bookmarkEnd w:id="136"/>
    </w:p>
    <w:tbl>
      <w:tblPr>
        <w:tblW w:w="0" w:type="auto"/>
        <w:tblCellMar>
          <w:left w:w="70" w:type="dxa"/>
          <w:right w:w="70" w:type="dxa"/>
        </w:tblCellMar>
        <w:tblLook w:val="04A0" w:firstRow="1" w:lastRow="0" w:firstColumn="1" w:lastColumn="0" w:noHBand="0" w:noVBand="1"/>
      </w:tblPr>
      <w:tblGrid>
        <w:gridCol w:w="631"/>
        <w:gridCol w:w="1668"/>
        <w:gridCol w:w="1374"/>
        <w:gridCol w:w="2837"/>
        <w:gridCol w:w="2984"/>
      </w:tblGrid>
      <w:tr w:rsidR="00FF544E" w:rsidRPr="00FF544E" w:rsidTr="002828C8">
        <w:trPr>
          <w:trHeight w:val="3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bookmarkEnd w:id="135"/>
          <w:p w:rsidR="00015860" w:rsidRPr="00FF544E" w:rsidRDefault="00015860" w:rsidP="00015860">
            <w:pPr>
              <w:spacing w:line="240" w:lineRule="auto"/>
              <w:jc w:val="center"/>
              <w:rPr>
                <w:rFonts w:eastAsia="Times New Roman" w:cs="Arial"/>
                <w:b/>
                <w:bCs/>
                <w:sz w:val="22"/>
                <w:lang w:eastAsia="pt-BR"/>
              </w:rPr>
            </w:pPr>
            <w:r w:rsidRPr="00FF544E">
              <w:rPr>
                <w:rFonts w:eastAsia="Times New Roman" w:cs="Arial"/>
                <w:b/>
                <w:bCs/>
                <w:sz w:val="22"/>
                <w:lang w:eastAsia="pt-BR"/>
              </w:rPr>
              <w:t>Ano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15860" w:rsidRPr="00FF544E" w:rsidRDefault="00015860" w:rsidP="00015860">
            <w:pPr>
              <w:spacing w:line="240" w:lineRule="auto"/>
              <w:jc w:val="center"/>
              <w:rPr>
                <w:rFonts w:eastAsia="Times New Roman" w:cs="Arial"/>
                <w:b/>
                <w:bCs/>
                <w:sz w:val="22"/>
                <w:lang w:eastAsia="pt-BR"/>
              </w:rPr>
            </w:pPr>
            <w:r w:rsidRPr="00FF544E">
              <w:rPr>
                <w:rFonts w:eastAsia="Times New Roman" w:cs="Arial"/>
                <w:b/>
                <w:bCs/>
                <w:sz w:val="22"/>
                <w:lang w:eastAsia="pt-BR"/>
              </w:rPr>
              <w:t>População urbana atendida (hab.)</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15860" w:rsidRPr="00FF544E" w:rsidRDefault="00015860" w:rsidP="00015860">
            <w:pPr>
              <w:spacing w:line="240" w:lineRule="auto"/>
              <w:jc w:val="center"/>
              <w:rPr>
                <w:rFonts w:eastAsia="Times New Roman" w:cs="Arial"/>
                <w:b/>
                <w:bCs/>
                <w:sz w:val="22"/>
                <w:lang w:eastAsia="pt-BR"/>
              </w:rPr>
            </w:pPr>
            <w:r w:rsidRPr="00FF544E">
              <w:rPr>
                <w:rFonts w:eastAsia="Times New Roman" w:cs="Arial"/>
                <w:b/>
                <w:bCs/>
                <w:sz w:val="22"/>
                <w:lang w:eastAsia="pt-BR"/>
              </w:rPr>
              <w:t>Vazão sanitária média (L/s)</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15860" w:rsidRPr="00FF544E" w:rsidRDefault="00015860" w:rsidP="00015860">
            <w:pPr>
              <w:spacing w:line="240" w:lineRule="auto"/>
              <w:jc w:val="center"/>
              <w:rPr>
                <w:rFonts w:eastAsia="Times New Roman" w:cs="Arial"/>
                <w:b/>
                <w:bCs/>
                <w:sz w:val="22"/>
                <w:lang w:eastAsia="pt-BR"/>
              </w:rPr>
            </w:pPr>
            <w:r w:rsidRPr="00FF544E">
              <w:rPr>
                <w:rFonts w:eastAsia="Times New Roman" w:cs="Arial"/>
                <w:b/>
                <w:bCs/>
                <w:sz w:val="22"/>
                <w:lang w:eastAsia="pt-BR"/>
              </w:rPr>
              <w:t>Carga removida de DBO (kg/dia), considerando eficiência típica de remoção de 70%</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15860" w:rsidRPr="00FF544E" w:rsidRDefault="00015860" w:rsidP="00015860">
            <w:pPr>
              <w:spacing w:line="240" w:lineRule="auto"/>
              <w:jc w:val="center"/>
              <w:rPr>
                <w:rFonts w:eastAsia="Times New Roman" w:cs="Arial"/>
                <w:b/>
                <w:bCs/>
                <w:sz w:val="22"/>
                <w:lang w:eastAsia="pt-BR"/>
              </w:rPr>
            </w:pPr>
            <w:r w:rsidRPr="00FF544E">
              <w:rPr>
                <w:rFonts w:eastAsia="Times New Roman" w:cs="Arial"/>
                <w:b/>
                <w:bCs/>
                <w:sz w:val="22"/>
                <w:lang w:eastAsia="pt-BR"/>
              </w:rPr>
              <w:t>Concentração removida de DBO (mg/L), considerando eficiência típica de remoção de 70%</w:t>
            </w:r>
          </w:p>
        </w:tc>
      </w:tr>
      <w:tr w:rsidR="00015860" w:rsidRPr="00015860"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2017</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1.487</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5,92</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56,22</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109,99</w:t>
            </w:r>
          </w:p>
        </w:tc>
      </w:tr>
      <w:tr w:rsidR="00015860" w:rsidRPr="00015860"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2018</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1.477</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5,90</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55,82</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109,55</w:t>
            </w:r>
          </w:p>
        </w:tc>
      </w:tr>
      <w:tr w:rsidR="00015860" w:rsidRPr="00015860"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2019</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1.633</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5,90</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61,71</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121,12</w:t>
            </w:r>
          </w:p>
        </w:tc>
      </w:tr>
      <w:tr w:rsidR="00015860" w:rsidRPr="00015860"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2020</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1.793</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5,90</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67,78</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132,85</w:t>
            </w:r>
          </w:p>
        </w:tc>
      </w:tr>
      <w:tr w:rsidR="00015860" w:rsidRPr="00015860"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2021</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1.942</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5,90</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73,41</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144,04</w:t>
            </w:r>
          </w:p>
        </w:tc>
      </w:tr>
      <w:tr w:rsidR="00015860" w:rsidRPr="00015860"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2022</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1.925</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5,89</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72,77</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143,03</w:t>
            </w:r>
          </w:p>
        </w:tc>
      </w:tr>
      <w:tr w:rsidR="00015860" w:rsidRPr="00015860"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2023</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1.910</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5,88</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72,20</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142,10</w:t>
            </w:r>
          </w:p>
        </w:tc>
      </w:tr>
      <w:tr w:rsidR="00015860" w:rsidRPr="00015860"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2024</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1.906</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5,89</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72,05</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141,66</w:t>
            </w:r>
          </w:p>
        </w:tc>
      </w:tr>
      <w:tr w:rsidR="00015860" w:rsidRPr="00015860"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2025</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1.891</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5,88</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71,48</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140,74</w:t>
            </w:r>
          </w:p>
        </w:tc>
      </w:tr>
      <w:tr w:rsidR="00015860" w:rsidRPr="00015860"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2026</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1.881</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5,88</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71,10</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140,04</w:t>
            </w:r>
          </w:p>
        </w:tc>
      </w:tr>
      <w:tr w:rsidR="00015860" w:rsidRPr="00015860"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2027</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1.862</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5,86</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70,38</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138,95</w:t>
            </w:r>
          </w:p>
        </w:tc>
      </w:tr>
      <w:tr w:rsidR="00015860" w:rsidRPr="00015860"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2028</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1.851</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5,86</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69,97</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138,21</w:t>
            </w:r>
          </w:p>
        </w:tc>
      </w:tr>
      <w:tr w:rsidR="00015860" w:rsidRPr="00015860"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2029</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1.836</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5,85</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69,40</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137,29</w:t>
            </w:r>
          </w:p>
        </w:tc>
      </w:tr>
      <w:tr w:rsidR="00015860" w:rsidRPr="00015860"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2030</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1.813</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5,83</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68,53</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136,03</w:t>
            </w:r>
          </w:p>
        </w:tc>
      </w:tr>
      <w:tr w:rsidR="00015860" w:rsidRPr="00015860"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2031</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1.795</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5,82</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67,85</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134,99</w:t>
            </w:r>
          </w:p>
        </w:tc>
      </w:tr>
      <w:tr w:rsidR="00015860" w:rsidRPr="00015860"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2032</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1.779</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5,81</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67,25</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134,04</w:t>
            </w:r>
          </w:p>
        </w:tc>
      </w:tr>
      <w:tr w:rsidR="00015860" w:rsidRPr="00015860"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2033</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1.770</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5,81</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66,91</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133,40</w:t>
            </w:r>
          </w:p>
        </w:tc>
      </w:tr>
      <w:tr w:rsidR="00015860" w:rsidRPr="00015860"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2034</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1.751</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5,79</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66,19</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132,31</w:t>
            </w:r>
          </w:p>
        </w:tc>
      </w:tr>
      <w:tr w:rsidR="00015860" w:rsidRPr="00015860"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2035</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1.730</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5,77</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65,39</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131,14</w:t>
            </w:r>
          </w:p>
        </w:tc>
      </w:tr>
      <w:tr w:rsidR="00015860" w:rsidRPr="00015860"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2036</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1.711</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5,76</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64,68</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130,05</w:t>
            </w:r>
          </w:p>
        </w:tc>
      </w:tr>
      <w:tr w:rsidR="00015860" w:rsidRPr="00015860"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2037</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1.702</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5,75</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64,34</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129,42</w:t>
            </w:r>
          </w:p>
        </w:tc>
      </w:tr>
      <w:tr w:rsidR="00015860" w:rsidRPr="00015860"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2038</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1.691</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5,75</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63,92</w:t>
            </w:r>
          </w:p>
        </w:tc>
        <w:tc>
          <w:tcPr>
            <w:tcW w:w="0" w:type="auto"/>
            <w:tcBorders>
              <w:top w:val="nil"/>
              <w:left w:val="nil"/>
              <w:bottom w:val="single" w:sz="4" w:space="0" w:color="auto"/>
              <w:right w:val="single" w:sz="4" w:space="0" w:color="auto"/>
            </w:tcBorders>
            <w:shd w:val="clear" w:color="auto" w:fill="auto"/>
            <w:vAlign w:val="center"/>
            <w:hideMark/>
          </w:tcPr>
          <w:p w:rsidR="00015860" w:rsidRPr="00015860" w:rsidRDefault="00015860" w:rsidP="00015860">
            <w:pPr>
              <w:spacing w:line="240" w:lineRule="auto"/>
              <w:jc w:val="center"/>
              <w:rPr>
                <w:rFonts w:eastAsia="Times New Roman" w:cs="Arial"/>
                <w:color w:val="000000"/>
                <w:sz w:val="22"/>
                <w:lang w:eastAsia="pt-BR"/>
              </w:rPr>
            </w:pPr>
            <w:r w:rsidRPr="00015860">
              <w:rPr>
                <w:rFonts w:eastAsia="Times New Roman" w:cs="Arial"/>
                <w:color w:val="000000"/>
                <w:sz w:val="22"/>
                <w:lang w:eastAsia="pt-BR"/>
              </w:rPr>
              <w:t>128,69</w:t>
            </w:r>
          </w:p>
        </w:tc>
      </w:tr>
    </w:tbl>
    <w:p w:rsidR="008911C5" w:rsidRDefault="008911C5" w:rsidP="008911C5">
      <w:pPr>
        <w:pStyle w:val="Fonte"/>
        <w:rPr>
          <w:rStyle w:val="Forte"/>
          <w:b w:val="0"/>
          <w:bCs w:val="0"/>
        </w:rPr>
      </w:pPr>
      <w:r w:rsidRPr="00E972F5">
        <w:rPr>
          <w:rStyle w:val="Forte"/>
          <w:b w:val="0"/>
          <w:bCs w:val="0"/>
        </w:rPr>
        <w:t>Fonte: SHS, 2017.</w:t>
      </w:r>
    </w:p>
    <w:p w:rsidR="005A0D0E" w:rsidRDefault="005A0D0E" w:rsidP="005A0D0E">
      <w:pPr>
        <w:shd w:val="clear" w:color="auto" w:fill="FFFFFF"/>
        <w:ind w:firstLine="709"/>
        <w:rPr>
          <w:lang w:eastAsia="pt-BR"/>
        </w:rPr>
      </w:pPr>
      <w:r w:rsidRPr="00DA6A87">
        <w:rPr>
          <w:szCs w:val="24"/>
        </w:rPr>
        <w:t>Com base n</w:t>
      </w:r>
      <w:r w:rsidRPr="00DA6A87">
        <w:t xml:space="preserve">a contribuição </w:t>
      </w:r>
      <w:r w:rsidRPr="00DA6A87">
        <w:rPr>
          <w:i/>
        </w:rPr>
        <w:t>per capita</w:t>
      </w:r>
      <w:r w:rsidRPr="00DA6A87">
        <w:t xml:space="preserve"> de coliformes fecais termotolerantes</w:t>
      </w:r>
      <w:r w:rsidRPr="00DA6A87">
        <w:rPr>
          <w:szCs w:val="24"/>
        </w:rPr>
        <w:t xml:space="preserve"> (</w:t>
      </w:r>
      <w:r w:rsidRPr="00DA6A87">
        <w:t>10</w:t>
      </w:r>
      <w:r w:rsidRPr="00DA6A87">
        <w:rPr>
          <w:vertAlign w:val="superscript"/>
        </w:rPr>
        <w:t>11</w:t>
      </w:r>
      <w:r w:rsidRPr="00DA6A87">
        <w:t> org/hab.dia</w:t>
      </w:r>
      <w:r w:rsidRPr="00DA6A87">
        <w:rPr>
          <w:szCs w:val="24"/>
        </w:rPr>
        <w:t>) e na estimativa populacional e de vazão para o período, é possível calcular a carga orgânica bruta de coliformes fecais termotolerantes (CFT)</w:t>
      </w:r>
      <w:r w:rsidRPr="00DA6A87">
        <w:rPr>
          <w:rFonts w:cs="Arial"/>
          <w:szCs w:val="24"/>
        </w:rPr>
        <w:t xml:space="preserve"> para cada ano do cenário normativo. </w:t>
      </w:r>
      <w:r w:rsidRPr="00DA6A87">
        <w:rPr>
          <w:lang w:eastAsia="pt-BR"/>
        </w:rPr>
        <w:t xml:space="preserve">Os resultados obtidos, a partir desses cálculos, para o cenário normativo da sede do município em questão estão apresentados no </w:t>
      </w:r>
      <w:r w:rsidRPr="00DA6A87">
        <w:rPr>
          <w:lang w:eastAsia="pt-BR"/>
        </w:rPr>
        <w:fldChar w:fldCharType="begin"/>
      </w:r>
      <w:r w:rsidRPr="00DA6A87">
        <w:rPr>
          <w:lang w:eastAsia="pt-BR"/>
        </w:rPr>
        <w:instrText xml:space="preserve"> REF _Ref485737547 \h </w:instrText>
      </w:r>
      <w:r w:rsidRPr="00DA6A87">
        <w:rPr>
          <w:lang w:eastAsia="pt-BR"/>
        </w:rPr>
      </w:r>
      <w:r w:rsidRPr="00DA6A87">
        <w:rPr>
          <w:lang w:eastAsia="pt-BR"/>
        </w:rPr>
        <w:fldChar w:fldCharType="separate"/>
      </w:r>
      <w:r w:rsidR="004D1D76" w:rsidRPr="00DA6A87">
        <w:t xml:space="preserve">Quadro </w:t>
      </w:r>
      <w:r w:rsidR="004D1D76">
        <w:rPr>
          <w:noProof/>
        </w:rPr>
        <w:t>19</w:t>
      </w:r>
      <w:r w:rsidRPr="00DA6A87">
        <w:rPr>
          <w:lang w:eastAsia="pt-BR"/>
        </w:rPr>
        <w:fldChar w:fldCharType="end"/>
      </w:r>
      <w:r w:rsidRPr="00DA6A87">
        <w:rPr>
          <w:lang w:eastAsia="pt-BR"/>
        </w:rPr>
        <w:t>.</w:t>
      </w:r>
    </w:p>
    <w:p w:rsidR="002828C8" w:rsidRPr="00DA6A87" w:rsidRDefault="002828C8" w:rsidP="005A0D0E">
      <w:pPr>
        <w:shd w:val="clear" w:color="auto" w:fill="FFFFFF"/>
        <w:ind w:firstLine="709"/>
        <w:rPr>
          <w:rFonts w:cs="Arial"/>
          <w:szCs w:val="24"/>
        </w:rPr>
      </w:pPr>
    </w:p>
    <w:p w:rsidR="005A0D0E" w:rsidRDefault="005A0D0E" w:rsidP="005A0D0E">
      <w:pPr>
        <w:pStyle w:val="Legenda"/>
        <w:rPr>
          <w:lang w:val="pt-BR"/>
        </w:rPr>
      </w:pPr>
      <w:bookmarkStart w:id="137" w:name="_Ref485737547"/>
      <w:bookmarkStart w:id="138" w:name="_Toc497469140"/>
      <w:r w:rsidRPr="00DA6A87">
        <w:lastRenderedPageBreak/>
        <w:t xml:space="preserve">Quadro </w:t>
      </w:r>
      <w:r w:rsidR="00D71C43">
        <w:fldChar w:fldCharType="begin"/>
      </w:r>
      <w:r w:rsidR="00D71C43">
        <w:instrText xml:space="preserve"> SEQ Quadro \* ARABIC </w:instrText>
      </w:r>
      <w:r w:rsidR="00D71C43">
        <w:fldChar w:fldCharType="separate"/>
      </w:r>
      <w:r w:rsidR="004D1D76">
        <w:rPr>
          <w:noProof/>
        </w:rPr>
        <w:t>19</w:t>
      </w:r>
      <w:r w:rsidR="00D71C43">
        <w:rPr>
          <w:noProof/>
        </w:rPr>
        <w:fldChar w:fldCharType="end"/>
      </w:r>
      <w:bookmarkEnd w:id="137"/>
      <w:r w:rsidRPr="00DA6A87">
        <w:t xml:space="preserve"> - Evolução da carga e concentração de coliformes fecais termotolerantes para o cenário normativo</w:t>
      </w:r>
      <w:r w:rsidRPr="00DA6A87">
        <w:rPr>
          <w:lang w:val="pt-BR"/>
        </w:rPr>
        <w:t xml:space="preserve"> do município</w:t>
      </w:r>
      <w:r w:rsidRPr="00DA6A87">
        <w:t xml:space="preserve"> de Córrego Novo</w:t>
      </w:r>
      <w:bookmarkEnd w:id="138"/>
    </w:p>
    <w:tbl>
      <w:tblPr>
        <w:tblW w:w="0" w:type="auto"/>
        <w:tblCellMar>
          <w:left w:w="70" w:type="dxa"/>
          <w:right w:w="70" w:type="dxa"/>
        </w:tblCellMar>
        <w:tblLook w:val="04A0" w:firstRow="1" w:lastRow="0" w:firstColumn="1" w:lastColumn="0" w:noHBand="0" w:noVBand="1"/>
      </w:tblPr>
      <w:tblGrid>
        <w:gridCol w:w="630"/>
        <w:gridCol w:w="1390"/>
        <w:gridCol w:w="1154"/>
        <w:gridCol w:w="1162"/>
        <w:gridCol w:w="2109"/>
        <w:gridCol w:w="1363"/>
        <w:gridCol w:w="1686"/>
      </w:tblGrid>
      <w:tr w:rsidR="009304B3" w:rsidRPr="009304B3" w:rsidTr="002828C8">
        <w:trPr>
          <w:trHeight w:val="3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304B3" w:rsidRPr="009304B3" w:rsidRDefault="009304B3" w:rsidP="009304B3">
            <w:pPr>
              <w:spacing w:line="240" w:lineRule="auto"/>
              <w:jc w:val="center"/>
              <w:rPr>
                <w:rFonts w:eastAsia="Times New Roman" w:cs="Arial"/>
                <w:b/>
                <w:bCs/>
                <w:color w:val="000000"/>
                <w:sz w:val="22"/>
                <w:lang w:eastAsia="pt-BR"/>
              </w:rPr>
            </w:pPr>
            <w:r w:rsidRPr="009304B3">
              <w:rPr>
                <w:rFonts w:eastAsia="Times New Roman" w:cs="Arial"/>
                <w:b/>
                <w:bCs/>
                <w:color w:val="000000"/>
                <w:sz w:val="22"/>
                <w:lang w:eastAsia="pt-BR"/>
              </w:rPr>
              <w:t>Ano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9304B3" w:rsidRPr="009304B3" w:rsidRDefault="009304B3" w:rsidP="009304B3">
            <w:pPr>
              <w:spacing w:line="240" w:lineRule="auto"/>
              <w:jc w:val="center"/>
              <w:rPr>
                <w:rFonts w:eastAsia="Times New Roman" w:cs="Arial"/>
                <w:b/>
                <w:bCs/>
                <w:color w:val="000000"/>
                <w:sz w:val="22"/>
                <w:lang w:eastAsia="pt-BR"/>
              </w:rPr>
            </w:pPr>
            <w:r w:rsidRPr="009304B3">
              <w:rPr>
                <w:rFonts w:eastAsia="Times New Roman" w:cs="Arial"/>
                <w:b/>
                <w:bCs/>
                <w:color w:val="000000"/>
                <w:sz w:val="22"/>
                <w:lang w:eastAsia="pt-BR"/>
              </w:rPr>
              <w:t>População urbana atendida (hab.)</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9304B3" w:rsidRPr="009304B3" w:rsidRDefault="009304B3" w:rsidP="009304B3">
            <w:pPr>
              <w:spacing w:line="240" w:lineRule="auto"/>
              <w:jc w:val="center"/>
              <w:rPr>
                <w:rFonts w:eastAsia="Times New Roman" w:cs="Arial"/>
                <w:b/>
                <w:bCs/>
                <w:color w:val="000000"/>
                <w:sz w:val="22"/>
                <w:lang w:eastAsia="pt-BR"/>
              </w:rPr>
            </w:pPr>
            <w:r w:rsidRPr="009304B3">
              <w:rPr>
                <w:rFonts w:eastAsia="Times New Roman" w:cs="Arial"/>
                <w:b/>
                <w:bCs/>
                <w:color w:val="000000"/>
                <w:sz w:val="22"/>
                <w:lang w:eastAsia="pt-BR"/>
              </w:rPr>
              <w:t>Vazão sanitária média (L/s)</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9304B3" w:rsidRPr="009304B3" w:rsidRDefault="009304B3" w:rsidP="009304B3">
            <w:pPr>
              <w:spacing w:line="240" w:lineRule="auto"/>
              <w:jc w:val="center"/>
              <w:rPr>
                <w:rFonts w:eastAsia="Times New Roman" w:cs="Arial"/>
                <w:b/>
                <w:bCs/>
                <w:color w:val="000000"/>
                <w:sz w:val="22"/>
                <w:lang w:eastAsia="pt-BR"/>
              </w:rPr>
            </w:pPr>
            <w:r w:rsidRPr="009304B3">
              <w:rPr>
                <w:rFonts w:eastAsia="Times New Roman" w:cs="Arial"/>
                <w:b/>
                <w:bCs/>
                <w:color w:val="000000"/>
                <w:sz w:val="22"/>
                <w:lang w:eastAsia="pt-BR"/>
              </w:rPr>
              <w:t>Vazão sanitária média (m³/d)</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9304B3" w:rsidRPr="009304B3" w:rsidRDefault="009304B3" w:rsidP="009304B3">
            <w:pPr>
              <w:spacing w:line="240" w:lineRule="auto"/>
              <w:jc w:val="center"/>
              <w:rPr>
                <w:rFonts w:eastAsia="Times New Roman" w:cs="Arial"/>
                <w:b/>
                <w:bCs/>
                <w:color w:val="000000"/>
                <w:sz w:val="22"/>
                <w:lang w:eastAsia="pt-BR"/>
              </w:rPr>
            </w:pPr>
            <w:r w:rsidRPr="009304B3">
              <w:rPr>
                <w:rFonts w:eastAsia="Times New Roman" w:cs="Arial"/>
                <w:b/>
                <w:bCs/>
                <w:color w:val="000000"/>
                <w:sz w:val="22"/>
                <w:lang w:eastAsia="pt-BR"/>
              </w:rPr>
              <w:t>Contribuição per capita de coliformes termotolerantes (org/hab.dia)</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9304B3" w:rsidRPr="009304B3" w:rsidRDefault="009304B3" w:rsidP="009304B3">
            <w:pPr>
              <w:spacing w:line="240" w:lineRule="auto"/>
              <w:jc w:val="center"/>
              <w:rPr>
                <w:rFonts w:eastAsia="Times New Roman" w:cs="Arial"/>
                <w:b/>
                <w:bCs/>
                <w:color w:val="000000"/>
                <w:sz w:val="22"/>
                <w:lang w:eastAsia="pt-BR"/>
              </w:rPr>
            </w:pPr>
            <w:r w:rsidRPr="009304B3">
              <w:rPr>
                <w:rFonts w:eastAsia="Times New Roman" w:cs="Arial"/>
                <w:b/>
                <w:bCs/>
                <w:color w:val="000000"/>
                <w:sz w:val="22"/>
                <w:lang w:eastAsia="pt-BR"/>
              </w:rPr>
              <w:t>Carga de coliformes (org/dia)</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9304B3" w:rsidRPr="009304B3" w:rsidRDefault="009304B3" w:rsidP="009304B3">
            <w:pPr>
              <w:spacing w:line="240" w:lineRule="auto"/>
              <w:jc w:val="center"/>
              <w:rPr>
                <w:rFonts w:eastAsia="Times New Roman" w:cs="Arial"/>
                <w:b/>
                <w:bCs/>
                <w:sz w:val="22"/>
                <w:lang w:eastAsia="pt-BR"/>
              </w:rPr>
            </w:pPr>
            <w:r w:rsidRPr="009304B3">
              <w:rPr>
                <w:rFonts w:eastAsia="Times New Roman" w:cs="Arial"/>
                <w:b/>
                <w:bCs/>
                <w:sz w:val="22"/>
                <w:lang w:eastAsia="pt-BR"/>
              </w:rPr>
              <w:t>Concentração (org/100 mL)</w:t>
            </w:r>
          </w:p>
        </w:tc>
      </w:tr>
      <w:tr w:rsidR="009304B3" w:rsidRPr="009304B3"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2017</w:t>
            </w:r>
          </w:p>
        </w:tc>
        <w:tc>
          <w:tcPr>
            <w:tcW w:w="0" w:type="auto"/>
            <w:tcBorders>
              <w:top w:val="nil"/>
              <w:left w:val="nil"/>
              <w:bottom w:val="single" w:sz="4" w:space="0" w:color="auto"/>
              <w:right w:val="single" w:sz="4" w:space="0" w:color="auto"/>
            </w:tcBorders>
            <w:shd w:val="clear" w:color="auto" w:fill="auto"/>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1.487</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5,92</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511,10</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1,00E+11</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1,49E+14</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2,91E+07</w:t>
            </w:r>
          </w:p>
        </w:tc>
      </w:tr>
      <w:tr w:rsidR="009304B3" w:rsidRPr="009304B3"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2018</w:t>
            </w:r>
          </w:p>
        </w:tc>
        <w:tc>
          <w:tcPr>
            <w:tcW w:w="0" w:type="auto"/>
            <w:tcBorders>
              <w:top w:val="nil"/>
              <w:left w:val="nil"/>
              <w:bottom w:val="single" w:sz="4" w:space="0" w:color="auto"/>
              <w:right w:val="single" w:sz="4" w:space="0" w:color="auto"/>
            </w:tcBorders>
            <w:shd w:val="clear" w:color="auto" w:fill="auto"/>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1.477</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5,90</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509,56</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1,00E+11</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1,48E+14</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2,90E+07</w:t>
            </w:r>
          </w:p>
        </w:tc>
      </w:tr>
      <w:tr w:rsidR="009304B3" w:rsidRPr="009304B3"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2019</w:t>
            </w:r>
          </w:p>
        </w:tc>
        <w:tc>
          <w:tcPr>
            <w:tcW w:w="0" w:type="auto"/>
            <w:tcBorders>
              <w:top w:val="nil"/>
              <w:left w:val="nil"/>
              <w:bottom w:val="single" w:sz="4" w:space="0" w:color="auto"/>
              <w:right w:val="single" w:sz="4" w:space="0" w:color="auto"/>
            </w:tcBorders>
            <w:shd w:val="clear" w:color="auto" w:fill="auto"/>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1.633</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5,90</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509,49</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1,00E+11</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1,63E+14</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3,20E+07</w:t>
            </w:r>
          </w:p>
        </w:tc>
      </w:tr>
      <w:tr w:rsidR="009304B3" w:rsidRPr="009304B3"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2020</w:t>
            </w:r>
          </w:p>
        </w:tc>
        <w:tc>
          <w:tcPr>
            <w:tcW w:w="0" w:type="auto"/>
            <w:tcBorders>
              <w:top w:val="nil"/>
              <w:left w:val="nil"/>
              <w:bottom w:val="single" w:sz="4" w:space="0" w:color="auto"/>
              <w:right w:val="single" w:sz="4" w:space="0" w:color="auto"/>
            </w:tcBorders>
            <w:shd w:val="clear" w:color="auto" w:fill="auto"/>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1.793</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5,90</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510,17</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1,00E+11</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1,79E+14</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3,51E+07</w:t>
            </w:r>
          </w:p>
        </w:tc>
      </w:tr>
      <w:tr w:rsidR="009304B3" w:rsidRPr="009304B3"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2021</w:t>
            </w:r>
          </w:p>
        </w:tc>
        <w:tc>
          <w:tcPr>
            <w:tcW w:w="0" w:type="auto"/>
            <w:tcBorders>
              <w:top w:val="nil"/>
              <w:left w:val="nil"/>
              <w:bottom w:val="single" w:sz="4" w:space="0" w:color="auto"/>
              <w:right w:val="single" w:sz="4" w:space="0" w:color="auto"/>
            </w:tcBorders>
            <w:shd w:val="clear" w:color="auto" w:fill="auto"/>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1.942</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5,90</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509,63</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1,00E+11</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1,94E+14</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3,81E+07</w:t>
            </w:r>
          </w:p>
        </w:tc>
      </w:tr>
      <w:tr w:rsidR="009304B3" w:rsidRPr="009304B3"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2022</w:t>
            </w:r>
          </w:p>
        </w:tc>
        <w:tc>
          <w:tcPr>
            <w:tcW w:w="0" w:type="auto"/>
            <w:tcBorders>
              <w:top w:val="nil"/>
              <w:left w:val="nil"/>
              <w:bottom w:val="single" w:sz="4" w:space="0" w:color="auto"/>
              <w:right w:val="single" w:sz="4" w:space="0" w:color="auto"/>
            </w:tcBorders>
            <w:shd w:val="clear" w:color="auto" w:fill="auto"/>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1.925</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5,89</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508,74</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1,00E+11</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1,93E+14</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3,78E+07</w:t>
            </w:r>
          </w:p>
        </w:tc>
      </w:tr>
      <w:tr w:rsidR="009304B3" w:rsidRPr="009304B3"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2023</w:t>
            </w:r>
          </w:p>
        </w:tc>
        <w:tc>
          <w:tcPr>
            <w:tcW w:w="0" w:type="auto"/>
            <w:tcBorders>
              <w:top w:val="nil"/>
              <w:left w:val="nil"/>
              <w:bottom w:val="single" w:sz="4" w:space="0" w:color="auto"/>
              <w:right w:val="single" w:sz="4" w:space="0" w:color="auto"/>
            </w:tcBorders>
            <w:shd w:val="clear" w:color="auto" w:fill="auto"/>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1.910</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5,88</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508,06</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1,00E+11</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1,91E+14</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3,76E+07</w:t>
            </w:r>
          </w:p>
        </w:tc>
      </w:tr>
      <w:tr w:rsidR="009304B3" w:rsidRPr="009304B3"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2024</w:t>
            </w:r>
          </w:p>
        </w:tc>
        <w:tc>
          <w:tcPr>
            <w:tcW w:w="0" w:type="auto"/>
            <w:tcBorders>
              <w:top w:val="nil"/>
              <w:left w:val="nil"/>
              <w:bottom w:val="single" w:sz="4" w:space="0" w:color="auto"/>
              <w:right w:val="single" w:sz="4" w:space="0" w:color="auto"/>
            </w:tcBorders>
            <w:shd w:val="clear" w:color="auto" w:fill="auto"/>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1.906</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5,89</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508,60</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1,00E+11</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1,91E+14</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3,75E+07</w:t>
            </w:r>
          </w:p>
        </w:tc>
      </w:tr>
      <w:tr w:rsidR="009304B3" w:rsidRPr="009304B3"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2025</w:t>
            </w:r>
          </w:p>
        </w:tc>
        <w:tc>
          <w:tcPr>
            <w:tcW w:w="0" w:type="auto"/>
            <w:tcBorders>
              <w:top w:val="nil"/>
              <w:left w:val="nil"/>
              <w:bottom w:val="single" w:sz="4" w:space="0" w:color="auto"/>
              <w:right w:val="single" w:sz="4" w:space="0" w:color="auto"/>
            </w:tcBorders>
            <w:shd w:val="clear" w:color="auto" w:fill="auto"/>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1.891</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5,88</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507,90</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1,00E+11</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1,89E+14</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3,72E+07</w:t>
            </w:r>
          </w:p>
        </w:tc>
      </w:tr>
      <w:tr w:rsidR="009304B3" w:rsidRPr="009304B3"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2026</w:t>
            </w:r>
          </w:p>
        </w:tc>
        <w:tc>
          <w:tcPr>
            <w:tcW w:w="0" w:type="auto"/>
            <w:tcBorders>
              <w:top w:val="nil"/>
              <w:left w:val="nil"/>
              <w:bottom w:val="single" w:sz="4" w:space="0" w:color="auto"/>
              <w:right w:val="single" w:sz="4" w:space="0" w:color="auto"/>
            </w:tcBorders>
            <w:shd w:val="clear" w:color="auto" w:fill="auto"/>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1.881</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5,88</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507,74</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1,00E+11</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1,88E+14</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3,70E+07</w:t>
            </w:r>
          </w:p>
        </w:tc>
      </w:tr>
      <w:tr w:rsidR="009304B3" w:rsidRPr="009304B3"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2027</w:t>
            </w:r>
          </w:p>
        </w:tc>
        <w:tc>
          <w:tcPr>
            <w:tcW w:w="0" w:type="auto"/>
            <w:tcBorders>
              <w:top w:val="nil"/>
              <w:left w:val="nil"/>
              <w:bottom w:val="single" w:sz="4" w:space="0" w:color="auto"/>
              <w:right w:val="single" w:sz="4" w:space="0" w:color="auto"/>
            </w:tcBorders>
            <w:shd w:val="clear" w:color="auto" w:fill="auto"/>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1.862</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5,86</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506,55</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1,00E+11</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1,86E+14</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3,68E+07</w:t>
            </w:r>
          </w:p>
        </w:tc>
      </w:tr>
      <w:tr w:rsidR="009304B3" w:rsidRPr="009304B3"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2028</w:t>
            </w:r>
          </w:p>
        </w:tc>
        <w:tc>
          <w:tcPr>
            <w:tcW w:w="0" w:type="auto"/>
            <w:tcBorders>
              <w:top w:val="nil"/>
              <w:left w:val="nil"/>
              <w:bottom w:val="single" w:sz="4" w:space="0" w:color="auto"/>
              <w:right w:val="single" w:sz="4" w:space="0" w:color="auto"/>
            </w:tcBorders>
            <w:shd w:val="clear" w:color="auto" w:fill="auto"/>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1.851</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5,86</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506,25</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1,00E+11</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1,85E+14</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3,66E+07</w:t>
            </w:r>
          </w:p>
        </w:tc>
      </w:tr>
      <w:tr w:rsidR="009304B3" w:rsidRPr="009304B3"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2029</w:t>
            </w:r>
          </w:p>
        </w:tc>
        <w:tc>
          <w:tcPr>
            <w:tcW w:w="0" w:type="auto"/>
            <w:tcBorders>
              <w:top w:val="nil"/>
              <w:left w:val="nil"/>
              <w:bottom w:val="single" w:sz="4" w:space="0" w:color="auto"/>
              <w:right w:val="single" w:sz="4" w:space="0" w:color="auto"/>
            </w:tcBorders>
            <w:shd w:val="clear" w:color="auto" w:fill="auto"/>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1.836</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5,85</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505,49</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1,00E+11</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1,84E+14</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3,63E+07</w:t>
            </w:r>
          </w:p>
        </w:tc>
      </w:tr>
      <w:tr w:rsidR="009304B3" w:rsidRPr="009304B3"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2030</w:t>
            </w:r>
          </w:p>
        </w:tc>
        <w:tc>
          <w:tcPr>
            <w:tcW w:w="0" w:type="auto"/>
            <w:tcBorders>
              <w:top w:val="nil"/>
              <w:left w:val="nil"/>
              <w:bottom w:val="single" w:sz="4" w:space="0" w:color="auto"/>
              <w:right w:val="single" w:sz="4" w:space="0" w:color="auto"/>
            </w:tcBorders>
            <w:shd w:val="clear" w:color="auto" w:fill="auto"/>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1.813</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5,83</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503,78</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1,00E+11</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1,81E+14</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3,60E+07</w:t>
            </w:r>
          </w:p>
        </w:tc>
      </w:tr>
      <w:tr w:rsidR="009304B3" w:rsidRPr="009304B3"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2031</w:t>
            </w:r>
          </w:p>
        </w:tc>
        <w:tc>
          <w:tcPr>
            <w:tcW w:w="0" w:type="auto"/>
            <w:tcBorders>
              <w:top w:val="nil"/>
              <w:left w:val="nil"/>
              <w:bottom w:val="single" w:sz="4" w:space="0" w:color="auto"/>
              <w:right w:val="single" w:sz="4" w:space="0" w:color="auto"/>
            </w:tcBorders>
            <w:shd w:val="clear" w:color="auto" w:fill="auto"/>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1.795</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5,82</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502,63</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1,00E+11</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1,80E+14</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3,57E+07</w:t>
            </w:r>
          </w:p>
        </w:tc>
      </w:tr>
      <w:tr w:rsidR="009304B3" w:rsidRPr="009304B3"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2032</w:t>
            </w:r>
          </w:p>
        </w:tc>
        <w:tc>
          <w:tcPr>
            <w:tcW w:w="0" w:type="auto"/>
            <w:tcBorders>
              <w:top w:val="nil"/>
              <w:left w:val="nil"/>
              <w:bottom w:val="single" w:sz="4" w:space="0" w:color="auto"/>
              <w:right w:val="single" w:sz="4" w:space="0" w:color="auto"/>
            </w:tcBorders>
            <w:shd w:val="clear" w:color="auto" w:fill="auto"/>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1.779</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5,81</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501,69</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1,00E+11</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1,78E+14</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3,55E+07</w:t>
            </w:r>
          </w:p>
        </w:tc>
      </w:tr>
      <w:tr w:rsidR="009304B3" w:rsidRPr="009304B3"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2033</w:t>
            </w:r>
          </w:p>
        </w:tc>
        <w:tc>
          <w:tcPr>
            <w:tcW w:w="0" w:type="auto"/>
            <w:tcBorders>
              <w:top w:val="nil"/>
              <w:left w:val="nil"/>
              <w:bottom w:val="single" w:sz="4" w:space="0" w:color="auto"/>
              <w:right w:val="single" w:sz="4" w:space="0" w:color="auto"/>
            </w:tcBorders>
            <w:shd w:val="clear" w:color="auto" w:fill="auto"/>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1.770</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5,81</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501,56</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1,00E+11</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1,77E+14</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3,53E+07</w:t>
            </w:r>
          </w:p>
        </w:tc>
      </w:tr>
      <w:tr w:rsidR="009304B3" w:rsidRPr="009304B3"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2034</w:t>
            </w:r>
          </w:p>
        </w:tc>
        <w:tc>
          <w:tcPr>
            <w:tcW w:w="0" w:type="auto"/>
            <w:tcBorders>
              <w:top w:val="nil"/>
              <w:left w:val="nil"/>
              <w:bottom w:val="single" w:sz="4" w:space="0" w:color="auto"/>
              <w:right w:val="single" w:sz="4" w:space="0" w:color="auto"/>
            </w:tcBorders>
            <w:shd w:val="clear" w:color="auto" w:fill="auto"/>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1.751</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5,79</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500,24</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1,00E+11</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1,75E+14</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3,50E+07</w:t>
            </w:r>
          </w:p>
        </w:tc>
      </w:tr>
      <w:tr w:rsidR="009304B3" w:rsidRPr="009304B3"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2035</w:t>
            </w:r>
          </w:p>
        </w:tc>
        <w:tc>
          <w:tcPr>
            <w:tcW w:w="0" w:type="auto"/>
            <w:tcBorders>
              <w:top w:val="nil"/>
              <w:left w:val="nil"/>
              <w:bottom w:val="single" w:sz="4" w:space="0" w:color="auto"/>
              <w:right w:val="single" w:sz="4" w:space="0" w:color="auto"/>
            </w:tcBorders>
            <w:shd w:val="clear" w:color="auto" w:fill="auto"/>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1.730</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5,77</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498,66</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1,00E+11</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1,73E+14</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3,47E+07</w:t>
            </w:r>
          </w:p>
        </w:tc>
      </w:tr>
      <w:tr w:rsidR="009304B3" w:rsidRPr="009304B3"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2036</w:t>
            </w:r>
          </w:p>
        </w:tc>
        <w:tc>
          <w:tcPr>
            <w:tcW w:w="0" w:type="auto"/>
            <w:tcBorders>
              <w:top w:val="nil"/>
              <w:left w:val="nil"/>
              <w:bottom w:val="single" w:sz="4" w:space="0" w:color="auto"/>
              <w:right w:val="single" w:sz="4" w:space="0" w:color="auto"/>
            </w:tcBorders>
            <w:shd w:val="clear" w:color="auto" w:fill="auto"/>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1.711</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5,76</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497,30</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1,00E+11</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1,71E+14</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3,44E+07</w:t>
            </w:r>
          </w:p>
        </w:tc>
      </w:tr>
      <w:tr w:rsidR="009304B3" w:rsidRPr="009304B3"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2037</w:t>
            </w:r>
          </w:p>
        </w:tc>
        <w:tc>
          <w:tcPr>
            <w:tcW w:w="0" w:type="auto"/>
            <w:tcBorders>
              <w:top w:val="nil"/>
              <w:left w:val="nil"/>
              <w:bottom w:val="single" w:sz="4" w:space="0" w:color="auto"/>
              <w:right w:val="single" w:sz="4" w:space="0" w:color="auto"/>
            </w:tcBorders>
            <w:shd w:val="clear" w:color="auto" w:fill="auto"/>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1.702</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5,75</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497,11</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1,00E+11</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1,70E+14</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3,42E+07</w:t>
            </w:r>
          </w:p>
        </w:tc>
      </w:tr>
      <w:tr w:rsidR="009304B3" w:rsidRPr="009304B3"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2038</w:t>
            </w:r>
          </w:p>
        </w:tc>
        <w:tc>
          <w:tcPr>
            <w:tcW w:w="0" w:type="auto"/>
            <w:tcBorders>
              <w:top w:val="nil"/>
              <w:left w:val="nil"/>
              <w:bottom w:val="single" w:sz="4" w:space="0" w:color="auto"/>
              <w:right w:val="single" w:sz="4" w:space="0" w:color="auto"/>
            </w:tcBorders>
            <w:shd w:val="clear" w:color="auto" w:fill="auto"/>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1.691</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5,75</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496,68</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1,00E+11</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1,69E+14</w:t>
            </w:r>
          </w:p>
        </w:tc>
        <w:tc>
          <w:tcPr>
            <w:tcW w:w="0" w:type="auto"/>
            <w:tcBorders>
              <w:top w:val="nil"/>
              <w:left w:val="nil"/>
              <w:bottom w:val="single" w:sz="4" w:space="0" w:color="auto"/>
              <w:right w:val="single" w:sz="4" w:space="0" w:color="auto"/>
            </w:tcBorders>
            <w:shd w:val="clear" w:color="auto" w:fill="auto"/>
            <w:noWrap/>
            <w:vAlign w:val="center"/>
            <w:hideMark/>
          </w:tcPr>
          <w:p w:rsidR="009304B3" w:rsidRPr="009304B3" w:rsidRDefault="009304B3" w:rsidP="009304B3">
            <w:pPr>
              <w:spacing w:line="240" w:lineRule="auto"/>
              <w:jc w:val="center"/>
              <w:rPr>
                <w:rFonts w:eastAsia="Times New Roman" w:cs="Arial"/>
                <w:color w:val="000000"/>
                <w:sz w:val="22"/>
                <w:lang w:eastAsia="pt-BR"/>
              </w:rPr>
            </w:pPr>
            <w:r w:rsidRPr="009304B3">
              <w:rPr>
                <w:rFonts w:eastAsia="Times New Roman" w:cs="Arial"/>
                <w:color w:val="000000"/>
                <w:sz w:val="22"/>
                <w:lang w:eastAsia="pt-BR"/>
              </w:rPr>
              <w:t>3,40E+07</w:t>
            </w:r>
          </w:p>
        </w:tc>
      </w:tr>
    </w:tbl>
    <w:p w:rsidR="005A0D0E" w:rsidRPr="00FF544E" w:rsidRDefault="003D6C57" w:rsidP="003D6C57">
      <w:pPr>
        <w:pStyle w:val="Fonte"/>
        <w:rPr>
          <w:rStyle w:val="Forte"/>
          <w:b w:val="0"/>
          <w:bCs w:val="0"/>
        </w:rPr>
      </w:pPr>
      <w:r w:rsidRPr="00FF544E">
        <w:rPr>
          <w:rStyle w:val="Forte"/>
          <w:b w:val="0"/>
          <w:bCs w:val="0"/>
        </w:rPr>
        <w:t>Fonte: SHS, 2017.</w:t>
      </w:r>
    </w:p>
    <w:p w:rsidR="00803933" w:rsidRDefault="00803933" w:rsidP="00803933">
      <w:pPr>
        <w:shd w:val="clear" w:color="auto" w:fill="FFFFFF"/>
        <w:ind w:firstLine="709"/>
        <w:rPr>
          <w:szCs w:val="24"/>
        </w:rPr>
      </w:pPr>
      <w:r w:rsidRPr="00FF544E">
        <w:rPr>
          <w:szCs w:val="24"/>
        </w:rPr>
        <w:t xml:space="preserve">O </w:t>
      </w:r>
      <w:r w:rsidR="00FF544E" w:rsidRPr="00FF544E">
        <w:rPr>
          <w:szCs w:val="24"/>
        </w:rPr>
        <w:fldChar w:fldCharType="begin"/>
      </w:r>
      <w:r w:rsidR="00FF544E" w:rsidRPr="00FF544E">
        <w:rPr>
          <w:szCs w:val="24"/>
        </w:rPr>
        <w:instrText xml:space="preserve"> REF _Ref493843183 \h </w:instrText>
      </w:r>
      <w:r w:rsidR="00FF544E" w:rsidRPr="00FF544E">
        <w:rPr>
          <w:szCs w:val="24"/>
        </w:rPr>
      </w:r>
      <w:r w:rsidR="00FF544E" w:rsidRPr="00FF544E">
        <w:rPr>
          <w:szCs w:val="24"/>
        </w:rPr>
        <w:fldChar w:fldCharType="separate"/>
      </w:r>
      <w:r w:rsidR="004D1D76" w:rsidRPr="00FF544E">
        <w:t xml:space="preserve">Quadro </w:t>
      </w:r>
      <w:r w:rsidR="004D1D76">
        <w:rPr>
          <w:noProof/>
        </w:rPr>
        <w:t>20</w:t>
      </w:r>
      <w:r w:rsidR="00FF544E" w:rsidRPr="00FF544E">
        <w:rPr>
          <w:szCs w:val="24"/>
        </w:rPr>
        <w:fldChar w:fldCharType="end"/>
      </w:r>
      <w:r w:rsidR="00FF544E" w:rsidRPr="00FF544E">
        <w:rPr>
          <w:szCs w:val="24"/>
        </w:rPr>
        <w:t xml:space="preserve"> </w:t>
      </w:r>
      <w:r w:rsidRPr="00FF544E">
        <w:rPr>
          <w:szCs w:val="24"/>
        </w:rPr>
        <w:t>apresenta a evolução da carga removida de coliformes e concentração removida de coliformes para o cenário normativo, considerando 99,9% de eficiência de remoção.</w:t>
      </w:r>
    </w:p>
    <w:p w:rsidR="002828C8" w:rsidRDefault="002828C8" w:rsidP="00803933">
      <w:pPr>
        <w:shd w:val="clear" w:color="auto" w:fill="FFFFFF"/>
        <w:ind w:firstLine="709"/>
        <w:rPr>
          <w:szCs w:val="24"/>
        </w:rPr>
      </w:pPr>
    </w:p>
    <w:p w:rsidR="002828C8" w:rsidRPr="00FF544E" w:rsidRDefault="002828C8" w:rsidP="00803933">
      <w:pPr>
        <w:shd w:val="clear" w:color="auto" w:fill="FFFFFF"/>
        <w:ind w:firstLine="709"/>
        <w:rPr>
          <w:szCs w:val="24"/>
        </w:rPr>
      </w:pPr>
    </w:p>
    <w:p w:rsidR="00786014" w:rsidRPr="00FF544E" w:rsidRDefault="00786014" w:rsidP="00786014">
      <w:pPr>
        <w:pStyle w:val="Legenda"/>
        <w:rPr>
          <w:lang w:val="pt-BR"/>
        </w:rPr>
      </w:pPr>
      <w:bookmarkStart w:id="139" w:name="_Ref493843183"/>
      <w:bookmarkStart w:id="140" w:name="_Toc497469141"/>
      <w:r w:rsidRPr="00FF544E">
        <w:lastRenderedPageBreak/>
        <w:t xml:space="preserve">Quadro </w:t>
      </w:r>
      <w:r w:rsidR="00D71C43">
        <w:fldChar w:fldCharType="begin"/>
      </w:r>
      <w:r w:rsidR="00D71C43">
        <w:instrText xml:space="preserve"> SEQ Quadro \* ARABIC </w:instrText>
      </w:r>
      <w:r w:rsidR="00D71C43">
        <w:fldChar w:fldCharType="separate"/>
      </w:r>
      <w:r w:rsidR="004D1D76">
        <w:rPr>
          <w:noProof/>
        </w:rPr>
        <w:t>20</w:t>
      </w:r>
      <w:r w:rsidR="00D71C43">
        <w:rPr>
          <w:noProof/>
        </w:rPr>
        <w:fldChar w:fldCharType="end"/>
      </w:r>
      <w:bookmarkEnd w:id="139"/>
      <w:r w:rsidRPr="00FF544E">
        <w:t xml:space="preserve"> - Evolução da carga</w:t>
      </w:r>
      <w:r w:rsidRPr="00FF544E">
        <w:rPr>
          <w:lang w:val="pt-BR"/>
        </w:rPr>
        <w:t xml:space="preserve"> removida</w:t>
      </w:r>
      <w:r w:rsidRPr="00FF544E">
        <w:t xml:space="preserve"> </w:t>
      </w:r>
      <w:r w:rsidRPr="00FF544E">
        <w:rPr>
          <w:lang w:val="pt-BR"/>
        </w:rPr>
        <w:t>de coliformes</w:t>
      </w:r>
      <w:r w:rsidRPr="00FF544E">
        <w:t xml:space="preserve">  e concentração </w:t>
      </w:r>
      <w:r w:rsidRPr="00FF544E">
        <w:rPr>
          <w:lang w:val="pt-BR"/>
        </w:rPr>
        <w:t>removida</w:t>
      </w:r>
      <w:r w:rsidRPr="00FF544E">
        <w:t xml:space="preserve"> de </w:t>
      </w:r>
      <w:r w:rsidRPr="00FF544E">
        <w:rPr>
          <w:lang w:val="pt-BR"/>
        </w:rPr>
        <w:t xml:space="preserve">coliformes </w:t>
      </w:r>
      <w:r w:rsidRPr="00FF544E">
        <w:t xml:space="preserve">para o cenário </w:t>
      </w:r>
      <w:r w:rsidR="009A2D17" w:rsidRPr="00FF544E">
        <w:rPr>
          <w:lang w:val="pt-BR"/>
        </w:rPr>
        <w:t>normativo</w:t>
      </w:r>
      <w:r w:rsidRPr="00FF544E">
        <w:rPr>
          <w:lang w:val="pt-BR"/>
        </w:rPr>
        <w:t xml:space="preserve"> do município</w:t>
      </w:r>
      <w:r w:rsidRPr="00FF544E">
        <w:t xml:space="preserve"> de </w:t>
      </w:r>
      <w:r w:rsidRPr="00FF544E">
        <w:rPr>
          <w:lang w:val="pt-BR"/>
        </w:rPr>
        <w:t>Córrego Novo</w:t>
      </w:r>
      <w:bookmarkEnd w:id="140"/>
    </w:p>
    <w:tbl>
      <w:tblPr>
        <w:tblW w:w="0" w:type="auto"/>
        <w:tblCellMar>
          <w:left w:w="70" w:type="dxa"/>
          <w:right w:w="70" w:type="dxa"/>
        </w:tblCellMar>
        <w:tblLook w:val="04A0" w:firstRow="1" w:lastRow="0" w:firstColumn="1" w:lastColumn="0" w:noHBand="0" w:noVBand="1"/>
      </w:tblPr>
      <w:tblGrid>
        <w:gridCol w:w="631"/>
        <w:gridCol w:w="1646"/>
        <w:gridCol w:w="1357"/>
        <w:gridCol w:w="2815"/>
        <w:gridCol w:w="3045"/>
      </w:tblGrid>
      <w:tr w:rsidR="00FF544E" w:rsidRPr="00FF544E" w:rsidTr="002828C8">
        <w:trPr>
          <w:trHeight w:val="3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786014" w:rsidRPr="00FF544E" w:rsidRDefault="00786014" w:rsidP="00786014">
            <w:pPr>
              <w:spacing w:line="240" w:lineRule="auto"/>
              <w:jc w:val="center"/>
              <w:rPr>
                <w:rFonts w:eastAsia="Times New Roman" w:cs="Arial"/>
                <w:b/>
                <w:bCs/>
                <w:sz w:val="22"/>
                <w:lang w:eastAsia="pt-BR"/>
              </w:rPr>
            </w:pPr>
            <w:r w:rsidRPr="00FF544E">
              <w:rPr>
                <w:rFonts w:eastAsia="Times New Roman" w:cs="Arial"/>
                <w:b/>
                <w:bCs/>
                <w:sz w:val="22"/>
                <w:lang w:eastAsia="pt-BR"/>
              </w:rPr>
              <w:t>Ano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786014" w:rsidRPr="00FF544E" w:rsidRDefault="00786014" w:rsidP="00786014">
            <w:pPr>
              <w:spacing w:line="240" w:lineRule="auto"/>
              <w:jc w:val="center"/>
              <w:rPr>
                <w:rFonts w:eastAsia="Times New Roman" w:cs="Arial"/>
                <w:b/>
                <w:bCs/>
                <w:sz w:val="22"/>
                <w:lang w:eastAsia="pt-BR"/>
              </w:rPr>
            </w:pPr>
            <w:r w:rsidRPr="00FF544E">
              <w:rPr>
                <w:rFonts w:eastAsia="Times New Roman" w:cs="Arial"/>
                <w:b/>
                <w:bCs/>
                <w:sz w:val="22"/>
                <w:lang w:eastAsia="pt-BR"/>
              </w:rPr>
              <w:t>População urbana atendida (hab.)</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786014" w:rsidRPr="00FF544E" w:rsidRDefault="00786014" w:rsidP="00786014">
            <w:pPr>
              <w:spacing w:line="240" w:lineRule="auto"/>
              <w:jc w:val="center"/>
              <w:rPr>
                <w:rFonts w:eastAsia="Times New Roman" w:cs="Arial"/>
                <w:b/>
                <w:bCs/>
                <w:sz w:val="22"/>
                <w:lang w:eastAsia="pt-BR"/>
              </w:rPr>
            </w:pPr>
            <w:r w:rsidRPr="00FF544E">
              <w:rPr>
                <w:rFonts w:eastAsia="Times New Roman" w:cs="Arial"/>
                <w:b/>
                <w:bCs/>
                <w:sz w:val="22"/>
                <w:lang w:eastAsia="pt-BR"/>
              </w:rPr>
              <w:t>Vazão sanitária média (L/s)</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rsidR="00786014" w:rsidRPr="00FF544E" w:rsidRDefault="00786014" w:rsidP="00786014">
            <w:pPr>
              <w:spacing w:line="240" w:lineRule="auto"/>
              <w:jc w:val="center"/>
              <w:rPr>
                <w:rFonts w:eastAsia="Times New Roman" w:cs="Arial"/>
                <w:b/>
                <w:bCs/>
                <w:sz w:val="22"/>
                <w:lang w:eastAsia="pt-BR"/>
              </w:rPr>
            </w:pPr>
            <w:r w:rsidRPr="00FF544E">
              <w:rPr>
                <w:rFonts w:eastAsia="Times New Roman" w:cs="Arial"/>
                <w:b/>
                <w:bCs/>
                <w:sz w:val="22"/>
                <w:lang w:eastAsia="pt-BR"/>
              </w:rPr>
              <w:t>Carga removida de coliformes, considerando 99,9% de eficiência de remoção (org/dia)</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rsidR="00786014" w:rsidRPr="00FF544E" w:rsidRDefault="00786014" w:rsidP="00786014">
            <w:pPr>
              <w:spacing w:line="240" w:lineRule="auto"/>
              <w:jc w:val="center"/>
              <w:rPr>
                <w:rFonts w:eastAsia="Times New Roman" w:cs="Arial"/>
                <w:b/>
                <w:bCs/>
                <w:sz w:val="22"/>
                <w:lang w:eastAsia="pt-BR"/>
              </w:rPr>
            </w:pPr>
            <w:r w:rsidRPr="00FF544E">
              <w:rPr>
                <w:rFonts w:eastAsia="Times New Roman" w:cs="Arial"/>
                <w:b/>
                <w:bCs/>
                <w:sz w:val="22"/>
                <w:lang w:eastAsia="pt-BR"/>
              </w:rPr>
              <w:t xml:space="preserve">Concentração removida de coliformes  (org/100mL), considerando 99,9% de eficiência de remoção </w:t>
            </w:r>
          </w:p>
        </w:tc>
      </w:tr>
      <w:tr w:rsidR="00786014" w:rsidRPr="00786014"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2017</w:t>
            </w:r>
          </w:p>
        </w:tc>
        <w:tc>
          <w:tcPr>
            <w:tcW w:w="0" w:type="auto"/>
            <w:tcBorders>
              <w:top w:val="nil"/>
              <w:left w:val="nil"/>
              <w:bottom w:val="single" w:sz="4" w:space="0" w:color="auto"/>
              <w:right w:val="single" w:sz="4" w:space="0" w:color="auto"/>
            </w:tcBorders>
            <w:shd w:val="clear" w:color="auto" w:fill="auto"/>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1.487</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5,92</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1,486E+14</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2,907E+07</w:t>
            </w:r>
          </w:p>
        </w:tc>
      </w:tr>
      <w:tr w:rsidR="00786014" w:rsidRPr="00786014"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2018</w:t>
            </w:r>
          </w:p>
        </w:tc>
        <w:tc>
          <w:tcPr>
            <w:tcW w:w="0" w:type="auto"/>
            <w:tcBorders>
              <w:top w:val="nil"/>
              <w:left w:val="nil"/>
              <w:bottom w:val="single" w:sz="4" w:space="0" w:color="auto"/>
              <w:right w:val="single" w:sz="4" w:space="0" w:color="auto"/>
            </w:tcBorders>
            <w:shd w:val="clear" w:color="auto" w:fill="auto"/>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1.477</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5,90</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1,475E+14</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2,895E+07</w:t>
            </w:r>
          </w:p>
        </w:tc>
      </w:tr>
      <w:tr w:rsidR="00786014" w:rsidRPr="00786014"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2019</w:t>
            </w:r>
          </w:p>
        </w:tc>
        <w:tc>
          <w:tcPr>
            <w:tcW w:w="0" w:type="auto"/>
            <w:tcBorders>
              <w:top w:val="nil"/>
              <w:left w:val="nil"/>
              <w:bottom w:val="single" w:sz="4" w:space="0" w:color="auto"/>
              <w:right w:val="single" w:sz="4" w:space="0" w:color="auto"/>
            </w:tcBorders>
            <w:shd w:val="clear" w:color="auto" w:fill="auto"/>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1.633</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5,90</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1,631E+14</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3,201E+07</w:t>
            </w:r>
          </w:p>
        </w:tc>
      </w:tr>
      <w:tr w:rsidR="00786014" w:rsidRPr="00786014"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2020</w:t>
            </w:r>
          </w:p>
        </w:tc>
        <w:tc>
          <w:tcPr>
            <w:tcW w:w="0" w:type="auto"/>
            <w:tcBorders>
              <w:top w:val="nil"/>
              <w:left w:val="nil"/>
              <w:bottom w:val="single" w:sz="4" w:space="0" w:color="auto"/>
              <w:right w:val="single" w:sz="4" w:space="0" w:color="auto"/>
            </w:tcBorders>
            <w:shd w:val="clear" w:color="auto" w:fill="auto"/>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1.793</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5,90</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1,791E+14</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3,511E+07</w:t>
            </w:r>
          </w:p>
        </w:tc>
      </w:tr>
      <w:tr w:rsidR="00786014" w:rsidRPr="00786014"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2021</w:t>
            </w:r>
          </w:p>
        </w:tc>
        <w:tc>
          <w:tcPr>
            <w:tcW w:w="0" w:type="auto"/>
            <w:tcBorders>
              <w:top w:val="nil"/>
              <w:left w:val="nil"/>
              <w:bottom w:val="single" w:sz="4" w:space="0" w:color="auto"/>
              <w:right w:val="single" w:sz="4" w:space="0" w:color="auto"/>
            </w:tcBorders>
            <w:shd w:val="clear" w:color="auto" w:fill="auto"/>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1.942</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5,90</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1,940E+14</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3,807E+07</w:t>
            </w:r>
          </w:p>
        </w:tc>
      </w:tr>
      <w:tr w:rsidR="00786014" w:rsidRPr="00786014"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2022</w:t>
            </w:r>
          </w:p>
        </w:tc>
        <w:tc>
          <w:tcPr>
            <w:tcW w:w="0" w:type="auto"/>
            <w:tcBorders>
              <w:top w:val="nil"/>
              <w:left w:val="nil"/>
              <w:bottom w:val="single" w:sz="4" w:space="0" w:color="auto"/>
              <w:right w:val="single" w:sz="4" w:space="0" w:color="auto"/>
            </w:tcBorders>
            <w:shd w:val="clear" w:color="auto" w:fill="auto"/>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1.925</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5,89</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1,923E+14</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3,780E+07</w:t>
            </w:r>
          </w:p>
        </w:tc>
      </w:tr>
      <w:tr w:rsidR="00786014" w:rsidRPr="00786014"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2023</w:t>
            </w:r>
          </w:p>
        </w:tc>
        <w:tc>
          <w:tcPr>
            <w:tcW w:w="0" w:type="auto"/>
            <w:tcBorders>
              <w:top w:val="nil"/>
              <w:left w:val="nil"/>
              <w:bottom w:val="single" w:sz="4" w:space="0" w:color="auto"/>
              <w:right w:val="single" w:sz="4" w:space="0" w:color="auto"/>
            </w:tcBorders>
            <w:shd w:val="clear" w:color="auto" w:fill="auto"/>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1.910</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5,88</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1,908E+14</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3,756E+07</w:t>
            </w:r>
          </w:p>
        </w:tc>
      </w:tr>
      <w:tr w:rsidR="00786014" w:rsidRPr="00786014"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2024</w:t>
            </w:r>
          </w:p>
        </w:tc>
        <w:tc>
          <w:tcPr>
            <w:tcW w:w="0" w:type="auto"/>
            <w:tcBorders>
              <w:top w:val="nil"/>
              <w:left w:val="nil"/>
              <w:bottom w:val="single" w:sz="4" w:space="0" w:color="auto"/>
              <w:right w:val="single" w:sz="4" w:space="0" w:color="auto"/>
            </w:tcBorders>
            <w:shd w:val="clear" w:color="auto" w:fill="auto"/>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1.906</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5,89</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1,904E+14</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3,744E+07</w:t>
            </w:r>
          </w:p>
        </w:tc>
      </w:tr>
      <w:tr w:rsidR="00786014" w:rsidRPr="00786014"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2025</w:t>
            </w:r>
          </w:p>
        </w:tc>
        <w:tc>
          <w:tcPr>
            <w:tcW w:w="0" w:type="auto"/>
            <w:tcBorders>
              <w:top w:val="nil"/>
              <w:left w:val="nil"/>
              <w:bottom w:val="single" w:sz="4" w:space="0" w:color="auto"/>
              <w:right w:val="single" w:sz="4" w:space="0" w:color="auto"/>
            </w:tcBorders>
            <w:shd w:val="clear" w:color="auto" w:fill="auto"/>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1.891</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5,88</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1,889E+14</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3,719E+07</w:t>
            </w:r>
          </w:p>
        </w:tc>
      </w:tr>
      <w:tr w:rsidR="00786014" w:rsidRPr="00786014"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2026</w:t>
            </w:r>
          </w:p>
        </w:tc>
        <w:tc>
          <w:tcPr>
            <w:tcW w:w="0" w:type="auto"/>
            <w:tcBorders>
              <w:top w:val="nil"/>
              <w:left w:val="nil"/>
              <w:bottom w:val="single" w:sz="4" w:space="0" w:color="auto"/>
              <w:right w:val="single" w:sz="4" w:space="0" w:color="auto"/>
            </w:tcBorders>
            <w:shd w:val="clear" w:color="auto" w:fill="auto"/>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1.881</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5,88</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1,879E+14</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3,701E+07</w:t>
            </w:r>
          </w:p>
        </w:tc>
      </w:tr>
      <w:tr w:rsidR="00786014" w:rsidRPr="00786014"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2027</w:t>
            </w:r>
          </w:p>
        </w:tc>
        <w:tc>
          <w:tcPr>
            <w:tcW w:w="0" w:type="auto"/>
            <w:tcBorders>
              <w:top w:val="nil"/>
              <w:left w:val="nil"/>
              <w:bottom w:val="single" w:sz="4" w:space="0" w:color="auto"/>
              <w:right w:val="single" w:sz="4" w:space="0" w:color="auto"/>
            </w:tcBorders>
            <w:shd w:val="clear" w:color="auto" w:fill="auto"/>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1.862</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5,86</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1,860E+14</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3,672E+07</w:t>
            </w:r>
          </w:p>
        </w:tc>
      </w:tr>
      <w:tr w:rsidR="00786014" w:rsidRPr="00786014"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2028</w:t>
            </w:r>
          </w:p>
        </w:tc>
        <w:tc>
          <w:tcPr>
            <w:tcW w:w="0" w:type="auto"/>
            <w:tcBorders>
              <w:top w:val="nil"/>
              <w:left w:val="nil"/>
              <w:bottom w:val="single" w:sz="4" w:space="0" w:color="auto"/>
              <w:right w:val="single" w:sz="4" w:space="0" w:color="auto"/>
            </w:tcBorders>
            <w:shd w:val="clear" w:color="auto" w:fill="auto"/>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1.851</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5,86</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1,849E+14</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3,653E+07</w:t>
            </w:r>
          </w:p>
        </w:tc>
      </w:tr>
      <w:tr w:rsidR="00786014" w:rsidRPr="00786014"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2029</w:t>
            </w:r>
          </w:p>
        </w:tc>
        <w:tc>
          <w:tcPr>
            <w:tcW w:w="0" w:type="auto"/>
            <w:tcBorders>
              <w:top w:val="nil"/>
              <w:left w:val="nil"/>
              <w:bottom w:val="single" w:sz="4" w:space="0" w:color="auto"/>
              <w:right w:val="single" w:sz="4" w:space="0" w:color="auto"/>
            </w:tcBorders>
            <w:shd w:val="clear" w:color="auto" w:fill="auto"/>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1.836</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5,85</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1,834E+14</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3,629E+07</w:t>
            </w:r>
          </w:p>
        </w:tc>
      </w:tr>
      <w:tr w:rsidR="00786014" w:rsidRPr="00786014"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2030</w:t>
            </w:r>
          </w:p>
        </w:tc>
        <w:tc>
          <w:tcPr>
            <w:tcW w:w="0" w:type="auto"/>
            <w:tcBorders>
              <w:top w:val="nil"/>
              <w:left w:val="nil"/>
              <w:bottom w:val="single" w:sz="4" w:space="0" w:color="auto"/>
              <w:right w:val="single" w:sz="4" w:space="0" w:color="auto"/>
            </w:tcBorders>
            <w:shd w:val="clear" w:color="auto" w:fill="auto"/>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1.813</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5,83</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1,811E+14</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3,595E+07</w:t>
            </w:r>
          </w:p>
        </w:tc>
      </w:tr>
      <w:tr w:rsidR="00786014" w:rsidRPr="00786014"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2031</w:t>
            </w:r>
          </w:p>
        </w:tc>
        <w:tc>
          <w:tcPr>
            <w:tcW w:w="0" w:type="auto"/>
            <w:tcBorders>
              <w:top w:val="nil"/>
              <w:left w:val="nil"/>
              <w:bottom w:val="single" w:sz="4" w:space="0" w:color="auto"/>
              <w:right w:val="single" w:sz="4" w:space="0" w:color="auto"/>
            </w:tcBorders>
            <w:shd w:val="clear" w:color="auto" w:fill="auto"/>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1.795</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5,82</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1,793E+14</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3,568E+07</w:t>
            </w:r>
          </w:p>
        </w:tc>
      </w:tr>
      <w:tr w:rsidR="00786014" w:rsidRPr="00786014"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2032</w:t>
            </w:r>
          </w:p>
        </w:tc>
        <w:tc>
          <w:tcPr>
            <w:tcW w:w="0" w:type="auto"/>
            <w:tcBorders>
              <w:top w:val="nil"/>
              <w:left w:val="nil"/>
              <w:bottom w:val="single" w:sz="4" w:space="0" w:color="auto"/>
              <w:right w:val="single" w:sz="4" w:space="0" w:color="auto"/>
            </w:tcBorders>
            <w:shd w:val="clear" w:color="auto" w:fill="auto"/>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1.779</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5,81</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1,777E+14</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3,542E+07</w:t>
            </w:r>
          </w:p>
        </w:tc>
      </w:tr>
      <w:tr w:rsidR="00786014" w:rsidRPr="00786014"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2033</w:t>
            </w:r>
          </w:p>
        </w:tc>
        <w:tc>
          <w:tcPr>
            <w:tcW w:w="0" w:type="auto"/>
            <w:tcBorders>
              <w:top w:val="nil"/>
              <w:left w:val="nil"/>
              <w:bottom w:val="single" w:sz="4" w:space="0" w:color="auto"/>
              <w:right w:val="single" w:sz="4" w:space="0" w:color="auto"/>
            </w:tcBorders>
            <w:shd w:val="clear" w:color="auto" w:fill="auto"/>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1.770</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5,81</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1,768E+14</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3,525E+07</w:t>
            </w:r>
          </w:p>
        </w:tc>
      </w:tr>
      <w:tr w:rsidR="00786014" w:rsidRPr="00786014"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2034</w:t>
            </w:r>
          </w:p>
        </w:tc>
        <w:tc>
          <w:tcPr>
            <w:tcW w:w="0" w:type="auto"/>
            <w:tcBorders>
              <w:top w:val="nil"/>
              <w:left w:val="nil"/>
              <w:bottom w:val="single" w:sz="4" w:space="0" w:color="auto"/>
              <w:right w:val="single" w:sz="4" w:space="0" w:color="auto"/>
            </w:tcBorders>
            <w:shd w:val="clear" w:color="auto" w:fill="auto"/>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1.751</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5,79</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1,749E+14</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3,497E+07</w:t>
            </w:r>
          </w:p>
        </w:tc>
      </w:tr>
      <w:tr w:rsidR="00786014" w:rsidRPr="00786014"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2035</w:t>
            </w:r>
          </w:p>
        </w:tc>
        <w:tc>
          <w:tcPr>
            <w:tcW w:w="0" w:type="auto"/>
            <w:tcBorders>
              <w:top w:val="nil"/>
              <w:left w:val="nil"/>
              <w:bottom w:val="single" w:sz="4" w:space="0" w:color="auto"/>
              <w:right w:val="single" w:sz="4" w:space="0" w:color="auto"/>
            </w:tcBorders>
            <w:shd w:val="clear" w:color="auto" w:fill="auto"/>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1.730</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5,77</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1,728E+14</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3,466E+07</w:t>
            </w:r>
          </w:p>
        </w:tc>
      </w:tr>
      <w:tr w:rsidR="00786014" w:rsidRPr="00786014"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2036</w:t>
            </w:r>
          </w:p>
        </w:tc>
        <w:tc>
          <w:tcPr>
            <w:tcW w:w="0" w:type="auto"/>
            <w:tcBorders>
              <w:top w:val="nil"/>
              <w:left w:val="nil"/>
              <w:bottom w:val="single" w:sz="4" w:space="0" w:color="auto"/>
              <w:right w:val="single" w:sz="4" w:space="0" w:color="auto"/>
            </w:tcBorders>
            <w:shd w:val="clear" w:color="auto" w:fill="auto"/>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1.711</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5,76</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1,709E+14</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3,437E+07</w:t>
            </w:r>
          </w:p>
        </w:tc>
      </w:tr>
      <w:tr w:rsidR="00786014" w:rsidRPr="00786014"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2037</w:t>
            </w:r>
          </w:p>
        </w:tc>
        <w:tc>
          <w:tcPr>
            <w:tcW w:w="0" w:type="auto"/>
            <w:tcBorders>
              <w:top w:val="nil"/>
              <w:left w:val="nil"/>
              <w:bottom w:val="single" w:sz="4" w:space="0" w:color="auto"/>
              <w:right w:val="single" w:sz="4" w:space="0" w:color="auto"/>
            </w:tcBorders>
            <w:shd w:val="clear" w:color="auto" w:fill="auto"/>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1.702</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5,75</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1,700E+14</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3,420E+07</w:t>
            </w:r>
          </w:p>
        </w:tc>
      </w:tr>
      <w:tr w:rsidR="00786014" w:rsidRPr="00786014" w:rsidTr="002828C8">
        <w:trPr>
          <w:trHeight w:val="3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2038</w:t>
            </w:r>
          </w:p>
        </w:tc>
        <w:tc>
          <w:tcPr>
            <w:tcW w:w="0" w:type="auto"/>
            <w:tcBorders>
              <w:top w:val="nil"/>
              <w:left w:val="nil"/>
              <w:bottom w:val="single" w:sz="4" w:space="0" w:color="auto"/>
              <w:right w:val="single" w:sz="4" w:space="0" w:color="auto"/>
            </w:tcBorders>
            <w:shd w:val="clear" w:color="auto" w:fill="auto"/>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1.691</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5,75</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1,689E+14</w:t>
            </w:r>
          </w:p>
        </w:tc>
        <w:tc>
          <w:tcPr>
            <w:tcW w:w="0" w:type="auto"/>
            <w:tcBorders>
              <w:top w:val="nil"/>
              <w:left w:val="nil"/>
              <w:bottom w:val="single" w:sz="4" w:space="0" w:color="auto"/>
              <w:right w:val="single" w:sz="4" w:space="0" w:color="auto"/>
            </w:tcBorders>
            <w:shd w:val="clear" w:color="auto" w:fill="auto"/>
            <w:noWrap/>
            <w:vAlign w:val="center"/>
            <w:hideMark/>
          </w:tcPr>
          <w:p w:rsidR="00786014" w:rsidRPr="00786014" w:rsidRDefault="00786014" w:rsidP="00786014">
            <w:pPr>
              <w:spacing w:line="240" w:lineRule="auto"/>
              <w:jc w:val="center"/>
              <w:rPr>
                <w:rFonts w:eastAsia="Times New Roman" w:cs="Arial"/>
                <w:color w:val="000000"/>
                <w:sz w:val="22"/>
                <w:lang w:eastAsia="pt-BR"/>
              </w:rPr>
            </w:pPr>
            <w:r w:rsidRPr="00786014">
              <w:rPr>
                <w:rFonts w:eastAsia="Times New Roman" w:cs="Arial"/>
                <w:color w:val="000000"/>
                <w:sz w:val="22"/>
                <w:lang w:eastAsia="pt-BR"/>
              </w:rPr>
              <w:t>3,401E+07</w:t>
            </w:r>
          </w:p>
        </w:tc>
      </w:tr>
    </w:tbl>
    <w:p w:rsidR="002828C8" w:rsidRDefault="002828C8" w:rsidP="00642595">
      <w:pPr>
        <w:widowControl w:val="0"/>
        <w:tabs>
          <w:tab w:val="left" w:pos="4395"/>
        </w:tabs>
        <w:autoSpaceDE w:val="0"/>
        <w:autoSpaceDN w:val="0"/>
        <w:adjustRightInd w:val="0"/>
        <w:spacing w:before="120" w:after="120"/>
        <w:ind w:firstLine="709"/>
        <w:contextualSpacing/>
        <w:rPr>
          <w:rFonts w:cs="Arial"/>
          <w:szCs w:val="24"/>
        </w:rPr>
      </w:pPr>
    </w:p>
    <w:p w:rsidR="00642595" w:rsidRPr="00FF544E" w:rsidRDefault="00642595" w:rsidP="00642595">
      <w:pPr>
        <w:widowControl w:val="0"/>
        <w:tabs>
          <w:tab w:val="left" w:pos="4395"/>
        </w:tabs>
        <w:autoSpaceDE w:val="0"/>
        <w:autoSpaceDN w:val="0"/>
        <w:adjustRightInd w:val="0"/>
        <w:spacing w:before="120" w:after="120"/>
        <w:ind w:firstLine="709"/>
        <w:contextualSpacing/>
        <w:rPr>
          <w:rFonts w:cs="Arial"/>
          <w:szCs w:val="24"/>
        </w:rPr>
      </w:pPr>
      <w:r w:rsidRPr="00132677">
        <w:rPr>
          <w:rFonts w:cs="Arial"/>
          <w:szCs w:val="24"/>
        </w:rPr>
        <w:t xml:space="preserve">O </w:t>
      </w:r>
      <w:r w:rsidR="00132677" w:rsidRPr="00132677">
        <w:rPr>
          <w:rFonts w:cs="Arial"/>
          <w:szCs w:val="24"/>
        </w:rPr>
        <w:fldChar w:fldCharType="begin"/>
      </w:r>
      <w:r w:rsidR="00132677" w:rsidRPr="00132677">
        <w:rPr>
          <w:rFonts w:cs="Arial"/>
          <w:szCs w:val="24"/>
        </w:rPr>
        <w:instrText xml:space="preserve"> REF _Ref485737329 \h </w:instrText>
      </w:r>
      <w:r w:rsidR="00132677">
        <w:rPr>
          <w:rFonts w:cs="Arial"/>
          <w:szCs w:val="24"/>
        </w:rPr>
        <w:instrText xml:space="preserve"> \* MERGEFORMAT </w:instrText>
      </w:r>
      <w:r w:rsidR="00132677" w:rsidRPr="00132677">
        <w:rPr>
          <w:rFonts w:cs="Arial"/>
          <w:szCs w:val="24"/>
        </w:rPr>
      </w:r>
      <w:r w:rsidR="00132677" w:rsidRPr="00132677">
        <w:rPr>
          <w:rFonts w:cs="Arial"/>
          <w:szCs w:val="24"/>
        </w:rPr>
        <w:fldChar w:fldCharType="separate"/>
      </w:r>
      <w:r w:rsidR="004D1D76" w:rsidRPr="00DA6A87">
        <w:t xml:space="preserve">Quadro </w:t>
      </w:r>
      <w:r w:rsidR="004D1D76">
        <w:rPr>
          <w:noProof/>
        </w:rPr>
        <w:t>17</w:t>
      </w:r>
      <w:r w:rsidR="00132677" w:rsidRPr="00132677">
        <w:rPr>
          <w:rFonts w:cs="Arial"/>
          <w:szCs w:val="24"/>
        </w:rPr>
        <w:fldChar w:fldCharType="end"/>
      </w:r>
      <w:r w:rsidR="00132677" w:rsidRPr="00132677">
        <w:rPr>
          <w:rFonts w:cs="Arial"/>
          <w:szCs w:val="24"/>
        </w:rPr>
        <w:t xml:space="preserve"> e o </w:t>
      </w:r>
      <w:r w:rsidR="00132677" w:rsidRPr="00132677">
        <w:rPr>
          <w:rFonts w:cs="Arial"/>
          <w:szCs w:val="24"/>
        </w:rPr>
        <w:fldChar w:fldCharType="begin"/>
      </w:r>
      <w:r w:rsidR="00132677" w:rsidRPr="00132677">
        <w:rPr>
          <w:rFonts w:cs="Arial"/>
          <w:szCs w:val="24"/>
        </w:rPr>
        <w:instrText xml:space="preserve"> REF _Ref493781150 \h </w:instrText>
      </w:r>
      <w:r w:rsidR="00132677">
        <w:rPr>
          <w:rFonts w:cs="Arial"/>
          <w:szCs w:val="24"/>
        </w:rPr>
        <w:instrText xml:space="preserve"> \* MERGEFORMAT </w:instrText>
      </w:r>
      <w:r w:rsidR="00132677" w:rsidRPr="00132677">
        <w:rPr>
          <w:rFonts w:cs="Arial"/>
          <w:szCs w:val="24"/>
        </w:rPr>
      </w:r>
      <w:r w:rsidR="00132677" w:rsidRPr="00132677">
        <w:rPr>
          <w:rFonts w:cs="Arial"/>
          <w:szCs w:val="24"/>
        </w:rPr>
        <w:fldChar w:fldCharType="separate"/>
      </w:r>
      <w:r w:rsidR="004D1D76" w:rsidRPr="00FF544E">
        <w:t xml:space="preserve">Quadro </w:t>
      </w:r>
      <w:r w:rsidR="004D1D76">
        <w:rPr>
          <w:noProof/>
        </w:rPr>
        <w:t>18</w:t>
      </w:r>
      <w:r w:rsidR="00132677" w:rsidRPr="00132677">
        <w:rPr>
          <w:rFonts w:cs="Arial"/>
          <w:szCs w:val="24"/>
        </w:rPr>
        <w:fldChar w:fldCharType="end"/>
      </w:r>
      <w:r w:rsidR="00132677" w:rsidRPr="00132677">
        <w:rPr>
          <w:rFonts w:cs="Arial"/>
          <w:szCs w:val="24"/>
        </w:rPr>
        <w:t xml:space="preserve"> </w:t>
      </w:r>
      <w:r w:rsidRPr="00132677">
        <w:rPr>
          <w:rFonts w:cs="Arial"/>
          <w:szCs w:val="24"/>
        </w:rPr>
        <w:t xml:space="preserve">apresentaram a carga orgânica bruta em termos de DBO e concentração inicial de DBO, além de contribuição </w:t>
      </w:r>
      <w:r w:rsidRPr="00132677">
        <w:rPr>
          <w:rFonts w:cs="Arial"/>
          <w:i/>
          <w:szCs w:val="24"/>
        </w:rPr>
        <w:t>per capita</w:t>
      </w:r>
      <w:r w:rsidRPr="00132677">
        <w:rPr>
          <w:rFonts w:cs="Arial"/>
          <w:szCs w:val="24"/>
        </w:rPr>
        <w:t xml:space="preserve"> de coliformes fecais termotolerantes, carga inicial de coliformes</w:t>
      </w:r>
      <w:r w:rsidRPr="00FF544E">
        <w:rPr>
          <w:rFonts w:cs="Arial"/>
          <w:szCs w:val="24"/>
        </w:rPr>
        <w:t xml:space="preserve"> e concentração inicial de coliformes. No item </w:t>
      </w:r>
      <w:r w:rsidRPr="00FF544E">
        <w:rPr>
          <w:rFonts w:cs="Arial"/>
          <w:szCs w:val="24"/>
        </w:rPr>
        <w:fldChar w:fldCharType="begin"/>
      </w:r>
      <w:r w:rsidRPr="00FF544E">
        <w:rPr>
          <w:rFonts w:cs="Arial"/>
          <w:szCs w:val="24"/>
        </w:rPr>
        <w:instrText xml:space="preserve"> REF _Ref493781260 \r \h </w:instrText>
      </w:r>
      <w:r w:rsidRPr="00FF544E">
        <w:rPr>
          <w:rFonts w:cs="Arial"/>
          <w:szCs w:val="24"/>
        </w:rPr>
      </w:r>
      <w:r w:rsidRPr="00FF544E">
        <w:rPr>
          <w:rFonts w:cs="Arial"/>
          <w:szCs w:val="24"/>
        </w:rPr>
        <w:fldChar w:fldCharType="separate"/>
      </w:r>
      <w:r w:rsidR="004D1D76">
        <w:rPr>
          <w:rFonts w:cs="Arial"/>
          <w:szCs w:val="24"/>
        </w:rPr>
        <w:t>2.2.3</w:t>
      </w:r>
      <w:r w:rsidRPr="00FF544E">
        <w:rPr>
          <w:rFonts w:cs="Arial"/>
          <w:szCs w:val="24"/>
        </w:rPr>
        <w:fldChar w:fldCharType="end"/>
      </w:r>
      <w:r w:rsidRPr="00FF544E">
        <w:rPr>
          <w:rFonts w:cs="Arial"/>
          <w:szCs w:val="24"/>
        </w:rPr>
        <w:t xml:space="preserve"> essas concentrações serão utilizadas para cálculo das metas de qualidade para os esgotos tratados da ETE e para o corpo d</w:t>
      </w:r>
      <w:r w:rsidR="00FF544E" w:rsidRPr="00FF544E">
        <w:rPr>
          <w:rFonts w:cs="Arial"/>
          <w:szCs w:val="24"/>
        </w:rPr>
        <w:t>’</w:t>
      </w:r>
      <w:r w:rsidRPr="00FF544E">
        <w:rPr>
          <w:rFonts w:cs="Arial"/>
          <w:szCs w:val="24"/>
        </w:rPr>
        <w:t xml:space="preserve">água. </w:t>
      </w:r>
    </w:p>
    <w:p w:rsidR="00642595" w:rsidRPr="009A2D17" w:rsidRDefault="00642595" w:rsidP="005A0D0E">
      <w:pPr>
        <w:widowControl w:val="0"/>
        <w:tabs>
          <w:tab w:val="left" w:pos="4395"/>
        </w:tabs>
        <w:autoSpaceDE w:val="0"/>
        <w:autoSpaceDN w:val="0"/>
        <w:adjustRightInd w:val="0"/>
        <w:spacing w:before="120" w:after="120"/>
        <w:ind w:firstLine="709"/>
        <w:contextualSpacing/>
        <w:rPr>
          <w:rFonts w:cs="Arial"/>
          <w:color w:val="FF0000"/>
          <w:szCs w:val="24"/>
        </w:rPr>
      </w:pPr>
    </w:p>
    <w:p w:rsidR="005A0D0E" w:rsidRPr="00DA6A87" w:rsidRDefault="005A0D0E" w:rsidP="005A0D0E">
      <w:pPr>
        <w:ind w:firstLine="708"/>
        <w:rPr>
          <w:szCs w:val="24"/>
        </w:rPr>
      </w:pPr>
    </w:p>
    <w:p w:rsidR="005A0D0E" w:rsidRPr="00D7664A" w:rsidRDefault="005A0D0E" w:rsidP="002828C8">
      <w:pPr>
        <w:pStyle w:val="Ttulo3"/>
      </w:pPr>
      <w:bookmarkStart w:id="141" w:name="_Toc482622507"/>
      <w:bookmarkStart w:id="142" w:name="_Ref435426669"/>
      <w:bookmarkStart w:id="143" w:name="_Toc482622508"/>
      <w:bookmarkStart w:id="144" w:name="_Toc497468997"/>
      <w:r w:rsidRPr="00D7664A">
        <w:lastRenderedPageBreak/>
        <w:t xml:space="preserve">Definição de alternativas técnicas de engenharia para o </w:t>
      </w:r>
      <w:bookmarkEnd w:id="141"/>
      <w:r w:rsidRPr="00D7664A">
        <w:t>Serviço de Esgotamento Sanitário a partir das projeções</w:t>
      </w:r>
      <w:bookmarkEnd w:id="144"/>
    </w:p>
    <w:p w:rsidR="005A0D0E" w:rsidRPr="00E33DFB" w:rsidRDefault="005A0D0E" w:rsidP="005A0D0E">
      <w:pPr>
        <w:ind w:firstLine="709"/>
        <w:rPr>
          <w:lang w:eastAsia="pt-BR"/>
        </w:rPr>
      </w:pPr>
      <w:r w:rsidRPr="00E33DFB">
        <w:t xml:space="preserve"> Como apresentado anteriormente, é possível perceber que o município de Córrego Novo necessita de tratamento dos esgotos sanitários gerados, para que esses não sejam lançados em concentrações brutas nos corpos receptores. Assim, é indispensável a adoção de uma alternativa para o tratamento dos esgotos no município. </w:t>
      </w:r>
      <w:r w:rsidRPr="00E33DFB">
        <w:rPr>
          <w:rFonts w:cs="Arial"/>
          <w:szCs w:val="24"/>
        </w:rPr>
        <w:t>Esse processo é essencial para atendimento legal da Resolução CONAMA nº 357/05, art. 15, que fala sobre a qualidade do corpo receptor e da Resolução CONAMA nº 430/11, que determina sobre os padrões de lançamento dos esgotos tratados.</w:t>
      </w:r>
    </w:p>
    <w:p w:rsidR="005A0D0E" w:rsidRPr="00E33DFB" w:rsidRDefault="005A0D0E" w:rsidP="005A0D0E">
      <w:pPr>
        <w:ind w:firstLine="709"/>
      </w:pPr>
      <w:r w:rsidRPr="00E33DFB">
        <w:t>O tratamento dos esgotos tem como finalidade remover a carga orgânica bruta, os sólidos em suspensão, matéria orgânica em termos de DBO, patógenos, nutrientes como nitrogênio e fósforo, além de alguns metais pesados, através do processo de tratamento preliminar, biológico/secundário, desinfecção e terciário.</w:t>
      </w:r>
    </w:p>
    <w:p w:rsidR="005A0D0E" w:rsidRPr="00E33DFB" w:rsidRDefault="005A0D0E" w:rsidP="005A0D0E">
      <w:pPr>
        <w:ind w:firstLine="709"/>
        <w:rPr>
          <w:lang w:eastAsia="pt-BR"/>
        </w:rPr>
      </w:pPr>
      <w:r w:rsidRPr="00E33DFB">
        <w:rPr>
          <w:lang w:eastAsia="pt-BR"/>
        </w:rPr>
        <w:t>Para escolher o melhor local para a instalação de uma ETE, alguns critérios devem ser levados em consideração. O primeiro deles é a análise da proximidade com a área urbana. Uma vez que este Plano tem um horizonte de vinte anos, é importante conhecer o vetor de crescimento urbano, para que se evite que a ETE seja implantada nas proximidades da zona de expansão do município. É importante fazer essa avaliação devido aos possíveis odores, ruídos, geração de tráfego e incômodos gerais que venham a ser causados nas áreas vizinhas ou próximas.</w:t>
      </w:r>
    </w:p>
    <w:p w:rsidR="005A0D0E" w:rsidRPr="00E33DFB" w:rsidRDefault="005A0D0E" w:rsidP="005A0D0E">
      <w:pPr>
        <w:ind w:firstLine="709"/>
      </w:pPr>
      <w:r w:rsidRPr="00E33DFB">
        <w:t>Outro ponto que deve ser considerado é a topografia local. Optando-se por um local de cotas mais baixas, a necessidade de implantação e manutenção de estações elevatórias são menores, uma vez que é possível que os esgotos coletados cheguem à ETE por gravidade.</w:t>
      </w:r>
    </w:p>
    <w:p w:rsidR="005A0D0E" w:rsidRPr="00E33DFB" w:rsidRDefault="005A0D0E" w:rsidP="005A0D0E">
      <w:pPr>
        <w:ind w:firstLine="709"/>
      </w:pPr>
      <w:r w:rsidRPr="00E33DFB">
        <w:t>Também é preciso considerar a proximidade da ETE com o corpo receptor, pois assim torna-se mais fácil o lançamento dos esgotos tratados. Além disso, o ponto de lançamento deve estar situado a jusante da malha urbana, evitando assim que o efluente, mesmo que tratado, passe por dentro da cidade.</w:t>
      </w:r>
    </w:p>
    <w:p w:rsidR="005A0D0E" w:rsidRPr="007B4A2B" w:rsidRDefault="005A0D0E" w:rsidP="005A0D0E">
      <w:pPr>
        <w:ind w:firstLine="708"/>
        <w:rPr>
          <w:noProof/>
          <w:lang w:eastAsia="pt-BR"/>
        </w:rPr>
      </w:pPr>
      <w:r w:rsidRPr="00E33DFB">
        <w:rPr>
          <w:noProof/>
          <w:lang w:eastAsia="pt-BR"/>
        </w:rPr>
        <w:t xml:space="preserve">A </w:t>
      </w:r>
      <w:r w:rsidRPr="00E33DFB">
        <w:rPr>
          <w:noProof/>
          <w:lang w:eastAsia="pt-BR"/>
        </w:rPr>
        <w:fldChar w:fldCharType="begin"/>
      </w:r>
      <w:r w:rsidRPr="00E33DFB">
        <w:rPr>
          <w:noProof/>
          <w:lang w:eastAsia="pt-BR"/>
        </w:rPr>
        <w:instrText xml:space="preserve"> REF _Ref484680737 \h  \* MERGEFORMAT </w:instrText>
      </w:r>
      <w:r w:rsidRPr="00E33DFB">
        <w:rPr>
          <w:noProof/>
          <w:lang w:eastAsia="pt-BR"/>
        </w:rPr>
      </w:r>
      <w:r w:rsidRPr="00E33DFB">
        <w:rPr>
          <w:noProof/>
          <w:lang w:eastAsia="pt-BR"/>
        </w:rPr>
        <w:fldChar w:fldCharType="separate"/>
      </w:r>
      <w:r w:rsidR="004D1D76" w:rsidRPr="00E33DFB">
        <w:t xml:space="preserve">Figura </w:t>
      </w:r>
      <w:r w:rsidR="004D1D76">
        <w:rPr>
          <w:noProof/>
        </w:rPr>
        <w:t>5</w:t>
      </w:r>
      <w:r w:rsidRPr="00E33DFB">
        <w:rPr>
          <w:noProof/>
          <w:lang w:eastAsia="pt-BR"/>
        </w:rPr>
        <w:fldChar w:fldCharType="end"/>
      </w:r>
      <w:r w:rsidRPr="00E33DFB">
        <w:rPr>
          <w:noProof/>
          <w:lang w:eastAsia="pt-BR"/>
        </w:rPr>
        <w:t xml:space="preserve"> apresenta o local proposto para a implantação da ETE na sede, como havia sido apresentado no diagnóstico, Produto 3. A escolha do lugar foi baseada nos </w:t>
      </w:r>
      <w:r w:rsidRPr="00E33DFB">
        <w:rPr>
          <w:noProof/>
          <w:lang w:eastAsia="pt-BR"/>
        </w:rPr>
        <w:lastRenderedPageBreak/>
        <w:t xml:space="preserve">fatores citados anteriormente, ou seja, na localização a jusante da área urbana, em fundo de vale, ao lado do corpo receptor e longe (ou não tão próximo) de áreas residenciais. O local encontra-se próximo à área urbana, não sendo necessário muitos investimentos em </w:t>
      </w:r>
      <w:r w:rsidRPr="007B4A2B">
        <w:rPr>
          <w:noProof/>
          <w:lang w:eastAsia="pt-BR"/>
        </w:rPr>
        <w:t>obras de interceptores.</w:t>
      </w:r>
    </w:p>
    <w:p w:rsidR="005A0D0E" w:rsidRPr="007B4A2B" w:rsidRDefault="005A0D0E" w:rsidP="005A0D0E">
      <w:pPr>
        <w:widowControl w:val="0"/>
        <w:autoSpaceDE w:val="0"/>
        <w:autoSpaceDN w:val="0"/>
        <w:adjustRightInd w:val="0"/>
        <w:spacing w:before="120" w:after="120"/>
        <w:ind w:firstLine="709"/>
        <w:contextualSpacing/>
        <w:rPr>
          <w:noProof/>
          <w:lang w:eastAsia="pt-BR"/>
        </w:rPr>
      </w:pPr>
      <w:r w:rsidRPr="007B4A2B">
        <w:rPr>
          <w:noProof/>
          <w:szCs w:val="24"/>
          <w:lang w:eastAsia="pt-BR"/>
        </w:rPr>
        <w:t xml:space="preserve">As coordenadas do ponto escolhido para a localização da futura ETE proposta em Córrego Novo são: </w:t>
      </w:r>
      <w:r w:rsidRPr="007B4A2B">
        <w:rPr>
          <w:noProof/>
          <w:szCs w:val="24"/>
        </w:rPr>
        <w:t xml:space="preserve">UTM 23K </w:t>
      </w:r>
      <w:r w:rsidRPr="007B4A2B">
        <w:rPr>
          <w:rFonts w:cs="Arial"/>
          <w:szCs w:val="24"/>
        </w:rPr>
        <w:t>770.993 m E; 7.805.403 m N</w:t>
      </w:r>
      <w:r w:rsidRPr="007B4A2B">
        <w:rPr>
          <w:noProof/>
          <w:szCs w:val="24"/>
        </w:rPr>
        <w:t xml:space="preserve">. </w:t>
      </w:r>
      <w:r w:rsidRPr="007B4A2B">
        <w:rPr>
          <w:noProof/>
          <w:lang w:eastAsia="pt-BR"/>
        </w:rPr>
        <w:t>Vale ressaltar que para o município, o corpo receptor é o córrego Novo</w:t>
      </w:r>
      <w:bookmarkStart w:id="145" w:name="_Toc482622517"/>
      <w:bookmarkStart w:id="146" w:name="_Toc433968962"/>
      <w:r w:rsidRPr="007B4A2B">
        <w:rPr>
          <w:noProof/>
          <w:lang w:eastAsia="pt-BR"/>
        </w:rPr>
        <w:t>.</w:t>
      </w:r>
    </w:p>
    <w:p w:rsidR="005A0D0E" w:rsidRPr="00E33DFB" w:rsidRDefault="005A0D0E" w:rsidP="005A0D0E">
      <w:pPr>
        <w:pStyle w:val="Legenda"/>
        <w:rPr>
          <w:noProof/>
          <w:lang w:val="pt-BR" w:eastAsia="pt-BR"/>
        </w:rPr>
      </w:pPr>
      <w:bookmarkStart w:id="147" w:name="_Ref484680737"/>
      <w:bookmarkStart w:id="148" w:name="_Toc497469101"/>
      <w:r w:rsidRPr="00E33DFB">
        <w:t xml:space="preserve">Figura </w:t>
      </w:r>
      <w:r w:rsidR="00D71C43">
        <w:fldChar w:fldCharType="begin"/>
      </w:r>
      <w:r w:rsidR="00D71C43">
        <w:instrText xml:space="preserve"> SEQ Figura \* ARABIC </w:instrText>
      </w:r>
      <w:r w:rsidR="00D71C43">
        <w:fldChar w:fldCharType="separate"/>
      </w:r>
      <w:r w:rsidR="004D1D76">
        <w:rPr>
          <w:noProof/>
        </w:rPr>
        <w:t>5</w:t>
      </w:r>
      <w:r w:rsidR="00D71C43">
        <w:rPr>
          <w:noProof/>
        </w:rPr>
        <w:fldChar w:fldCharType="end"/>
      </w:r>
      <w:bookmarkEnd w:id="147"/>
      <w:r w:rsidRPr="00E33DFB">
        <w:rPr>
          <w:lang w:val="pt-BR"/>
        </w:rPr>
        <w:t xml:space="preserve"> - Alternativa locacional da</w:t>
      </w:r>
      <w:r w:rsidRPr="00E33DFB">
        <w:t xml:space="preserve"> ETE para </w:t>
      </w:r>
      <w:bookmarkEnd w:id="145"/>
      <w:bookmarkEnd w:id="146"/>
      <w:r w:rsidRPr="00E33DFB">
        <w:rPr>
          <w:lang w:val="pt-BR"/>
        </w:rPr>
        <w:t xml:space="preserve"> município de Córrego Novo</w:t>
      </w:r>
      <w:bookmarkEnd w:id="148"/>
    </w:p>
    <w:p w:rsidR="005A0D0E" w:rsidRPr="00E33DFB" w:rsidRDefault="005A0D0E" w:rsidP="005A0D0E">
      <w:pPr>
        <w:pStyle w:val="figura"/>
      </w:pPr>
      <w:r w:rsidRPr="00E33DFB">
        <w:rPr>
          <w:noProof/>
        </w:rPr>
        <w:drawing>
          <wp:inline distT="0" distB="0" distL="0" distR="0" wp14:anchorId="5D988C48" wp14:editId="404A9DBE">
            <wp:extent cx="5400000" cy="4779831"/>
            <wp:effectExtent l="0" t="0" r="0" b="1905"/>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6" cstate="screen">
                      <a:extLst>
                        <a:ext uri="{28A0092B-C50C-407E-A947-70E740481C1C}">
                          <a14:useLocalDpi xmlns:a14="http://schemas.microsoft.com/office/drawing/2010/main"/>
                        </a:ext>
                      </a:extLst>
                    </a:blip>
                    <a:srcRect/>
                    <a:stretch/>
                  </pic:blipFill>
                  <pic:spPr bwMode="auto">
                    <a:xfrm>
                      <a:off x="0" y="0"/>
                      <a:ext cx="5400000" cy="4779831"/>
                    </a:xfrm>
                    <a:prstGeom prst="rect">
                      <a:avLst/>
                    </a:prstGeom>
                    <a:noFill/>
                    <a:ln>
                      <a:noFill/>
                    </a:ln>
                    <a:extLst>
                      <a:ext uri="{53640926-AAD7-44D8-BBD7-CCE9431645EC}">
                        <a14:shadowObscured xmlns:a14="http://schemas.microsoft.com/office/drawing/2010/main"/>
                      </a:ext>
                    </a:extLst>
                  </pic:spPr>
                </pic:pic>
              </a:graphicData>
            </a:graphic>
          </wp:inline>
        </w:drawing>
      </w:r>
    </w:p>
    <w:p w:rsidR="005A0D0E" w:rsidRPr="00E33DFB" w:rsidRDefault="005A0D0E" w:rsidP="005A0D0E">
      <w:pPr>
        <w:jc w:val="center"/>
        <w:rPr>
          <w:sz w:val="22"/>
          <w:lang w:eastAsia="pt-BR"/>
        </w:rPr>
      </w:pPr>
      <w:r w:rsidRPr="00E33DFB">
        <w:rPr>
          <w:sz w:val="22"/>
          <w:lang w:eastAsia="pt-BR"/>
        </w:rPr>
        <w:t xml:space="preserve">Fonte: </w:t>
      </w:r>
      <w:r w:rsidRPr="00E33DFB">
        <w:rPr>
          <w:i/>
          <w:sz w:val="22"/>
          <w:lang w:eastAsia="pt-BR"/>
        </w:rPr>
        <w:t>GoogleEarth</w:t>
      </w:r>
      <w:r w:rsidRPr="00E33DFB">
        <w:rPr>
          <w:sz w:val="22"/>
          <w:lang w:eastAsia="pt-BR"/>
        </w:rPr>
        <w:t>, 2017.</w:t>
      </w:r>
    </w:p>
    <w:p w:rsidR="00642595" w:rsidRPr="00657715" w:rsidRDefault="005A0D0E" w:rsidP="00642595">
      <w:pPr>
        <w:ind w:firstLine="709"/>
      </w:pPr>
      <w:r w:rsidRPr="00E33DFB">
        <w:rPr>
          <w:lang w:eastAsia="pt-BR"/>
        </w:rPr>
        <w:t xml:space="preserve">Essa alternativa de localização da ETE representa apenas uma proposta que leva em consideração alguns aspectos importantes. Mas, é fundamental ressaltar que são necessários estudos mais aprofundados para poder afirmar com maior precisão qual a melhor localização. Neste caso, é indispensável que sejam feitos Estudos de </w:t>
      </w:r>
      <w:r w:rsidRPr="00E33DFB">
        <w:rPr>
          <w:lang w:eastAsia="pt-BR"/>
        </w:rPr>
        <w:lastRenderedPageBreak/>
        <w:t xml:space="preserve">Viabilidade Ambiental como, por exemplo, o Estudo de Impacto Ambiental (EIA) ou o Relatório Ambiental Preliminar (RAP). Esses estudos serão capazes de analisar com maior profundidade os aspectos </w:t>
      </w:r>
      <w:r w:rsidRPr="00B2573A">
        <w:rPr>
          <w:lang w:eastAsia="pt-BR"/>
        </w:rPr>
        <w:t xml:space="preserve">já considerados e também de levantar outros aspectos que são necessários para avaliar qual a alternativa mais viável, tanto do ponto de vista ambiental, quanto social </w:t>
      </w:r>
      <w:r w:rsidR="00642595" w:rsidRPr="00B2573A">
        <w:rPr>
          <w:lang w:eastAsia="pt-BR"/>
        </w:rPr>
        <w:t xml:space="preserve">e </w:t>
      </w:r>
      <w:r w:rsidR="00B2573A" w:rsidRPr="00B2573A">
        <w:rPr>
          <w:lang w:eastAsia="pt-BR"/>
        </w:rPr>
        <w:t xml:space="preserve">de </w:t>
      </w:r>
      <w:r w:rsidR="00642595" w:rsidRPr="00B2573A">
        <w:rPr>
          <w:lang w:eastAsia="pt-BR"/>
        </w:rPr>
        <w:t xml:space="preserve">economia </w:t>
      </w:r>
      <w:r w:rsidR="00642595" w:rsidRPr="00657715">
        <w:rPr>
          <w:lang w:eastAsia="pt-BR"/>
        </w:rPr>
        <w:t>global</w:t>
      </w:r>
      <w:r w:rsidR="00B2573A" w:rsidRPr="00657715">
        <w:rPr>
          <w:lang w:eastAsia="pt-BR"/>
        </w:rPr>
        <w:t>,</w:t>
      </w:r>
      <w:r w:rsidR="00642595" w:rsidRPr="00657715">
        <w:rPr>
          <w:lang w:eastAsia="pt-BR"/>
        </w:rPr>
        <w:t xml:space="preserve"> </w:t>
      </w:r>
      <w:r w:rsidR="00642595" w:rsidRPr="00657715">
        <w:t>que leva em consideração os custos de construção, operação e manutenção.</w:t>
      </w:r>
      <w:r w:rsidR="00657715" w:rsidRPr="00657715">
        <w:t xml:space="preserve"> </w:t>
      </w:r>
      <w:r w:rsidR="00642595" w:rsidRPr="00657715">
        <w:t>Para o município em questão, foi projetada apenas uma ETE</w:t>
      </w:r>
      <w:r w:rsidR="00FF544E" w:rsidRPr="00657715">
        <w:t>,</w:t>
      </w:r>
      <w:r w:rsidR="00642595" w:rsidRPr="00657715">
        <w:t xml:space="preserve"> conforme</w:t>
      </w:r>
      <w:r w:rsidR="006A47F4" w:rsidRPr="00657715">
        <w:t xml:space="preserve"> já estudado</w:t>
      </w:r>
      <w:r w:rsidR="00FF544E" w:rsidRPr="00657715">
        <w:t xml:space="preserve"> </w:t>
      </w:r>
      <w:r w:rsidR="00642595" w:rsidRPr="00657715">
        <w:t>no</w:t>
      </w:r>
      <w:r w:rsidR="00FF544E" w:rsidRPr="00657715">
        <w:t xml:space="preserve"> </w:t>
      </w:r>
      <w:r w:rsidR="00642595" w:rsidRPr="00657715">
        <w:t>projeto básico.</w:t>
      </w:r>
    </w:p>
    <w:p w:rsidR="005A0D0E" w:rsidRPr="00E33DFB" w:rsidRDefault="005A0D0E" w:rsidP="005A0D0E">
      <w:pPr>
        <w:ind w:firstLine="709"/>
      </w:pPr>
      <w:r w:rsidRPr="00E33DFB">
        <w:rPr>
          <w:noProof/>
          <w:lang w:eastAsia="pt-BR"/>
        </w:rPr>
        <w:t xml:space="preserve">Para as localidades mais afastadas, como as áreas rurais (com populações menores que 1.000 habitantes), que no caso de Córrego Novo atualmente usam fossas sépticas ou enviam os esgotos </w:t>
      </w:r>
      <w:r w:rsidRPr="00E33DFB">
        <w:rPr>
          <w:i/>
          <w:noProof/>
          <w:lang w:eastAsia="pt-BR"/>
        </w:rPr>
        <w:t>in natura</w:t>
      </w:r>
      <w:r w:rsidRPr="00E33DFB">
        <w:rPr>
          <w:noProof/>
          <w:lang w:eastAsia="pt-BR"/>
        </w:rPr>
        <w:t xml:space="preserve"> para os corpos hídricos, </w:t>
      </w:r>
      <w:r w:rsidRPr="00E33DFB">
        <w:rPr>
          <w:lang w:eastAsia="pt-BR"/>
        </w:rPr>
        <w:t>pode-se optar por utilizar alternativas</w:t>
      </w:r>
      <w:r w:rsidRPr="00E33DFB">
        <w:t xml:space="preserve"> de tratamento de esgotos como as fossas sépticas, seguidas de filtro anaeróbio, e utilizando sumidouros como forma de disposição final. </w:t>
      </w:r>
    </w:p>
    <w:p w:rsidR="005A0D0E" w:rsidRPr="00E33DFB" w:rsidRDefault="005A0D0E" w:rsidP="005A0D0E">
      <w:pPr>
        <w:ind w:firstLine="709"/>
      </w:pPr>
      <w:r w:rsidRPr="00E33DFB">
        <w:rPr>
          <w:lang w:eastAsia="pt-BR"/>
        </w:rPr>
        <w:t>A fossa séptica é um dispositivo de tratamento dos esgotos destinado a receber contribuição de um ou mais domicílios e com capacidade de dar aos esgotos um grau de tratamento compatível com a sua simplicidade e custo (JORDÃO E PESSÔA, 2005). Apesar de ser uma forma de tratamento dos esgotos sanitários, a fossa séptica não é capaz de promover toda remoção necessária de DBO e de coliformes fecais termotolerantes necessária para que os esgotos possam ser lançados no corpo receptor</w:t>
      </w:r>
      <w:r w:rsidR="00BE48F8">
        <w:rPr>
          <w:lang w:eastAsia="pt-BR"/>
        </w:rPr>
        <w:t>, o</w:t>
      </w:r>
      <w:r w:rsidRPr="00E33DFB">
        <w:rPr>
          <w:lang w:eastAsia="pt-BR"/>
        </w:rPr>
        <w:t xml:space="preserve">u seja, o efluente da fossa séptica, tanto a fase líquida quanto a sólida (lodo), ainda precisa passar por outros processos de tratamento antes de ser lançado em um corpo hídrico. </w:t>
      </w:r>
      <w:r w:rsidRPr="00E33DFB">
        <w:t xml:space="preserve">Por isso, os sistemas de fossa séptica combinados com os filtros anaeróbios são uma alternativa para o tratamento dos esgotos sanitários. Os processos combinados elevam a remoção de DBO e de coliformes fecais termotolerantes presentes nos esgotos sanitários, sendo possível atingir os níveis elevados de eficiência de remoção que são requeridos pela legislação. </w:t>
      </w:r>
    </w:p>
    <w:p w:rsidR="005A0D0E" w:rsidRPr="00E33DFB" w:rsidRDefault="005A0D0E" w:rsidP="005A0D0E">
      <w:pPr>
        <w:ind w:firstLine="709"/>
      </w:pPr>
      <w:r w:rsidRPr="00E33DFB">
        <w:t xml:space="preserve">Usualmente, os filtros anaeróbios utilizam como meio filtrante britas ou pedaços de plásticos, como o especificado na ABNT NBR 13.969 (1997). As faixas de remoção de DBO ficam entre 40 e 75 %, como apresentado na NBR. Um esquema do sistema fossa-filtro pode ser visto na </w:t>
      </w:r>
      <w:r w:rsidRPr="00E33DFB">
        <w:fldChar w:fldCharType="begin"/>
      </w:r>
      <w:r w:rsidRPr="00E33DFB">
        <w:instrText xml:space="preserve"> REF _Ref484681229 \h </w:instrText>
      </w:r>
      <w:r w:rsidRPr="00E33DFB">
        <w:fldChar w:fldCharType="separate"/>
      </w:r>
      <w:r w:rsidR="004D1D76" w:rsidRPr="00E33DFB">
        <w:t xml:space="preserve">Figura </w:t>
      </w:r>
      <w:r w:rsidR="004D1D76">
        <w:rPr>
          <w:noProof/>
        </w:rPr>
        <w:t>6</w:t>
      </w:r>
      <w:r w:rsidRPr="00E33DFB">
        <w:fldChar w:fldCharType="end"/>
      </w:r>
      <w:r w:rsidRPr="00E33DFB">
        <w:t>, a seguir.</w:t>
      </w:r>
    </w:p>
    <w:p w:rsidR="005A0D0E" w:rsidRPr="00E33DFB" w:rsidRDefault="005A0D0E" w:rsidP="005A0D0E">
      <w:pPr>
        <w:pStyle w:val="Legenda"/>
      </w:pPr>
      <w:bookmarkStart w:id="149" w:name="_Ref484681229"/>
      <w:bookmarkStart w:id="150" w:name="_Toc497469102"/>
      <w:r w:rsidRPr="00E33DFB">
        <w:lastRenderedPageBreak/>
        <w:t xml:space="preserve">Figura </w:t>
      </w:r>
      <w:r w:rsidR="00D71C43">
        <w:fldChar w:fldCharType="begin"/>
      </w:r>
      <w:r w:rsidR="00D71C43">
        <w:instrText xml:space="preserve"> SEQ Figura \* ARABIC </w:instrText>
      </w:r>
      <w:r w:rsidR="00D71C43">
        <w:fldChar w:fldCharType="separate"/>
      </w:r>
      <w:r w:rsidR="004D1D76">
        <w:rPr>
          <w:noProof/>
        </w:rPr>
        <w:t>6</w:t>
      </w:r>
      <w:r w:rsidR="00D71C43">
        <w:rPr>
          <w:noProof/>
        </w:rPr>
        <w:fldChar w:fldCharType="end"/>
      </w:r>
      <w:bookmarkEnd w:id="149"/>
      <w:r w:rsidRPr="00E33DFB">
        <w:t xml:space="preserve"> - Esquema do sistema de fossas/tanques sépticos em conjunto com o filtro anaeróbio</w:t>
      </w:r>
      <w:bookmarkEnd w:id="150"/>
    </w:p>
    <w:p w:rsidR="005A0D0E" w:rsidRPr="00E33DFB" w:rsidRDefault="005A0D0E" w:rsidP="0081207B">
      <w:pPr>
        <w:pStyle w:val="figura"/>
      </w:pPr>
      <w:r w:rsidRPr="00E33DFB">
        <w:rPr>
          <w:noProof/>
        </w:rPr>
        <w:drawing>
          <wp:inline distT="0" distB="0" distL="0" distR="0" wp14:anchorId="099257F8" wp14:editId="4E4585AE">
            <wp:extent cx="5865962" cy="2468294"/>
            <wp:effectExtent l="0" t="0" r="1905" b="8255"/>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senho Fossa-Filtro.jpg"/>
                    <pic:cNvPicPr/>
                  </pic:nvPicPr>
                  <pic:blipFill>
                    <a:blip r:embed="rId27" cstate="screen">
                      <a:extLst>
                        <a:ext uri="{28A0092B-C50C-407E-A947-70E740481C1C}">
                          <a14:useLocalDpi xmlns:a14="http://schemas.microsoft.com/office/drawing/2010/main"/>
                        </a:ext>
                      </a:extLst>
                    </a:blip>
                    <a:stretch>
                      <a:fillRect/>
                    </a:stretch>
                  </pic:blipFill>
                  <pic:spPr>
                    <a:xfrm>
                      <a:off x="0" y="0"/>
                      <a:ext cx="5873190" cy="2471335"/>
                    </a:xfrm>
                    <a:prstGeom prst="rect">
                      <a:avLst/>
                    </a:prstGeom>
                  </pic:spPr>
                </pic:pic>
              </a:graphicData>
            </a:graphic>
          </wp:inline>
        </w:drawing>
      </w:r>
    </w:p>
    <w:p w:rsidR="005A0D0E" w:rsidRPr="00E33DFB" w:rsidRDefault="005A0D0E" w:rsidP="005A0D0E">
      <w:pPr>
        <w:pStyle w:val="Fonte"/>
      </w:pPr>
      <w:r w:rsidRPr="00E33DFB">
        <w:t>Fonte: SHS, 2017.</w:t>
      </w:r>
    </w:p>
    <w:p w:rsidR="005A0D0E" w:rsidRPr="00E33DFB" w:rsidRDefault="005A0D0E" w:rsidP="005A0D0E">
      <w:pPr>
        <w:ind w:firstLine="709"/>
      </w:pPr>
      <w:r w:rsidRPr="00E33DFB">
        <w:t xml:space="preserve">Após os esgotos passarem pelo filtro anaeróbio, a melhor destinação é um sumidouro, ou uma vala de infiltração, que atuam como disposição final do efluente, sem que seja necessária a construção de um emissário final. Na </w:t>
      </w:r>
      <w:r w:rsidRPr="00E33DFB">
        <w:fldChar w:fldCharType="begin"/>
      </w:r>
      <w:r w:rsidRPr="00E33DFB">
        <w:instrText xml:space="preserve"> REF _Ref484681282 \h  \* MERGEFORMAT </w:instrText>
      </w:r>
      <w:r w:rsidRPr="00E33DFB">
        <w:fldChar w:fldCharType="separate"/>
      </w:r>
      <w:r w:rsidR="004D1D76" w:rsidRPr="00E33DFB">
        <w:t xml:space="preserve">Figura </w:t>
      </w:r>
      <w:r w:rsidR="004D1D76">
        <w:rPr>
          <w:noProof/>
        </w:rPr>
        <w:t>7</w:t>
      </w:r>
      <w:r w:rsidRPr="00E33DFB">
        <w:fldChar w:fldCharType="end"/>
      </w:r>
      <w:r w:rsidRPr="00E33DFB">
        <w:t xml:space="preserve"> é apresentado um esquema de sumidouros.</w:t>
      </w:r>
    </w:p>
    <w:p w:rsidR="005A0D0E" w:rsidRPr="00E33DFB" w:rsidRDefault="005A0D0E" w:rsidP="005A0D0E">
      <w:pPr>
        <w:pStyle w:val="Legenda"/>
        <w:rPr>
          <w:lang w:val="pt-BR"/>
        </w:rPr>
      </w:pPr>
      <w:bookmarkStart w:id="151" w:name="_Ref484681282"/>
      <w:bookmarkStart w:id="152" w:name="_Toc497469103"/>
      <w:r w:rsidRPr="00E33DFB">
        <w:t xml:space="preserve">Figura </w:t>
      </w:r>
      <w:r w:rsidR="00D71C43">
        <w:fldChar w:fldCharType="begin"/>
      </w:r>
      <w:r w:rsidR="00D71C43">
        <w:instrText xml:space="preserve"> SEQ Figura \* ARABIC </w:instrText>
      </w:r>
      <w:r w:rsidR="00D71C43">
        <w:fldChar w:fldCharType="separate"/>
      </w:r>
      <w:r w:rsidR="004D1D76">
        <w:rPr>
          <w:noProof/>
        </w:rPr>
        <w:t>7</w:t>
      </w:r>
      <w:r w:rsidR="00D71C43">
        <w:rPr>
          <w:noProof/>
        </w:rPr>
        <w:fldChar w:fldCharType="end"/>
      </w:r>
      <w:bookmarkEnd w:id="151"/>
      <w:r w:rsidRPr="00E33DFB">
        <w:rPr>
          <w:lang w:val="pt-BR"/>
        </w:rPr>
        <w:t xml:space="preserve"> - Esquema de um sumidouro</w:t>
      </w:r>
      <w:bookmarkEnd w:id="152"/>
    </w:p>
    <w:p w:rsidR="005A0D0E" w:rsidRPr="00E33DFB" w:rsidRDefault="005A0D0E" w:rsidP="0081207B">
      <w:pPr>
        <w:pStyle w:val="figura"/>
        <w:rPr>
          <w:lang w:eastAsia="x-none"/>
        </w:rPr>
      </w:pPr>
      <w:r w:rsidRPr="00E33DFB">
        <w:rPr>
          <w:noProof/>
        </w:rPr>
        <w:drawing>
          <wp:inline distT="0" distB="0" distL="0" distR="0" wp14:anchorId="5C265414" wp14:editId="4574645F">
            <wp:extent cx="2234242" cy="2685642"/>
            <wp:effectExtent l="0" t="0" r="0" b="635"/>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senho Sumidouro.jpg"/>
                    <pic:cNvPicPr/>
                  </pic:nvPicPr>
                  <pic:blipFill>
                    <a:blip r:embed="rId28" cstate="screen">
                      <a:extLst>
                        <a:ext uri="{28A0092B-C50C-407E-A947-70E740481C1C}">
                          <a14:useLocalDpi xmlns:a14="http://schemas.microsoft.com/office/drawing/2010/main"/>
                        </a:ext>
                      </a:extLst>
                    </a:blip>
                    <a:stretch>
                      <a:fillRect/>
                    </a:stretch>
                  </pic:blipFill>
                  <pic:spPr>
                    <a:xfrm>
                      <a:off x="0" y="0"/>
                      <a:ext cx="2239877" cy="2692416"/>
                    </a:xfrm>
                    <a:prstGeom prst="rect">
                      <a:avLst/>
                    </a:prstGeom>
                  </pic:spPr>
                </pic:pic>
              </a:graphicData>
            </a:graphic>
          </wp:inline>
        </w:drawing>
      </w:r>
    </w:p>
    <w:p w:rsidR="005A0D0E" w:rsidRPr="00E33DFB" w:rsidRDefault="005A0D0E" w:rsidP="005A0D0E">
      <w:pPr>
        <w:pStyle w:val="Fonte"/>
      </w:pPr>
      <w:r w:rsidRPr="00E33DFB">
        <w:t>Fonte: SHS, 2017.</w:t>
      </w:r>
    </w:p>
    <w:p w:rsidR="005A0D0E" w:rsidRPr="00E33DFB" w:rsidRDefault="005A0D0E" w:rsidP="005A0D0E">
      <w:pPr>
        <w:ind w:firstLine="709"/>
      </w:pPr>
      <w:r w:rsidRPr="00E33DFB">
        <w:t>O lodo gerado nesse processo de tratamento pode ser disposto em leitos de secagem e depois encaminhado para um aterro sanitário, para que tenha a forma de destinação ambientalmente correta.</w:t>
      </w:r>
    </w:p>
    <w:p w:rsidR="006A47F4" w:rsidRPr="00FA5D6D" w:rsidRDefault="006A47F4" w:rsidP="002828C8">
      <w:pPr>
        <w:pStyle w:val="Ttulo3"/>
      </w:pPr>
      <w:bookmarkStart w:id="153" w:name="_Ref493781260"/>
      <w:bookmarkStart w:id="154" w:name="_Toc493781436"/>
      <w:bookmarkStart w:id="155" w:name="_Ref484679226"/>
      <w:bookmarkStart w:id="156" w:name="_Toc497468998"/>
      <w:bookmarkEnd w:id="142"/>
      <w:bookmarkEnd w:id="143"/>
      <w:r w:rsidRPr="00FA5D6D">
        <w:lastRenderedPageBreak/>
        <w:t>Metas de qualidade para os efluentes da ETE e para o corpo d</w:t>
      </w:r>
      <w:r w:rsidR="00FA5D6D" w:rsidRPr="00FA5D6D">
        <w:t>’</w:t>
      </w:r>
      <w:r w:rsidRPr="00FA5D6D">
        <w:t>água</w:t>
      </w:r>
      <w:bookmarkEnd w:id="153"/>
      <w:bookmarkEnd w:id="154"/>
      <w:bookmarkEnd w:id="156"/>
    </w:p>
    <w:p w:rsidR="006A47F4" w:rsidRPr="00FA5D6D" w:rsidRDefault="006A47F4" w:rsidP="006A47F4">
      <w:pPr>
        <w:widowControl w:val="0"/>
        <w:tabs>
          <w:tab w:val="left" w:pos="4395"/>
        </w:tabs>
        <w:autoSpaceDE w:val="0"/>
        <w:autoSpaceDN w:val="0"/>
        <w:adjustRightInd w:val="0"/>
        <w:spacing w:before="120" w:after="120"/>
        <w:ind w:firstLine="709"/>
        <w:contextualSpacing/>
      </w:pPr>
      <w:r w:rsidRPr="00FA5D6D">
        <w:t xml:space="preserve">A Resolução CONAMA n° 357/05 dispõe sobre a classificação dos corpos d’água e diretrizes ambientais para o seu enquadramento, além de estabelecer as condições e padrões de lançamento de efluentes. Esta resolução foi complementada pela Resolução CONAMA n° 430/11. </w:t>
      </w:r>
    </w:p>
    <w:p w:rsidR="006A47F4" w:rsidRPr="00FA5D6D" w:rsidRDefault="006A47F4" w:rsidP="006A47F4">
      <w:pPr>
        <w:pStyle w:val="PargrafodaLista"/>
        <w:numPr>
          <w:ilvl w:val="0"/>
          <w:numId w:val="71"/>
        </w:numPr>
        <w:rPr>
          <w:b/>
        </w:rPr>
      </w:pPr>
      <w:r w:rsidRPr="00FA5D6D">
        <w:rPr>
          <w:b/>
        </w:rPr>
        <w:t>Padrões de Emissão - Lançamento dos esgotos tratados</w:t>
      </w:r>
    </w:p>
    <w:p w:rsidR="006A47F4" w:rsidRPr="00FA5D6D" w:rsidRDefault="006A47F4" w:rsidP="006A47F4">
      <w:pPr>
        <w:widowControl w:val="0"/>
        <w:tabs>
          <w:tab w:val="left" w:pos="4395"/>
        </w:tabs>
        <w:autoSpaceDE w:val="0"/>
        <w:autoSpaceDN w:val="0"/>
        <w:adjustRightInd w:val="0"/>
        <w:spacing w:before="120" w:after="120"/>
        <w:ind w:firstLine="709"/>
        <w:contextualSpacing/>
        <w:rPr>
          <w:lang w:eastAsia="pt-BR"/>
        </w:rPr>
      </w:pPr>
      <w:r w:rsidRPr="00FA5D6D">
        <w:t xml:space="preserve">A qualidade dos esgotos tratados da ETE deverá ser suficiente para atender aos padrões de emissão estabelecidos no </w:t>
      </w:r>
      <w:r w:rsidR="00FA5D6D" w:rsidRPr="00FA5D6D">
        <w:t>a</w:t>
      </w:r>
      <w:r w:rsidRPr="00FA5D6D">
        <w:t>rtigo 21 da Resolução CONAMA n° 430/11, de forma que a re</w:t>
      </w:r>
      <w:r w:rsidRPr="00FA5D6D">
        <w:rPr>
          <w:lang w:eastAsia="pt-BR"/>
        </w:rPr>
        <w:t>moção de DBO</w:t>
      </w:r>
      <w:r w:rsidRPr="00FA5D6D">
        <w:rPr>
          <w:vertAlign w:val="subscript"/>
          <w:lang w:eastAsia="pt-BR"/>
        </w:rPr>
        <w:t>5dias</w:t>
      </w:r>
      <w:r w:rsidRPr="00FA5D6D">
        <w:rPr>
          <w:lang w:eastAsia="pt-BR"/>
        </w:rPr>
        <w:t xml:space="preserve"> seja maior ou igual a 60%.</w:t>
      </w:r>
    </w:p>
    <w:p w:rsidR="006A47F4" w:rsidRPr="00FA5D6D" w:rsidRDefault="006A47F4" w:rsidP="006A47F4">
      <w:pPr>
        <w:pStyle w:val="PargrafodaLista"/>
        <w:numPr>
          <w:ilvl w:val="0"/>
          <w:numId w:val="71"/>
        </w:numPr>
        <w:rPr>
          <w:szCs w:val="24"/>
        </w:rPr>
      </w:pPr>
      <w:r w:rsidRPr="00FA5D6D">
        <w:rPr>
          <w:b/>
        </w:rPr>
        <w:t>Padrões de Qualidade do corpo d</w:t>
      </w:r>
      <w:r w:rsidR="00FA5D6D" w:rsidRPr="00FA5D6D">
        <w:rPr>
          <w:b/>
        </w:rPr>
        <w:t>’</w:t>
      </w:r>
      <w:r w:rsidRPr="00FA5D6D">
        <w:rPr>
          <w:b/>
        </w:rPr>
        <w:t>água</w:t>
      </w:r>
    </w:p>
    <w:p w:rsidR="006A47F4" w:rsidRPr="00FA5D6D" w:rsidRDefault="006A47F4" w:rsidP="006A47F4">
      <w:pPr>
        <w:widowControl w:val="0"/>
        <w:tabs>
          <w:tab w:val="left" w:pos="4395"/>
        </w:tabs>
        <w:autoSpaceDE w:val="0"/>
        <w:autoSpaceDN w:val="0"/>
        <w:adjustRightInd w:val="0"/>
        <w:spacing w:before="120" w:after="120"/>
        <w:ind w:firstLine="709"/>
        <w:contextualSpacing/>
      </w:pPr>
      <w:r w:rsidRPr="00FA5D6D">
        <w:t xml:space="preserve">A vazão de referência do corpo receptor deverá ser calculada com base no que determina o </w:t>
      </w:r>
      <w:r w:rsidR="00FA5D6D" w:rsidRPr="00FA5D6D">
        <w:t>a</w:t>
      </w:r>
      <w:r w:rsidRPr="00FA5D6D">
        <w:t xml:space="preserve">rtigo 20 – inciso XXXVI da Resolução CONAMA n° 357/05.  Na ausência da vazão de referência, deverá ser utilizada a vazão mínima de </w:t>
      </w:r>
      <w:r w:rsidR="00FA5D6D" w:rsidRPr="00FA5D6D">
        <w:t>sete</w:t>
      </w:r>
      <w:r w:rsidRPr="00FA5D6D">
        <w:t xml:space="preserve"> dias consecutivos de período de recorrência 10 anos (Q</w:t>
      </w:r>
      <w:r w:rsidRPr="00FA5D6D">
        <w:rPr>
          <w:vertAlign w:val="subscript"/>
        </w:rPr>
        <w:t>7,10</w:t>
      </w:r>
      <w:r w:rsidRPr="00FA5D6D">
        <w:t>).</w:t>
      </w:r>
    </w:p>
    <w:bookmarkEnd w:id="155"/>
    <w:p w:rsidR="005A0D0E" w:rsidRPr="001315BD" w:rsidRDefault="006A47F4" w:rsidP="005A0D0E">
      <w:pPr>
        <w:widowControl w:val="0"/>
        <w:tabs>
          <w:tab w:val="left" w:pos="4395"/>
        </w:tabs>
        <w:autoSpaceDE w:val="0"/>
        <w:autoSpaceDN w:val="0"/>
        <w:adjustRightInd w:val="0"/>
        <w:spacing w:before="120" w:after="120"/>
        <w:ind w:firstLine="709"/>
        <w:contextualSpacing/>
      </w:pPr>
      <w:r w:rsidRPr="00FA5D6D">
        <w:t>U</w:t>
      </w:r>
      <w:r w:rsidR="005A0D0E" w:rsidRPr="00FA5D6D">
        <w:t xml:space="preserve">tilizou-se uma ferramenta desenvolvida na Universidade Federal de Viçosa, o Atlas Digital das Águas de Minas. No </w:t>
      </w:r>
      <w:r w:rsidR="005A0D0E" w:rsidRPr="001315BD">
        <w:t>Atlas, é possível realizar uma consulta simples, baseada em dados georreferenciados que apresentam informações como a área de drenagem na bacia (em km²) e os cálculos de vazões Q</w:t>
      </w:r>
      <w:r w:rsidR="005A0D0E" w:rsidRPr="001315BD">
        <w:rPr>
          <w:vertAlign w:val="subscript"/>
        </w:rPr>
        <w:t>7,10</w:t>
      </w:r>
      <w:r w:rsidR="005A0D0E" w:rsidRPr="001315BD">
        <w:t>, máximas, médias e mínimas (em m³/s) no ponto de lançamento do córrego Novo.</w:t>
      </w:r>
    </w:p>
    <w:p w:rsidR="005A0D0E" w:rsidRPr="001315BD" w:rsidRDefault="005A0D0E" w:rsidP="005A0D0E">
      <w:pPr>
        <w:widowControl w:val="0"/>
        <w:autoSpaceDE w:val="0"/>
        <w:autoSpaceDN w:val="0"/>
        <w:adjustRightInd w:val="0"/>
        <w:spacing w:before="120" w:after="120"/>
        <w:ind w:firstLine="709"/>
        <w:contextualSpacing/>
      </w:pPr>
      <w:r w:rsidRPr="001315BD">
        <w:t>A vazão a ser utilizada para o cálculo da diluição no corpo d’água é a Q</w:t>
      </w:r>
      <w:r w:rsidRPr="001315BD">
        <w:rPr>
          <w:vertAlign w:val="subscript"/>
        </w:rPr>
        <w:t>7,10</w:t>
      </w:r>
      <w:r w:rsidRPr="001315BD">
        <w:t xml:space="preserve">, que é definida como a </w:t>
      </w:r>
      <w:r w:rsidRPr="001315BD">
        <w:rPr>
          <w:szCs w:val="24"/>
        </w:rPr>
        <w:t xml:space="preserve">vazão mínima anual de sete dias consecutivos e com um período de retorno de 10 anos. </w:t>
      </w:r>
      <w:r w:rsidRPr="001315BD">
        <w:t>Assim, a partir do valor encontrado da Q</w:t>
      </w:r>
      <w:r w:rsidRPr="001315BD">
        <w:rPr>
          <w:vertAlign w:val="subscript"/>
        </w:rPr>
        <w:t>7,10</w:t>
      </w:r>
      <w:r w:rsidRPr="001315BD">
        <w:t xml:space="preserve"> pelo Atlas</w:t>
      </w:r>
      <w:r w:rsidRPr="001315BD">
        <w:rPr>
          <w:vertAlign w:val="subscript"/>
        </w:rPr>
        <w:t xml:space="preserve">, </w:t>
      </w:r>
      <w:r w:rsidRPr="001315BD">
        <w:t>pode-se verificar a capacidade de assimilação do corpo hídrico e determinar a concentração máxima em termos de DBO e coliformes a ser lançada. O valor da Q</w:t>
      </w:r>
      <w:r w:rsidRPr="001315BD">
        <w:rPr>
          <w:vertAlign w:val="subscript"/>
        </w:rPr>
        <w:t xml:space="preserve">7,10 </w:t>
      </w:r>
      <w:r w:rsidRPr="001315BD">
        <w:t xml:space="preserve">para Córrego Novo, assim como a área da bacia de contribuição, é apresentado na </w:t>
      </w:r>
      <w:r w:rsidRPr="001315BD">
        <w:fldChar w:fldCharType="begin"/>
      </w:r>
      <w:r w:rsidRPr="001315BD">
        <w:instrText xml:space="preserve"> REF _Ref484681471 \h </w:instrText>
      </w:r>
      <w:r w:rsidRPr="001315BD">
        <w:fldChar w:fldCharType="separate"/>
      </w:r>
      <w:r w:rsidR="004D1D76" w:rsidRPr="00DA6A87">
        <w:t xml:space="preserve">Figura </w:t>
      </w:r>
      <w:r w:rsidR="004D1D76">
        <w:rPr>
          <w:noProof/>
        </w:rPr>
        <w:t>8</w:t>
      </w:r>
      <w:r w:rsidRPr="001315BD">
        <w:fldChar w:fldCharType="end"/>
      </w:r>
      <w:r w:rsidRPr="001315BD">
        <w:t>.</w:t>
      </w:r>
    </w:p>
    <w:p w:rsidR="005A0D0E" w:rsidRPr="00DA6A87" w:rsidRDefault="005A0D0E" w:rsidP="005A0D0E">
      <w:pPr>
        <w:pStyle w:val="Legenda"/>
      </w:pPr>
      <w:bookmarkStart w:id="157" w:name="_Ref484681471"/>
      <w:bookmarkStart w:id="158" w:name="_Toc497469104"/>
      <w:r w:rsidRPr="00DA6A87">
        <w:lastRenderedPageBreak/>
        <w:t xml:space="preserve">Figura </w:t>
      </w:r>
      <w:r w:rsidR="00D71C43">
        <w:fldChar w:fldCharType="begin"/>
      </w:r>
      <w:r w:rsidR="00D71C43">
        <w:instrText xml:space="preserve"> SEQ Figura \* ARABIC </w:instrText>
      </w:r>
      <w:r w:rsidR="00D71C43">
        <w:fldChar w:fldCharType="separate"/>
      </w:r>
      <w:r w:rsidR="004D1D76">
        <w:rPr>
          <w:noProof/>
        </w:rPr>
        <w:t>8</w:t>
      </w:r>
      <w:r w:rsidR="00D71C43">
        <w:rPr>
          <w:noProof/>
        </w:rPr>
        <w:fldChar w:fldCharType="end"/>
      </w:r>
      <w:bookmarkEnd w:id="157"/>
      <w:r w:rsidRPr="00DA6A87">
        <w:t xml:space="preserve"> - Dados do Atlas Digital das Águas de Minas para o município de Córrego Novo</w:t>
      </w:r>
      <w:bookmarkEnd w:id="158"/>
    </w:p>
    <w:p w:rsidR="005A0D0E" w:rsidRDefault="005A0D0E" w:rsidP="0081207B">
      <w:pPr>
        <w:pStyle w:val="figura"/>
        <w:rPr>
          <w:noProof/>
        </w:rPr>
      </w:pPr>
      <w:r>
        <w:rPr>
          <w:noProof/>
        </w:rPr>
        <w:drawing>
          <wp:inline distT="0" distB="0" distL="0" distR="0" wp14:anchorId="39E55B10" wp14:editId="2EE34CEE">
            <wp:extent cx="5939790" cy="2781039"/>
            <wp:effectExtent l="19050" t="19050" r="22860" b="19685"/>
            <wp:docPr id="30" name="Imagem 30" descr="\\SHS-SRV1\Projetos\2016\IBIO\RELATÓRIOS INICIAIS\P4 - Prognóstico\Apoio\SES\Apoio\Vazão Q 7,10\Córrego Nov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HS-SRV1\Projetos\2016\IBIO\RELATÓRIOS INICIAIS\P4 - Prognóstico\Apoio\SES\Apoio\Vazão Q 7,10\Córrego Novo.png"/>
                    <pic:cNvPicPr>
                      <a:picLocks noChangeAspect="1" noChangeArrowheads="1"/>
                    </pic:cNvPicPr>
                  </pic:nvPicPr>
                  <pic:blipFill>
                    <a:blip r:embed="rId29" cstate="screen">
                      <a:extLst>
                        <a:ext uri="{28A0092B-C50C-407E-A947-70E740481C1C}">
                          <a14:useLocalDpi xmlns:a14="http://schemas.microsoft.com/office/drawing/2010/main"/>
                        </a:ext>
                      </a:extLst>
                    </a:blip>
                    <a:srcRect/>
                    <a:stretch>
                      <a:fillRect/>
                    </a:stretch>
                  </pic:blipFill>
                  <pic:spPr bwMode="auto">
                    <a:xfrm>
                      <a:off x="0" y="0"/>
                      <a:ext cx="5939790" cy="2781039"/>
                    </a:xfrm>
                    <a:prstGeom prst="rect">
                      <a:avLst/>
                    </a:prstGeom>
                    <a:noFill/>
                    <a:ln>
                      <a:solidFill>
                        <a:schemeClr val="tx1"/>
                      </a:solidFill>
                    </a:ln>
                  </pic:spPr>
                </pic:pic>
              </a:graphicData>
            </a:graphic>
          </wp:inline>
        </w:drawing>
      </w:r>
    </w:p>
    <w:p w:rsidR="005A0D0E" w:rsidRPr="00DA6A87" w:rsidRDefault="005A0D0E" w:rsidP="005A0D0E">
      <w:pPr>
        <w:pStyle w:val="Fonte"/>
      </w:pPr>
      <w:r w:rsidRPr="00DA6A87">
        <w:t>Fonte: Atlas Digital das Águas de Minas, 2017.</w:t>
      </w:r>
    </w:p>
    <w:p w:rsidR="005A0D0E" w:rsidRPr="00DA6A87" w:rsidRDefault="005A0D0E" w:rsidP="005A0D0E">
      <w:pPr>
        <w:widowControl w:val="0"/>
        <w:autoSpaceDE w:val="0"/>
        <w:autoSpaceDN w:val="0"/>
        <w:adjustRightInd w:val="0"/>
        <w:spacing w:before="120" w:after="120"/>
        <w:ind w:firstLine="709"/>
        <w:contextualSpacing/>
        <w:rPr>
          <w:rFonts w:cs="Arial"/>
          <w:szCs w:val="24"/>
        </w:rPr>
      </w:pPr>
      <w:r w:rsidRPr="00DA6A87">
        <w:rPr>
          <w:rFonts w:cs="Arial"/>
        </w:rPr>
        <w:t xml:space="preserve">O corpo receptor do município, o córrego Novo, é </w:t>
      </w:r>
      <w:r w:rsidRPr="00DA6A87">
        <w:rPr>
          <w:rFonts w:cs="Arial"/>
          <w:szCs w:val="24"/>
        </w:rPr>
        <w:t>enquadrado como classe 2</w:t>
      </w:r>
      <w:r w:rsidR="00BE48F8">
        <w:rPr>
          <w:rFonts w:cs="Arial"/>
          <w:szCs w:val="24"/>
        </w:rPr>
        <w:t>,</w:t>
      </w:r>
      <w:r w:rsidRPr="00DA6A87">
        <w:rPr>
          <w:rFonts w:cs="Arial"/>
          <w:szCs w:val="24"/>
        </w:rPr>
        <w:t xml:space="preserve"> de acordo com os dados do PARH Piranga. Sendo assim, os esgotos tratados nesses corpos hídricos devem estar de acordo com os parâmetros permitidos pela Resolução CONAMA nº 357/05, conforme já citado anteriormente.</w:t>
      </w:r>
    </w:p>
    <w:p w:rsidR="005A0D0E" w:rsidRPr="00DA6A87" w:rsidRDefault="005A0D0E" w:rsidP="005A0D0E">
      <w:pPr>
        <w:widowControl w:val="0"/>
        <w:tabs>
          <w:tab w:val="left" w:pos="4395"/>
        </w:tabs>
        <w:autoSpaceDE w:val="0"/>
        <w:autoSpaceDN w:val="0"/>
        <w:adjustRightInd w:val="0"/>
        <w:spacing w:before="120" w:after="120"/>
        <w:ind w:firstLine="709"/>
        <w:contextualSpacing/>
      </w:pPr>
      <w:r w:rsidRPr="00DA6A87">
        <w:rPr>
          <w:rFonts w:cs="Arial"/>
          <w:szCs w:val="24"/>
        </w:rPr>
        <w:t>De acordo com a Resolução CONAMA nº 357/05, em seu Art. 4º, rios de classe 2 são as águas que podem ser destinadas: a)</w:t>
      </w:r>
      <w:r w:rsidRPr="00DA6A87">
        <w:t xml:space="preserve"> ao abastecimento para consumo humano, após tratamento convencional; b) à proteção das comunidades aquáticas; c) à recreação de contato primário, tais como natação, esqui aquático e mergulho, conforme Resolução CONAMA nº 274, de 2000; d) à irrigação de hortaliças, plantas frutíferas e de parques, jardins, campos de esporte e lazer, com os quais o público possa vir a ter contato direto; e e) à aquicultura e à atividade de pesca. </w:t>
      </w:r>
    </w:p>
    <w:p w:rsidR="005A0D0E" w:rsidRPr="00DA6A87" w:rsidRDefault="005A0D0E" w:rsidP="005A0D0E">
      <w:pPr>
        <w:widowControl w:val="0"/>
        <w:tabs>
          <w:tab w:val="left" w:pos="4395"/>
        </w:tabs>
        <w:autoSpaceDE w:val="0"/>
        <w:autoSpaceDN w:val="0"/>
        <w:adjustRightInd w:val="0"/>
        <w:spacing w:before="120" w:after="120"/>
        <w:ind w:firstLine="709"/>
        <w:contextualSpacing/>
      </w:pPr>
      <w:r w:rsidRPr="00DA6A87">
        <w:t>De acordo com seu art. 15: “Aplicam-se às águas doces de classe 2 as condições e padrões da classe 1 previstos no artigo anterior, à exceção do seguinte:</w:t>
      </w:r>
    </w:p>
    <w:p w:rsidR="005A0D0E" w:rsidRPr="00BE48F8" w:rsidRDefault="005A0D0E" w:rsidP="005A0D0E">
      <w:pPr>
        <w:widowControl w:val="0"/>
        <w:tabs>
          <w:tab w:val="left" w:pos="4395"/>
        </w:tabs>
        <w:autoSpaceDE w:val="0"/>
        <w:autoSpaceDN w:val="0"/>
        <w:adjustRightInd w:val="0"/>
        <w:spacing w:before="120" w:after="120"/>
        <w:ind w:left="1276" w:firstLine="1"/>
        <w:contextualSpacing/>
        <w:rPr>
          <w:sz w:val="22"/>
        </w:rPr>
      </w:pPr>
      <w:r w:rsidRPr="00DA6A87">
        <w:rPr>
          <w:sz w:val="22"/>
        </w:rPr>
        <w:t xml:space="preserve">(...) II - coliformes termotolerantes: para uso de recreação de contato primário deverá ser obedecida a Resolução CONAMA nº 274, de 2000. Para os demais usos, não deverá ser excedido um limite de 1.000 coliformes termotolerantes por 100 mililitros em 80% ou mais de pelo menos seis amostras coletadas durante o </w:t>
      </w:r>
      <w:r w:rsidRPr="00BE48F8">
        <w:rPr>
          <w:sz w:val="22"/>
        </w:rPr>
        <w:t xml:space="preserve">período de um ano, com frequência bimestral. </w:t>
      </w:r>
    </w:p>
    <w:p w:rsidR="005A0D0E" w:rsidRPr="00BE48F8" w:rsidRDefault="005A0D0E" w:rsidP="005A0D0E">
      <w:pPr>
        <w:widowControl w:val="0"/>
        <w:tabs>
          <w:tab w:val="left" w:pos="4395"/>
        </w:tabs>
        <w:autoSpaceDE w:val="0"/>
        <w:autoSpaceDN w:val="0"/>
        <w:adjustRightInd w:val="0"/>
        <w:spacing w:before="120" w:after="120"/>
        <w:ind w:left="1276" w:firstLine="1"/>
        <w:contextualSpacing/>
        <w:rPr>
          <w:sz w:val="22"/>
        </w:rPr>
      </w:pPr>
      <w:r w:rsidRPr="00BE48F8">
        <w:rPr>
          <w:sz w:val="22"/>
        </w:rPr>
        <w:t>(...)</w:t>
      </w:r>
    </w:p>
    <w:p w:rsidR="005A0D0E" w:rsidRPr="00BE48F8" w:rsidRDefault="005A0D0E" w:rsidP="005A0D0E">
      <w:pPr>
        <w:widowControl w:val="0"/>
        <w:tabs>
          <w:tab w:val="left" w:pos="4395"/>
        </w:tabs>
        <w:autoSpaceDE w:val="0"/>
        <w:autoSpaceDN w:val="0"/>
        <w:adjustRightInd w:val="0"/>
        <w:spacing w:before="120" w:after="120"/>
        <w:ind w:left="1276" w:firstLine="1"/>
        <w:contextualSpacing/>
        <w:rPr>
          <w:sz w:val="22"/>
        </w:rPr>
      </w:pPr>
      <w:r w:rsidRPr="00BE48F8">
        <w:rPr>
          <w:sz w:val="22"/>
        </w:rPr>
        <w:lastRenderedPageBreak/>
        <w:t>V - DBO 5 dias a 20°C até 5 mg/L O</w:t>
      </w:r>
      <w:r w:rsidRPr="00BE48F8">
        <w:rPr>
          <w:sz w:val="22"/>
          <w:vertAlign w:val="subscript"/>
        </w:rPr>
        <w:t>2</w:t>
      </w:r>
      <w:r w:rsidRPr="00BE48F8">
        <w:rPr>
          <w:sz w:val="22"/>
        </w:rPr>
        <w:t>;(…)”.</w:t>
      </w:r>
    </w:p>
    <w:p w:rsidR="005A0D0E" w:rsidRPr="00917DFD" w:rsidRDefault="005A0D0E" w:rsidP="005A0D0E">
      <w:pPr>
        <w:widowControl w:val="0"/>
        <w:tabs>
          <w:tab w:val="left" w:pos="4395"/>
        </w:tabs>
        <w:autoSpaceDE w:val="0"/>
        <w:autoSpaceDN w:val="0"/>
        <w:adjustRightInd w:val="0"/>
        <w:spacing w:before="120" w:after="120"/>
        <w:ind w:firstLine="709"/>
        <w:contextualSpacing/>
      </w:pPr>
      <w:r w:rsidRPr="00BE48F8">
        <w:t xml:space="preserve">A Resolução DN COPAM n° 1, de 1 de maio de 2008 trata dos padrões de qualidade dos cursos hídricos e também dos padrões de lançamento no estado de Minas Gerais. Em seu </w:t>
      </w:r>
      <w:r w:rsidR="00BE48F8" w:rsidRPr="00BE48F8">
        <w:t>a</w:t>
      </w:r>
      <w:r w:rsidRPr="00BE48F8">
        <w:t xml:space="preserve">rt. 14, são apresentados os padrões de qualidade e no </w:t>
      </w:r>
      <w:r w:rsidR="00BE48F8" w:rsidRPr="00BE48F8">
        <w:t>a</w:t>
      </w:r>
      <w:r w:rsidRPr="00BE48F8">
        <w:t xml:space="preserve">rt. 29, as condições de lançamento de efluentes, </w:t>
      </w:r>
      <w:r w:rsidR="00BE48F8" w:rsidRPr="00BE48F8">
        <w:t xml:space="preserve">que </w:t>
      </w:r>
      <w:r w:rsidRPr="00BE48F8">
        <w:t xml:space="preserve">exigem que a ETE tenha eficiência de redução de DBO em no mínimo 60% e média anual igual ou superior a 70% para sistemas de esgotos </w:t>
      </w:r>
      <w:r w:rsidRPr="00917DFD">
        <w:t>sanitários.</w:t>
      </w:r>
    </w:p>
    <w:p w:rsidR="006A47F4" w:rsidRPr="00917DFD" w:rsidRDefault="006A47F4" w:rsidP="006A47F4">
      <w:pPr>
        <w:pStyle w:val="PargrafodaLista"/>
        <w:widowControl w:val="0"/>
        <w:numPr>
          <w:ilvl w:val="0"/>
          <w:numId w:val="71"/>
        </w:numPr>
        <w:autoSpaceDE w:val="0"/>
        <w:autoSpaceDN w:val="0"/>
        <w:adjustRightInd w:val="0"/>
        <w:spacing w:before="76" w:line="240" w:lineRule="auto"/>
        <w:ind w:right="-1"/>
        <w:rPr>
          <w:szCs w:val="24"/>
        </w:rPr>
      </w:pPr>
      <w:r w:rsidRPr="00917DFD">
        <w:rPr>
          <w:b/>
          <w:bCs/>
          <w:i/>
          <w:iCs/>
          <w:szCs w:val="24"/>
        </w:rPr>
        <w:t xml:space="preserve">Cálculos - Padrões </w:t>
      </w:r>
      <w:r w:rsidRPr="00917DFD">
        <w:rPr>
          <w:b/>
          <w:bCs/>
          <w:i/>
          <w:iCs/>
          <w:spacing w:val="1"/>
          <w:szCs w:val="24"/>
        </w:rPr>
        <w:t>d</w:t>
      </w:r>
      <w:r w:rsidRPr="00917DFD">
        <w:rPr>
          <w:b/>
          <w:bCs/>
          <w:i/>
          <w:iCs/>
          <w:szCs w:val="24"/>
        </w:rPr>
        <w:t>e qualidade do corpo d</w:t>
      </w:r>
      <w:r w:rsidR="00917DFD" w:rsidRPr="00917DFD">
        <w:rPr>
          <w:b/>
          <w:bCs/>
          <w:i/>
          <w:iCs/>
          <w:szCs w:val="24"/>
        </w:rPr>
        <w:t>’</w:t>
      </w:r>
      <w:r w:rsidRPr="00917DFD">
        <w:rPr>
          <w:b/>
          <w:bCs/>
          <w:i/>
          <w:iCs/>
          <w:szCs w:val="24"/>
        </w:rPr>
        <w:t xml:space="preserve">água, padrões de lançamento do esgoto tratado e eficiência demandada da ETE </w:t>
      </w:r>
    </w:p>
    <w:p w:rsidR="009A4342" w:rsidRDefault="009A4342" w:rsidP="006A47F4">
      <w:pPr>
        <w:widowControl w:val="0"/>
        <w:tabs>
          <w:tab w:val="left" w:pos="4395"/>
        </w:tabs>
        <w:autoSpaceDE w:val="0"/>
        <w:autoSpaceDN w:val="0"/>
        <w:adjustRightInd w:val="0"/>
        <w:spacing w:before="120" w:after="120"/>
        <w:ind w:firstLine="709"/>
        <w:contextualSpacing/>
        <w:rPr>
          <w:rFonts w:cs="Arial"/>
          <w:szCs w:val="24"/>
        </w:rPr>
      </w:pPr>
    </w:p>
    <w:p w:rsidR="006A47F4" w:rsidRPr="00917DFD" w:rsidRDefault="006A47F4" w:rsidP="006A47F4">
      <w:pPr>
        <w:widowControl w:val="0"/>
        <w:tabs>
          <w:tab w:val="left" w:pos="4395"/>
        </w:tabs>
        <w:autoSpaceDE w:val="0"/>
        <w:autoSpaceDN w:val="0"/>
        <w:adjustRightInd w:val="0"/>
        <w:spacing w:before="120" w:after="120"/>
        <w:ind w:firstLine="709"/>
        <w:contextualSpacing/>
      </w:pPr>
      <w:r w:rsidRPr="00917DFD">
        <w:rPr>
          <w:rFonts w:cs="Arial"/>
          <w:szCs w:val="24"/>
        </w:rPr>
        <w:t xml:space="preserve">A partir das projeções apresentadas no item </w:t>
      </w:r>
      <w:r w:rsidRPr="00917DFD">
        <w:rPr>
          <w:rFonts w:cs="Arial"/>
          <w:szCs w:val="24"/>
        </w:rPr>
        <w:fldChar w:fldCharType="begin"/>
      </w:r>
      <w:r w:rsidRPr="00917DFD">
        <w:rPr>
          <w:rFonts w:cs="Arial"/>
          <w:szCs w:val="24"/>
        </w:rPr>
        <w:instrText xml:space="preserve"> REF _Ref484439441 \r \h </w:instrText>
      </w:r>
      <w:r w:rsidRPr="00917DFD">
        <w:rPr>
          <w:rFonts w:cs="Arial"/>
          <w:szCs w:val="24"/>
        </w:rPr>
      </w:r>
      <w:r w:rsidRPr="00917DFD">
        <w:rPr>
          <w:rFonts w:cs="Arial"/>
          <w:szCs w:val="24"/>
        </w:rPr>
        <w:fldChar w:fldCharType="separate"/>
      </w:r>
      <w:r w:rsidR="004D1D76">
        <w:rPr>
          <w:rFonts w:cs="Arial"/>
          <w:szCs w:val="24"/>
        </w:rPr>
        <w:t>2.2.1</w:t>
      </w:r>
      <w:r w:rsidRPr="00917DFD">
        <w:rPr>
          <w:rFonts w:cs="Arial"/>
          <w:szCs w:val="24"/>
        </w:rPr>
        <w:fldChar w:fldCharType="end"/>
      </w:r>
      <w:r w:rsidRPr="00917DFD">
        <w:rPr>
          <w:rFonts w:cs="Arial"/>
          <w:szCs w:val="24"/>
        </w:rPr>
        <w:t xml:space="preserve">, é possível estimar </w:t>
      </w:r>
      <w:r w:rsidRPr="00917DFD">
        <w:t>a eficiência de remoção da carga orgânica e dos coliformes fecais termotolerantes.</w:t>
      </w:r>
    </w:p>
    <w:p w:rsidR="005A0D0E" w:rsidRPr="00917DFD" w:rsidRDefault="005A0D0E" w:rsidP="005A0D0E">
      <w:pPr>
        <w:widowControl w:val="0"/>
        <w:tabs>
          <w:tab w:val="left" w:pos="4395"/>
        </w:tabs>
        <w:autoSpaceDE w:val="0"/>
        <w:autoSpaceDN w:val="0"/>
        <w:adjustRightInd w:val="0"/>
        <w:spacing w:before="120" w:after="120"/>
        <w:ind w:firstLine="709"/>
        <w:contextualSpacing/>
      </w:pPr>
      <w:r w:rsidRPr="00917DFD">
        <w:t xml:space="preserve">Para simular a concentração final de DBO, ou seja, a DBO de saída da ETE, adota-se a DBO inicial </w:t>
      </w:r>
      <w:r w:rsidRPr="00522CC3">
        <w:t>de 1</w:t>
      </w:r>
      <w:r w:rsidR="004103DC" w:rsidRPr="00522CC3">
        <w:t>8</w:t>
      </w:r>
      <w:r w:rsidR="00037909" w:rsidRPr="00522CC3">
        <w:t>3,85</w:t>
      </w:r>
      <w:r w:rsidRPr="00522CC3">
        <w:t> mg/L, sendo este o maior valor de concentração calculado ao longo do projeto (para o ano de 2038), e que já havia sido apresentado no</w:t>
      </w:r>
      <w:r w:rsidR="007B4A2B" w:rsidRPr="00522CC3">
        <w:t xml:space="preserve"> </w:t>
      </w:r>
      <w:r w:rsidR="007B4A2B" w:rsidRPr="00522CC3">
        <w:fldChar w:fldCharType="begin"/>
      </w:r>
      <w:r w:rsidR="007B4A2B" w:rsidRPr="00522CC3">
        <w:instrText xml:space="preserve"> REF _Ref485737329 \h </w:instrText>
      </w:r>
      <w:r w:rsidR="00917DFD" w:rsidRPr="00522CC3">
        <w:instrText xml:space="preserve"> \* MERGEFORMAT </w:instrText>
      </w:r>
      <w:r w:rsidR="007B4A2B" w:rsidRPr="00522CC3">
        <w:fldChar w:fldCharType="separate"/>
      </w:r>
      <w:r w:rsidR="004D1D76" w:rsidRPr="00DA6A87">
        <w:t xml:space="preserve">Quadro </w:t>
      </w:r>
      <w:r w:rsidR="004D1D76">
        <w:rPr>
          <w:noProof/>
        </w:rPr>
        <w:t>17</w:t>
      </w:r>
      <w:r w:rsidR="007B4A2B" w:rsidRPr="00522CC3">
        <w:fldChar w:fldCharType="end"/>
      </w:r>
      <w:r w:rsidRPr="00522CC3">
        <w:t>, e uma eficiência de redução de DBO de 70%, conforme</w:t>
      </w:r>
      <w:r w:rsidRPr="00917DFD">
        <w:t xml:space="preserve"> a legislação estadual citada anteriormente. Sendo assim, tem-se a </w:t>
      </w:r>
      <w:r w:rsidRPr="00917DFD">
        <w:fldChar w:fldCharType="begin"/>
      </w:r>
      <w:r w:rsidRPr="00917DFD">
        <w:instrText xml:space="preserve"> REF _Ref486336652 \h </w:instrText>
      </w:r>
      <w:r w:rsidRPr="00917DFD">
        <w:fldChar w:fldCharType="separate"/>
      </w:r>
      <w:r w:rsidR="004D1D76" w:rsidRPr="007B4A2B">
        <w:t xml:space="preserve">Equação </w:t>
      </w:r>
      <w:r w:rsidR="004D1D76">
        <w:rPr>
          <w:noProof/>
        </w:rPr>
        <w:t>20</w:t>
      </w:r>
      <w:r w:rsidRPr="00917DFD">
        <w:fldChar w:fldCharType="end"/>
      </w:r>
      <w:r w:rsidRPr="00917DFD">
        <w:t>:</w:t>
      </w:r>
    </w:p>
    <w:tbl>
      <w:tblPr>
        <w:tblStyle w:val="Tabelacomgrad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65"/>
      </w:tblGrid>
      <w:tr w:rsidR="005A0D0E" w:rsidRPr="007B4A2B" w:rsidTr="00B94A15">
        <w:trPr>
          <w:jc w:val="center"/>
        </w:trPr>
        <w:tc>
          <w:tcPr>
            <w:tcW w:w="0" w:type="auto"/>
          </w:tcPr>
          <w:p w:rsidR="005A0D0E" w:rsidRPr="007B4A2B" w:rsidRDefault="005A0D0E" w:rsidP="00B94A15">
            <w:pPr>
              <w:widowControl w:val="0"/>
              <w:tabs>
                <w:tab w:val="left" w:pos="4395"/>
              </w:tabs>
              <w:autoSpaceDE w:val="0"/>
              <w:autoSpaceDN w:val="0"/>
              <w:adjustRightInd w:val="0"/>
              <w:spacing w:before="120" w:after="120"/>
              <w:contextualSpacing/>
            </w:pPr>
            <m:oMathPara>
              <m:oMath>
                <m:r>
                  <w:rPr>
                    <w:rFonts w:ascii="Cambria Math" w:hAnsi="Cambria Math"/>
                    <w:szCs w:val="24"/>
                  </w:rPr>
                  <m:t>E=</m:t>
                </m:r>
                <m:f>
                  <m:fPr>
                    <m:ctrlPr>
                      <w:rPr>
                        <w:rFonts w:ascii="Cambria Math" w:hAnsi="Cambria Math"/>
                        <w:i/>
                        <w:szCs w:val="24"/>
                      </w:rPr>
                    </m:ctrlPr>
                  </m:fPr>
                  <m:num>
                    <m:sSub>
                      <m:sSubPr>
                        <m:ctrlPr>
                          <w:rPr>
                            <w:rFonts w:ascii="Cambria Math" w:hAnsi="Cambria Math"/>
                            <w:i/>
                            <w:szCs w:val="24"/>
                          </w:rPr>
                        </m:ctrlPr>
                      </m:sSubPr>
                      <m:e>
                        <m:r>
                          <w:rPr>
                            <w:rFonts w:ascii="Cambria Math" w:hAnsi="Cambria Math"/>
                            <w:szCs w:val="24"/>
                          </w:rPr>
                          <m:t>C</m:t>
                        </m:r>
                      </m:e>
                      <m:sub>
                        <m:r>
                          <w:rPr>
                            <w:rFonts w:ascii="Cambria Math" w:hAnsi="Cambria Math"/>
                            <w:szCs w:val="24"/>
                          </w:rPr>
                          <m:t>ETEentrada</m:t>
                        </m:r>
                      </m:sub>
                    </m:sSub>
                    <m:r>
                      <w:rPr>
                        <w:rFonts w:ascii="Cambria Math" w:hAnsi="Cambria Math"/>
                        <w:szCs w:val="24"/>
                      </w:rPr>
                      <m:t>-</m:t>
                    </m:r>
                    <m:sSub>
                      <m:sSubPr>
                        <m:ctrlPr>
                          <w:rPr>
                            <w:rFonts w:ascii="Cambria Math" w:hAnsi="Cambria Math"/>
                            <w:i/>
                            <w:szCs w:val="24"/>
                          </w:rPr>
                        </m:ctrlPr>
                      </m:sSubPr>
                      <m:e>
                        <m:r>
                          <w:rPr>
                            <w:rFonts w:ascii="Cambria Math" w:hAnsi="Cambria Math"/>
                            <w:szCs w:val="24"/>
                          </w:rPr>
                          <m:t>C</m:t>
                        </m:r>
                      </m:e>
                      <m:sub>
                        <m:r>
                          <w:rPr>
                            <w:rFonts w:ascii="Cambria Math" w:hAnsi="Cambria Math"/>
                            <w:szCs w:val="24"/>
                          </w:rPr>
                          <m:t>ETEsaída</m:t>
                        </m:r>
                      </m:sub>
                    </m:sSub>
                  </m:num>
                  <m:den>
                    <m:sSub>
                      <m:sSubPr>
                        <m:ctrlPr>
                          <w:rPr>
                            <w:rFonts w:ascii="Cambria Math" w:hAnsi="Cambria Math"/>
                            <w:i/>
                            <w:szCs w:val="24"/>
                          </w:rPr>
                        </m:ctrlPr>
                      </m:sSubPr>
                      <m:e>
                        <m:r>
                          <w:rPr>
                            <w:rFonts w:ascii="Cambria Math" w:hAnsi="Cambria Math"/>
                            <w:szCs w:val="24"/>
                          </w:rPr>
                          <m:t>C</m:t>
                        </m:r>
                      </m:e>
                      <m:sub>
                        <m:r>
                          <w:rPr>
                            <w:rFonts w:ascii="Cambria Math" w:hAnsi="Cambria Math"/>
                            <w:szCs w:val="24"/>
                          </w:rPr>
                          <m:t>ETEentrada</m:t>
                        </m:r>
                      </m:sub>
                    </m:sSub>
                  </m:den>
                </m:f>
                <m:r>
                  <w:rPr>
                    <w:rFonts w:ascii="Cambria Math" w:hAnsi="Cambria Math"/>
                    <w:szCs w:val="24"/>
                  </w:rPr>
                  <m:t>*100</m:t>
                </m:r>
              </m:oMath>
            </m:oMathPara>
          </w:p>
        </w:tc>
      </w:tr>
      <w:tr w:rsidR="005A0D0E" w:rsidRPr="007B4A2B" w:rsidTr="00B94A15">
        <w:trPr>
          <w:jc w:val="center"/>
        </w:trPr>
        <w:tc>
          <w:tcPr>
            <w:tcW w:w="0" w:type="auto"/>
          </w:tcPr>
          <w:p w:rsidR="005A0D0E" w:rsidRPr="007B4A2B" w:rsidRDefault="005A0D0E" w:rsidP="00B94A15">
            <w:pPr>
              <w:pStyle w:val="Legenda"/>
              <w:rPr>
                <w:lang w:val="pt-BR"/>
              </w:rPr>
            </w:pPr>
            <w:bookmarkStart w:id="159" w:name="_Ref486336652"/>
            <w:r w:rsidRPr="007B4A2B">
              <w:t xml:space="preserve">Equação </w:t>
            </w:r>
            <w:r w:rsidR="00D71C43">
              <w:fldChar w:fldCharType="begin"/>
            </w:r>
            <w:r w:rsidR="00D71C43">
              <w:instrText xml:space="preserve"> SEQ Equação \* ARABIC </w:instrText>
            </w:r>
            <w:r w:rsidR="00D71C43">
              <w:fldChar w:fldCharType="separate"/>
            </w:r>
            <w:r w:rsidR="004D1D76">
              <w:rPr>
                <w:noProof/>
              </w:rPr>
              <w:t>20</w:t>
            </w:r>
            <w:r w:rsidR="00D71C43">
              <w:rPr>
                <w:noProof/>
              </w:rPr>
              <w:fldChar w:fldCharType="end"/>
            </w:r>
            <w:bookmarkEnd w:id="159"/>
          </w:p>
        </w:tc>
      </w:tr>
    </w:tbl>
    <w:p w:rsidR="005A0D0E" w:rsidRPr="00DA6A87" w:rsidRDefault="005A0D0E" w:rsidP="005A0D0E">
      <w:pPr>
        <w:ind w:firstLine="708"/>
        <w:contextualSpacing/>
        <w:rPr>
          <w:rFonts w:cs="Arial"/>
        </w:rPr>
      </w:pPr>
      <w:r w:rsidRPr="00DA6A87">
        <w:rPr>
          <w:rFonts w:cs="Arial"/>
        </w:rPr>
        <w:t>Em que:</w:t>
      </w:r>
      <w:r w:rsidRPr="00DA6A87">
        <w:rPr>
          <w:rFonts w:cs="Arial"/>
        </w:rPr>
        <w:tab/>
        <w:t>E = eficiência de remoção (%);</w:t>
      </w:r>
    </w:p>
    <w:p w:rsidR="005A0D0E" w:rsidRPr="00DA6A87" w:rsidRDefault="005A0D0E" w:rsidP="005A0D0E">
      <w:pPr>
        <w:widowControl w:val="0"/>
        <w:tabs>
          <w:tab w:val="left" w:pos="0"/>
        </w:tabs>
        <w:autoSpaceDE w:val="0"/>
        <w:autoSpaceDN w:val="0"/>
        <w:adjustRightInd w:val="0"/>
        <w:spacing w:before="120" w:after="120"/>
        <w:ind w:firstLine="709"/>
        <w:contextualSpacing/>
        <w:rPr>
          <w:rFonts w:eastAsiaTheme="minorEastAsia"/>
          <w:szCs w:val="24"/>
        </w:rPr>
      </w:pPr>
      <w:r w:rsidRPr="00DA6A87">
        <w:rPr>
          <w:rFonts w:eastAsiaTheme="minorEastAsia"/>
          <w:szCs w:val="24"/>
        </w:rPr>
        <w:tab/>
      </w:r>
      <w:r w:rsidRPr="00DA6A87">
        <w:rPr>
          <w:rFonts w:eastAsiaTheme="minorEastAsia"/>
          <w:szCs w:val="24"/>
        </w:rPr>
        <w:tab/>
        <w:t>C</w:t>
      </w:r>
      <w:r w:rsidRPr="00DA6A87">
        <w:rPr>
          <w:rFonts w:eastAsiaTheme="minorEastAsia"/>
          <w:szCs w:val="24"/>
          <w:vertAlign w:val="subscript"/>
        </w:rPr>
        <w:t xml:space="preserve">ETEentrada </w:t>
      </w:r>
      <w:r w:rsidRPr="00DA6A87">
        <w:rPr>
          <w:rFonts w:eastAsiaTheme="minorEastAsia"/>
          <w:szCs w:val="24"/>
        </w:rPr>
        <w:t>= concentração inicial de DBO (entrada da ETE) (mg/L);</w:t>
      </w:r>
    </w:p>
    <w:p w:rsidR="005A0D0E" w:rsidRPr="00DA6A87" w:rsidRDefault="005A0D0E" w:rsidP="005A0D0E">
      <w:pPr>
        <w:widowControl w:val="0"/>
        <w:tabs>
          <w:tab w:val="left" w:pos="0"/>
        </w:tabs>
        <w:autoSpaceDE w:val="0"/>
        <w:autoSpaceDN w:val="0"/>
        <w:adjustRightInd w:val="0"/>
        <w:spacing w:before="120" w:after="120"/>
        <w:ind w:firstLine="709"/>
        <w:contextualSpacing/>
        <w:rPr>
          <w:rFonts w:eastAsiaTheme="minorEastAsia"/>
          <w:szCs w:val="24"/>
        </w:rPr>
      </w:pPr>
      <w:r w:rsidRPr="00DA6A87">
        <w:rPr>
          <w:rFonts w:eastAsiaTheme="minorEastAsia"/>
          <w:szCs w:val="24"/>
        </w:rPr>
        <w:tab/>
      </w:r>
      <w:r w:rsidRPr="00DA6A87">
        <w:rPr>
          <w:rFonts w:eastAsiaTheme="minorEastAsia"/>
          <w:szCs w:val="24"/>
        </w:rPr>
        <w:tab/>
        <w:t>C</w:t>
      </w:r>
      <w:r w:rsidRPr="00DA6A87">
        <w:rPr>
          <w:rFonts w:eastAsiaTheme="minorEastAsia"/>
          <w:szCs w:val="24"/>
          <w:vertAlign w:val="subscript"/>
        </w:rPr>
        <w:t xml:space="preserve">ETEsaída </w:t>
      </w:r>
      <w:r w:rsidRPr="00DA6A87">
        <w:rPr>
          <w:rFonts w:eastAsiaTheme="minorEastAsia"/>
          <w:szCs w:val="24"/>
        </w:rPr>
        <w:t>= concentração final de DBO (saída da ETE) (mg/L).</w:t>
      </w:r>
    </w:p>
    <w:p w:rsidR="005A0D0E" w:rsidRPr="00DA6A87" w:rsidRDefault="005A0D0E" w:rsidP="005A0D0E">
      <w:pPr>
        <w:widowControl w:val="0"/>
        <w:tabs>
          <w:tab w:val="left" w:pos="4395"/>
        </w:tabs>
        <w:autoSpaceDE w:val="0"/>
        <w:autoSpaceDN w:val="0"/>
        <w:adjustRightInd w:val="0"/>
        <w:spacing w:before="120" w:after="120"/>
        <w:ind w:firstLine="709"/>
        <w:contextualSpacing/>
        <w:rPr>
          <w:rFonts w:eastAsiaTheme="minorEastAsia"/>
          <w:szCs w:val="24"/>
        </w:rPr>
      </w:pPr>
      <w:r w:rsidRPr="00DA6A87">
        <w:rPr>
          <w:rFonts w:eastAsiaTheme="minorEastAsia"/>
          <w:szCs w:val="24"/>
        </w:rPr>
        <w:t>Assim, para Córrego Novo, tem</w:t>
      </w:r>
      <w:r w:rsidR="007B4A2B">
        <w:rPr>
          <w:rFonts w:eastAsiaTheme="minorEastAsia"/>
          <w:szCs w:val="24"/>
        </w:rPr>
        <w:t>-se</w:t>
      </w:r>
      <w:r w:rsidRPr="00DA6A87">
        <w:rPr>
          <w:rFonts w:eastAsiaTheme="minorEastAsia"/>
          <w:szCs w:val="24"/>
        </w:rPr>
        <w:t>:</w:t>
      </w:r>
    </w:p>
    <w:p w:rsidR="005A0D0E" w:rsidRPr="00DA6A87" w:rsidRDefault="004D1D76" w:rsidP="005A0D0E">
      <w:pPr>
        <w:widowControl w:val="0"/>
        <w:tabs>
          <w:tab w:val="left" w:pos="4395"/>
        </w:tabs>
        <w:autoSpaceDE w:val="0"/>
        <w:autoSpaceDN w:val="0"/>
        <w:adjustRightInd w:val="0"/>
        <w:spacing w:before="120" w:after="120"/>
        <w:ind w:firstLine="709"/>
        <w:contextualSpacing/>
        <w:rPr>
          <w:rFonts w:eastAsiaTheme="minorEastAsia"/>
          <w:szCs w:val="24"/>
        </w:rPr>
      </w:pPr>
      <m:oMathPara>
        <m:oMath>
          <m:sSub>
            <m:sSubPr>
              <m:ctrlPr>
                <w:rPr>
                  <w:rFonts w:ascii="Cambria Math" w:hAnsi="Cambria Math"/>
                  <w:i/>
                  <w:szCs w:val="24"/>
                </w:rPr>
              </m:ctrlPr>
            </m:sSubPr>
            <m:e>
              <m:r>
                <w:rPr>
                  <w:rFonts w:ascii="Cambria Math" w:hAnsi="Cambria Math"/>
                  <w:szCs w:val="24"/>
                </w:rPr>
                <m:t>C</m:t>
              </m:r>
            </m:e>
            <m:sub>
              <m:r>
                <w:rPr>
                  <w:rFonts w:ascii="Cambria Math" w:hAnsi="Cambria Math"/>
                  <w:szCs w:val="24"/>
                </w:rPr>
                <m:t>ETEsaída</m:t>
              </m:r>
            </m:sub>
          </m:sSub>
          <m:r>
            <w:rPr>
              <w:rFonts w:ascii="Cambria Math" w:hAnsi="Cambria Math"/>
              <w:szCs w:val="24"/>
            </w:rPr>
            <m:t>=</m:t>
          </m:r>
          <m:sSub>
            <m:sSubPr>
              <m:ctrlPr>
                <w:rPr>
                  <w:rFonts w:ascii="Cambria Math" w:hAnsi="Cambria Math"/>
                  <w:i/>
                  <w:szCs w:val="24"/>
                </w:rPr>
              </m:ctrlPr>
            </m:sSubPr>
            <m:e>
              <m:r>
                <w:rPr>
                  <w:rFonts w:ascii="Cambria Math" w:hAnsi="Cambria Math"/>
                  <w:szCs w:val="24"/>
                </w:rPr>
                <m:t>C</m:t>
              </m:r>
            </m:e>
            <m:sub>
              <m:r>
                <w:rPr>
                  <w:rFonts w:ascii="Cambria Math" w:hAnsi="Cambria Math"/>
                  <w:szCs w:val="24"/>
                </w:rPr>
                <m:t>ETEentrada</m:t>
              </m:r>
            </m:sub>
          </m:sSub>
          <m:r>
            <w:rPr>
              <w:rFonts w:ascii="Cambria Math" w:hAnsi="Cambria Math"/>
              <w:szCs w:val="24"/>
            </w:rPr>
            <m:t xml:space="preserve">- </m:t>
          </m:r>
          <m:f>
            <m:fPr>
              <m:ctrlPr>
                <w:rPr>
                  <w:rFonts w:ascii="Cambria Math" w:hAnsi="Cambria Math"/>
                  <w:i/>
                  <w:szCs w:val="24"/>
                </w:rPr>
              </m:ctrlPr>
            </m:fPr>
            <m:num>
              <m:r>
                <w:rPr>
                  <w:rFonts w:ascii="Cambria Math" w:hAnsi="Cambria Math"/>
                  <w:szCs w:val="24"/>
                </w:rPr>
                <m:t>E</m:t>
              </m:r>
            </m:num>
            <m:den>
              <m:r>
                <w:rPr>
                  <w:rFonts w:ascii="Cambria Math" w:hAnsi="Cambria Math"/>
                  <w:szCs w:val="24"/>
                </w:rPr>
                <m:t>100</m:t>
              </m:r>
            </m:den>
          </m:f>
          <m:r>
            <w:rPr>
              <w:rFonts w:ascii="Cambria Math" w:hAnsi="Cambria Math"/>
              <w:szCs w:val="24"/>
            </w:rPr>
            <m:t>*</m:t>
          </m:r>
          <m:sSub>
            <m:sSubPr>
              <m:ctrlPr>
                <w:rPr>
                  <w:rFonts w:ascii="Cambria Math" w:hAnsi="Cambria Math"/>
                  <w:i/>
                  <w:szCs w:val="24"/>
                </w:rPr>
              </m:ctrlPr>
            </m:sSubPr>
            <m:e>
              <m:r>
                <w:rPr>
                  <w:rFonts w:ascii="Cambria Math" w:hAnsi="Cambria Math"/>
                  <w:szCs w:val="24"/>
                </w:rPr>
                <m:t>C</m:t>
              </m:r>
            </m:e>
            <m:sub>
              <m:r>
                <w:rPr>
                  <w:rFonts w:ascii="Cambria Math" w:hAnsi="Cambria Math"/>
                  <w:szCs w:val="24"/>
                </w:rPr>
                <m:t>ETEentrada</m:t>
              </m:r>
            </m:sub>
          </m:sSub>
          <m:r>
            <w:rPr>
              <w:rFonts w:ascii="Cambria Math" w:hAnsi="Cambria Math"/>
              <w:szCs w:val="24"/>
            </w:rPr>
            <m:t>= 183,85- 0,7*183,85=55,16 mg/L</m:t>
          </m:r>
        </m:oMath>
      </m:oMathPara>
    </w:p>
    <w:p w:rsidR="005A0D0E" w:rsidRPr="00DA6A87" w:rsidRDefault="005A0D0E" w:rsidP="005A0D0E">
      <w:pPr>
        <w:widowControl w:val="0"/>
        <w:tabs>
          <w:tab w:val="left" w:pos="4395"/>
        </w:tabs>
        <w:autoSpaceDE w:val="0"/>
        <w:autoSpaceDN w:val="0"/>
        <w:adjustRightInd w:val="0"/>
        <w:spacing w:before="120" w:after="120"/>
        <w:ind w:firstLine="709"/>
        <w:contextualSpacing/>
      </w:pPr>
      <w:r w:rsidRPr="00DA6A87">
        <w:rPr>
          <w:szCs w:val="24"/>
        </w:rPr>
        <w:t>Ou seja, a DBO de saída da ETE deve ter concentração menor que 5</w:t>
      </w:r>
      <w:r w:rsidR="00037909">
        <w:rPr>
          <w:szCs w:val="24"/>
        </w:rPr>
        <w:t>5,16</w:t>
      </w:r>
      <w:r w:rsidRPr="00DA6A87">
        <w:rPr>
          <w:szCs w:val="24"/>
        </w:rPr>
        <w:t xml:space="preserve"> mg/L. </w:t>
      </w:r>
    </w:p>
    <w:p w:rsidR="009A4342" w:rsidRDefault="009A4342" w:rsidP="005A0D0E">
      <w:pPr>
        <w:widowControl w:val="0"/>
        <w:tabs>
          <w:tab w:val="left" w:pos="4395"/>
        </w:tabs>
        <w:autoSpaceDE w:val="0"/>
        <w:autoSpaceDN w:val="0"/>
        <w:adjustRightInd w:val="0"/>
        <w:spacing w:before="120" w:after="120"/>
        <w:ind w:firstLine="709"/>
        <w:contextualSpacing/>
      </w:pPr>
    </w:p>
    <w:p w:rsidR="005A0D0E" w:rsidRPr="00DA6A87" w:rsidRDefault="005A0D0E" w:rsidP="005A0D0E">
      <w:pPr>
        <w:widowControl w:val="0"/>
        <w:tabs>
          <w:tab w:val="left" w:pos="4395"/>
        </w:tabs>
        <w:autoSpaceDE w:val="0"/>
        <w:autoSpaceDN w:val="0"/>
        <w:adjustRightInd w:val="0"/>
        <w:spacing w:before="120" w:after="120"/>
        <w:ind w:firstLine="709"/>
        <w:contextualSpacing/>
      </w:pPr>
      <w:r w:rsidRPr="00DA6A87">
        <w:t xml:space="preserve">A partir das concentrações máximas apresentadas na Resolução CONAMA n° 357/2005, </w:t>
      </w:r>
      <w:r w:rsidR="007B4A2B">
        <w:t>a</w:t>
      </w:r>
      <w:r w:rsidRPr="00DA6A87">
        <w:t>rt. 15, para corpos hídricos de classe 2, pode-se calcular a concentração de DBO de saída da ETE (C</w:t>
      </w:r>
      <w:r w:rsidRPr="00DA6A87">
        <w:rPr>
          <w:vertAlign w:val="subscript"/>
        </w:rPr>
        <w:t>ETEsaída</w:t>
      </w:r>
      <w:r w:rsidRPr="00DA6A87">
        <w:t xml:space="preserve">) através da </w:t>
      </w:r>
      <w:r w:rsidRPr="00DA6A87">
        <w:fldChar w:fldCharType="begin"/>
      </w:r>
      <w:r w:rsidRPr="00DA6A87">
        <w:instrText xml:space="preserve"> REF _Ref484681963 \h  \* MERGEFORMAT </w:instrText>
      </w:r>
      <w:r w:rsidRPr="00DA6A87">
        <w:fldChar w:fldCharType="separate"/>
      </w:r>
      <w:r w:rsidR="004D1D76" w:rsidRPr="00DA6A87">
        <w:t xml:space="preserve">Equação </w:t>
      </w:r>
      <w:r w:rsidR="004D1D76">
        <w:rPr>
          <w:noProof/>
        </w:rPr>
        <w:t>21</w:t>
      </w:r>
      <w:r w:rsidRPr="00DA6A87">
        <w:fldChar w:fldCharType="end"/>
      </w:r>
      <w:r w:rsidRPr="00DA6A87">
        <w:t>:</w:t>
      </w:r>
    </w:p>
    <w:tbl>
      <w:tblPr>
        <w:tblStyle w:val="Tabelacomgrad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2"/>
      </w:tblGrid>
      <w:tr w:rsidR="005A0D0E" w:rsidRPr="00DA6A87" w:rsidTr="00B94A15">
        <w:trPr>
          <w:jc w:val="center"/>
        </w:trPr>
        <w:tc>
          <w:tcPr>
            <w:tcW w:w="0" w:type="auto"/>
          </w:tcPr>
          <w:p w:rsidR="005A0D0E" w:rsidRPr="00DA6A87" w:rsidRDefault="004D1D76" w:rsidP="00B94A15">
            <w:pPr>
              <w:widowControl w:val="0"/>
              <w:autoSpaceDE w:val="0"/>
              <w:autoSpaceDN w:val="0"/>
              <w:adjustRightInd w:val="0"/>
              <w:spacing w:before="120" w:after="120"/>
              <w:ind w:firstLine="709"/>
              <w:contextualSpacing/>
            </w:pPr>
            <m:oMathPara>
              <m:oMath>
                <m:sSub>
                  <m:sSubPr>
                    <m:ctrlPr>
                      <w:rPr>
                        <w:rFonts w:ascii="Cambria Math" w:hAnsi="Cambria Math"/>
                        <w:i/>
                      </w:rPr>
                    </m:ctrlPr>
                  </m:sSubPr>
                  <m:e>
                    <m:r>
                      <w:rPr>
                        <w:rFonts w:ascii="Cambria Math" w:hAnsi="Cambria Math"/>
                      </w:rPr>
                      <m:t>C</m:t>
                    </m:r>
                  </m:e>
                  <m:sub>
                    <m:r>
                      <w:rPr>
                        <w:rFonts w:ascii="Cambria Math" w:hAnsi="Cambria Math"/>
                      </w:rPr>
                      <m:t>ETEsaída</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C</m:t>
                        </m:r>
                      </m:e>
                      <m:sub>
                        <m:r>
                          <w:rPr>
                            <w:rFonts w:ascii="Cambria Math" w:hAnsi="Cambria Math"/>
                          </w:rPr>
                          <m:t>mistura</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mistura</m:t>
                        </m:r>
                      </m:sub>
                    </m:sSub>
                    <m:r>
                      <w:rPr>
                        <w:rFonts w:ascii="Cambria Math" w:hAnsi="Cambria Math"/>
                      </w:rPr>
                      <m:t xml:space="preserve">- </m:t>
                    </m:r>
                    <m:sSub>
                      <m:sSubPr>
                        <m:ctrlPr>
                          <w:rPr>
                            <w:rFonts w:ascii="Cambria Math" w:hAnsi="Cambria Math"/>
                            <w:i/>
                          </w:rPr>
                        </m:ctrlPr>
                      </m:sSubPr>
                      <m:e>
                        <m:r>
                          <w:rPr>
                            <w:rFonts w:ascii="Cambria Math" w:hAnsi="Cambria Math"/>
                          </w:rPr>
                          <m:t>C</m:t>
                        </m:r>
                      </m:e>
                      <m:sub>
                        <m:r>
                          <w:rPr>
                            <w:rFonts w:ascii="Cambria Math" w:hAnsi="Cambria Math"/>
                          </w:rPr>
                          <m:t>Rio</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Rio</m:t>
                        </m:r>
                      </m:sub>
                    </m:sSub>
                  </m:num>
                  <m:den>
                    <m:sSub>
                      <m:sSubPr>
                        <m:ctrlPr>
                          <w:rPr>
                            <w:rFonts w:ascii="Cambria Math" w:hAnsi="Cambria Math"/>
                            <w:i/>
                          </w:rPr>
                        </m:ctrlPr>
                      </m:sSubPr>
                      <m:e>
                        <m:r>
                          <w:rPr>
                            <w:rFonts w:ascii="Cambria Math" w:hAnsi="Cambria Math"/>
                          </w:rPr>
                          <m:t>Q</m:t>
                        </m:r>
                      </m:e>
                      <m:sub>
                        <m:r>
                          <w:rPr>
                            <w:rFonts w:ascii="Cambria Math" w:hAnsi="Cambria Math"/>
                          </w:rPr>
                          <m:t>ETEsaída</m:t>
                        </m:r>
                      </m:sub>
                    </m:sSub>
                  </m:den>
                </m:f>
              </m:oMath>
            </m:oMathPara>
          </w:p>
        </w:tc>
      </w:tr>
      <w:tr w:rsidR="005A0D0E" w:rsidRPr="00DA6A87" w:rsidTr="00B94A15">
        <w:trPr>
          <w:jc w:val="center"/>
        </w:trPr>
        <w:tc>
          <w:tcPr>
            <w:tcW w:w="0" w:type="auto"/>
          </w:tcPr>
          <w:p w:rsidR="005A0D0E" w:rsidRPr="00DA6A87" w:rsidRDefault="005A0D0E" w:rsidP="00B94A15">
            <w:pPr>
              <w:pStyle w:val="Legenda"/>
            </w:pPr>
            <w:bookmarkStart w:id="160" w:name="_Ref484681963"/>
            <w:r w:rsidRPr="00DA6A87">
              <w:t xml:space="preserve">Equação </w:t>
            </w:r>
            <w:r w:rsidR="00D71C43">
              <w:fldChar w:fldCharType="begin"/>
            </w:r>
            <w:r w:rsidR="00D71C43">
              <w:instrText xml:space="preserve"> SEQ Equação \* ARABIC </w:instrText>
            </w:r>
            <w:r w:rsidR="00D71C43">
              <w:fldChar w:fldCharType="separate"/>
            </w:r>
            <w:r w:rsidR="004D1D76">
              <w:rPr>
                <w:noProof/>
              </w:rPr>
              <w:t>21</w:t>
            </w:r>
            <w:r w:rsidR="00D71C43">
              <w:rPr>
                <w:noProof/>
              </w:rPr>
              <w:fldChar w:fldCharType="end"/>
            </w:r>
            <w:bookmarkEnd w:id="160"/>
          </w:p>
        </w:tc>
      </w:tr>
    </w:tbl>
    <w:p w:rsidR="005A0D0E" w:rsidRPr="00DA6A87" w:rsidRDefault="005A0D0E" w:rsidP="005A0D0E">
      <w:pPr>
        <w:ind w:firstLine="708"/>
        <w:contextualSpacing/>
        <w:rPr>
          <w:rFonts w:eastAsiaTheme="minorEastAsia"/>
          <w:szCs w:val="24"/>
        </w:rPr>
      </w:pPr>
      <w:r w:rsidRPr="00DA6A87">
        <w:rPr>
          <w:rFonts w:cs="Arial"/>
        </w:rPr>
        <w:t>Em que:</w:t>
      </w:r>
      <w:r w:rsidRPr="00DA6A87">
        <w:rPr>
          <w:rFonts w:cs="Arial"/>
        </w:rPr>
        <w:tab/>
      </w:r>
      <w:r w:rsidRPr="00DA6A87">
        <w:rPr>
          <w:rFonts w:eastAsiaTheme="minorEastAsia"/>
          <w:szCs w:val="24"/>
        </w:rPr>
        <w:t>C</w:t>
      </w:r>
      <w:r w:rsidRPr="00DA6A87">
        <w:rPr>
          <w:rFonts w:eastAsiaTheme="minorEastAsia"/>
          <w:szCs w:val="24"/>
          <w:vertAlign w:val="subscript"/>
        </w:rPr>
        <w:t xml:space="preserve">ETEsaída </w:t>
      </w:r>
      <w:r w:rsidRPr="00DA6A87">
        <w:rPr>
          <w:rFonts w:eastAsiaTheme="minorEastAsia"/>
          <w:szCs w:val="24"/>
        </w:rPr>
        <w:t>= concentração final de DBO (saída da ETE) (mg/L);</w:t>
      </w:r>
    </w:p>
    <w:p w:rsidR="005A0D0E" w:rsidRPr="00DA6A87" w:rsidRDefault="005A0D0E" w:rsidP="005A0D0E">
      <w:pPr>
        <w:ind w:firstLine="708"/>
        <w:contextualSpacing/>
        <w:rPr>
          <w:rFonts w:eastAsiaTheme="minorEastAsia"/>
          <w:szCs w:val="24"/>
        </w:rPr>
      </w:pPr>
      <w:r w:rsidRPr="00DA6A87">
        <w:rPr>
          <w:rFonts w:eastAsiaTheme="minorEastAsia"/>
          <w:szCs w:val="24"/>
        </w:rPr>
        <w:tab/>
      </w:r>
      <w:r w:rsidRPr="00DA6A87">
        <w:rPr>
          <w:rFonts w:eastAsiaTheme="minorEastAsia"/>
          <w:szCs w:val="24"/>
        </w:rPr>
        <w:tab/>
        <w:t>Q</w:t>
      </w:r>
      <w:r w:rsidRPr="00DA6A87">
        <w:rPr>
          <w:rFonts w:eastAsiaTheme="minorEastAsia"/>
          <w:szCs w:val="24"/>
          <w:vertAlign w:val="subscript"/>
        </w:rPr>
        <w:t xml:space="preserve">ETEsaída </w:t>
      </w:r>
      <w:r w:rsidRPr="00DA6A87">
        <w:rPr>
          <w:rFonts w:eastAsiaTheme="minorEastAsia"/>
          <w:szCs w:val="24"/>
        </w:rPr>
        <w:t>= vazão de saída da ETE (m³/s);</w:t>
      </w:r>
    </w:p>
    <w:p w:rsidR="005A0D0E" w:rsidRPr="00DA6A87" w:rsidRDefault="005A0D0E" w:rsidP="005A0D0E">
      <w:pPr>
        <w:ind w:left="1416" w:firstLine="708"/>
        <w:contextualSpacing/>
        <w:rPr>
          <w:rFonts w:cs="Arial"/>
        </w:rPr>
      </w:pPr>
      <w:r w:rsidRPr="00DA6A87">
        <w:rPr>
          <w:rFonts w:cs="Arial"/>
        </w:rPr>
        <w:t>C</w:t>
      </w:r>
      <w:r w:rsidRPr="00DA6A87">
        <w:rPr>
          <w:rFonts w:cs="Arial"/>
          <w:vertAlign w:val="subscript"/>
        </w:rPr>
        <w:t>rio</w:t>
      </w:r>
      <w:r w:rsidRPr="00DA6A87">
        <w:rPr>
          <w:rFonts w:cs="Arial"/>
        </w:rPr>
        <w:t xml:space="preserve"> = concentração de DBO do corpo hídrico </w:t>
      </w:r>
      <w:r w:rsidRPr="00DA6A87">
        <w:rPr>
          <w:rFonts w:eastAsiaTheme="minorEastAsia"/>
          <w:szCs w:val="24"/>
        </w:rPr>
        <w:t>(mg/L);</w:t>
      </w:r>
    </w:p>
    <w:p w:rsidR="005A0D0E" w:rsidRPr="00DA6A87" w:rsidRDefault="005A0D0E" w:rsidP="005A0D0E">
      <w:pPr>
        <w:ind w:left="1416" w:firstLine="708"/>
        <w:contextualSpacing/>
        <w:rPr>
          <w:rFonts w:cs="Arial"/>
        </w:rPr>
      </w:pPr>
      <w:r w:rsidRPr="00DA6A87">
        <w:rPr>
          <w:rFonts w:cs="Arial"/>
        </w:rPr>
        <w:t>Q</w:t>
      </w:r>
      <w:r w:rsidRPr="00DA6A87">
        <w:rPr>
          <w:rFonts w:cs="Arial"/>
          <w:vertAlign w:val="subscript"/>
        </w:rPr>
        <w:t>rio</w:t>
      </w:r>
      <w:r w:rsidRPr="00DA6A87">
        <w:rPr>
          <w:rFonts w:cs="Arial"/>
        </w:rPr>
        <w:t xml:space="preserve"> = vazão do corpo hídrico </w:t>
      </w:r>
      <w:r w:rsidRPr="00DA6A87">
        <w:rPr>
          <w:rFonts w:eastAsiaTheme="minorEastAsia"/>
          <w:szCs w:val="24"/>
        </w:rPr>
        <w:t>(m³/s) (nesse caso, a Q</w:t>
      </w:r>
      <w:r w:rsidRPr="00DA6A87">
        <w:rPr>
          <w:rFonts w:eastAsiaTheme="minorEastAsia"/>
          <w:szCs w:val="24"/>
          <w:vertAlign w:val="subscript"/>
        </w:rPr>
        <w:t>7,10</w:t>
      </w:r>
      <w:r w:rsidRPr="00DA6A87">
        <w:rPr>
          <w:rFonts w:eastAsiaTheme="minorEastAsia"/>
          <w:szCs w:val="24"/>
        </w:rPr>
        <w:t>);</w:t>
      </w:r>
    </w:p>
    <w:p w:rsidR="005A0D0E" w:rsidRPr="00DA6A87" w:rsidRDefault="005A0D0E" w:rsidP="005A0D0E">
      <w:pPr>
        <w:ind w:left="1416" w:firstLine="708"/>
        <w:contextualSpacing/>
        <w:rPr>
          <w:rFonts w:cs="Arial"/>
        </w:rPr>
      </w:pPr>
      <w:r w:rsidRPr="00DA6A87">
        <w:rPr>
          <w:rFonts w:cs="Arial"/>
        </w:rPr>
        <w:t>C</w:t>
      </w:r>
      <w:r w:rsidRPr="00DA6A87">
        <w:rPr>
          <w:rFonts w:cs="Arial"/>
          <w:vertAlign w:val="subscript"/>
        </w:rPr>
        <w:t>mistura</w:t>
      </w:r>
      <w:r w:rsidRPr="00DA6A87">
        <w:rPr>
          <w:rFonts w:cs="Arial"/>
        </w:rPr>
        <w:t xml:space="preserve"> = concentração de lançamento da DBO da ETE adicionada da concentração de DBO do corpo receptor </w:t>
      </w:r>
      <w:r w:rsidRPr="00DA6A87">
        <w:rPr>
          <w:rFonts w:eastAsiaTheme="minorEastAsia"/>
          <w:szCs w:val="24"/>
        </w:rPr>
        <w:t>(mg/L);</w:t>
      </w:r>
    </w:p>
    <w:p w:rsidR="005A0D0E" w:rsidRPr="00DA6A87" w:rsidRDefault="005A0D0E" w:rsidP="005A0D0E">
      <w:pPr>
        <w:ind w:left="1416" w:firstLine="708"/>
        <w:contextualSpacing/>
        <w:rPr>
          <w:rFonts w:cs="Arial"/>
        </w:rPr>
      </w:pPr>
      <w:r w:rsidRPr="00DA6A87">
        <w:rPr>
          <w:rFonts w:cs="Arial"/>
        </w:rPr>
        <w:t>Q</w:t>
      </w:r>
      <w:r w:rsidRPr="00DA6A87">
        <w:rPr>
          <w:rFonts w:cs="Arial"/>
          <w:vertAlign w:val="subscript"/>
        </w:rPr>
        <w:t>mistura</w:t>
      </w:r>
      <w:r w:rsidRPr="00DA6A87">
        <w:rPr>
          <w:rFonts w:cs="Arial"/>
        </w:rPr>
        <w:t xml:space="preserve"> = vazão da ETE adicionada da vazão do corpo hídrico </w:t>
      </w:r>
      <w:r w:rsidRPr="00DA6A87">
        <w:rPr>
          <w:rFonts w:eastAsiaTheme="minorEastAsia"/>
          <w:szCs w:val="24"/>
        </w:rPr>
        <w:t>(m³/s).</w:t>
      </w:r>
    </w:p>
    <w:p w:rsidR="005A0D0E" w:rsidRPr="00DA6A87" w:rsidRDefault="005A0D0E" w:rsidP="005A0D0E">
      <w:pPr>
        <w:widowControl w:val="0"/>
        <w:autoSpaceDE w:val="0"/>
        <w:autoSpaceDN w:val="0"/>
        <w:adjustRightInd w:val="0"/>
        <w:spacing w:before="120" w:after="120"/>
        <w:ind w:firstLine="709"/>
        <w:contextualSpacing/>
      </w:pPr>
      <w:r w:rsidRPr="00DA6A87">
        <w:t xml:space="preserve">A </w:t>
      </w:r>
      <w:r w:rsidRPr="00DA6A87">
        <w:fldChar w:fldCharType="begin"/>
      </w:r>
      <w:r w:rsidRPr="00DA6A87">
        <w:instrText xml:space="preserve"> REF _Ref484681776 \h </w:instrText>
      </w:r>
      <w:r w:rsidRPr="00DA6A87">
        <w:fldChar w:fldCharType="separate"/>
      </w:r>
      <w:r w:rsidR="004D1D76" w:rsidRPr="00DA6A87">
        <w:t xml:space="preserve">Tabela </w:t>
      </w:r>
      <w:r w:rsidR="004D1D76">
        <w:rPr>
          <w:noProof/>
        </w:rPr>
        <w:t>1</w:t>
      </w:r>
      <w:r w:rsidRPr="00DA6A87">
        <w:fldChar w:fldCharType="end"/>
      </w:r>
      <w:r w:rsidRPr="00DA6A87">
        <w:t xml:space="preserve"> apresenta os valores para o cálculo da concentração de saída máxima aceitáveis para Córrego Novo.</w:t>
      </w:r>
    </w:p>
    <w:p w:rsidR="005A0D0E" w:rsidRPr="00DA6A87" w:rsidRDefault="005A0D0E" w:rsidP="005A0D0E">
      <w:pPr>
        <w:pStyle w:val="Legenda"/>
      </w:pPr>
      <w:bookmarkStart w:id="161" w:name="_Ref484681776"/>
      <w:bookmarkStart w:id="162" w:name="_Toc497469203"/>
      <w:r w:rsidRPr="00DA6A87">
        <w:t xml:space="preserve">Tabela </w:t>
      </w:r>
      <w:r w:rsidR="00D71C43">
        <w:fldChar w:fldCharType="begin"/>
      </w:r>
      <w:r w:rsidR="00D71C43">
        <w:instrText xml:space="preserve"> SEQ Tabela \* ARABIC </w:instrText>
      </w:r>
      <w:r w:rsidR="00D71C43">
        <w:fldChar w:fldCharType="separate"/>
      </w:r>
      <w:r w:rsidR="004D1D76">
        <w:rPr>
          <w:noProof/>
        </w:rPr>
        <w:t>1</w:t>
      </w:r>
      <w:r w:rsidR="00D71C43">
        <w:rPr>
          <w:noProof/>
        </w:rPr>
        <w:fldChar w:fldCharType="end"/>
      </w:r>
      <w:bookmarkEnd w:id="161"/>
      <w:r w:rsidRPr="00DA6A87">
        <w:t xml:space="preserve"> - Valores utilizados para o cálculo da concentração de DBO de lançamento máxima aceitável da futura ETE em Córrego Novo</w:t>
      </w:r>
      <w:bookmarkEnd w:id="162"/>
    </w:p>
    <w:tbl>
      <w:tblPr>
        <w:tblStyle w:val="Tabelacomgrade"/>
        <w:tblW w:w="0" w:type="auto"/>
        <w:tblInd w:w="2093" w:type="dxa"/>
        <w:tblBorders>
          <w:left w:val="none" w:sz="0" w:space="0" w:color="auto"/>
          <w:right w:val="none" w:sz="0" w:space="0" w:color="auto"/>
        </w:tblBorders>
        <w:tblLook w:val="04A0" w:firstRow="1" w:lastRow="0" w:firstColumn="1" w:lastColumn="0" w:noHBand="0" w:noVBand="1"/>
      </w:tblPr>
      <w:tblGrid>
        <w:gridCol w:w="2654"/>
        <w:gridCol w:w="2165"/>
      </w:tblGrid>
      <w:tr w:rsidR="005A0D0E" w:rsidRPr="00DA6A87" w:rsidTr="00B94A15">
        <w:tc>
          <w:tcPr>
            <w:tcW w:w="2654" w:type="dxa"/>
          </w:tcPr>
          <w:p w:rsidR="005A0D0E" w:rsidRPr="00DA6A87" w:rsidRDefault="005A0D0E" w:rsidP="00B94A15">
            <w:pPr>
              <w:spacing w:line="240" w:lineRule="auto"/>
              <w:jc w:val="center"/>
              <w:rPr>
                <w:b/>
                <w:sz w:val="22"/>
                <w:lang w:eastAsia="x-none"/>
              </w:rPr>
            </w:pPr>
            <w:r w:rsidRPr="00DA6A87">
              <w:rPr>
                <w:b/>
                <w:sz w:val="22"/>
                <w:lang w:eastAsia="x-none"/>
              </w:rPr>
              <w:t>Parâmetro</w:t>
            </w:r>
          </w:p>
        </w:tc>
        <w:tc>
          <w:tcPr>
            <w:tcW w:w="2165" w:type="dxa"/>
          </w:tcPr>
          <w:p w:rsidR="005A0D0E" w:rsidRPr="00DA6A87" w:rsidRDefault="005A0D0E" w:rsidP="00B94A15">
            <w:pPr>
              <w:spacing w:line="240" w:lineRule="auto"/>
              <w:jc w:val="center"/>
              <w:rPr>
                <w:b/>
                <w:sz w:val="22"/>
                <w:lang w:eastAsia="x-none"/>
              </w:rPr>
            </w:pPr>
            <w:r w:rsidRPr="00DA6A87">
              <w:rPr>
                <w:b/>
                <w:sz w:val="22"/>
                <w:lang w:eastAsia="x-none"/>
              </w:rPr>
              <w:t>Valor</w:t>
            </w:r>
          </w:p>
        </w:tc>
      </w:tr>
      <w:tr w:rsidR="005A0D0E" w:rsidRPr="00DA6A87" w:rsidTr="00B94A15">
        <w:tc>
          <w:tcPr>
            <w:tcW w:w="2654" w:type="dxa"/>
          </w:tcPr>
          <w:p w:rsidR="005A0D0E" w:rsidRPr="00DA6A87" w:rsidRDefault="005A0D0E" w:rsidP="00B94A15">
            <w:pPr>
              <w:spacing w:line="240" w:lineRule="auto"/>
              <w:jc w:val="center"/>
              <w:rPr>
                <w:sz w:val="22"/>
                <w:lang w:eastAsia="x-none"/>
              </w:rPr>
            </w:pPr>
            <w:r w:rsidRPr="00DA6A87">
              <w:rPr>
                <w:sz w:val="22"/>
                <w:lang w:eastAsia="x-none"/>
              </w:rPr>
              <w:t>Q</w:t>
            </w:r>
            <w:r w:rsidRPr="00DA6A87">
              <w:rPr>
                <w:sz w:val="22"/>
                <w:vertAlign w:val="subscript"/>
                <w:lang w:eastAsia="x-none"/>
              </w:rPr>
              <w:t>ETE</w:t>
            </w:r>
          </w:p>
        </w:tc>
        <w:tc>
          <w:tcPr>
            <w:tcW w:w="2165" w:type="dxa"/>
          </w:tcPr>
          <w:p w:rsidR="005A0D0E" w:rsidRPr="00DA6A87" w:rsidRDefault="005A0D0E" w:rsidP="00273000">
            <w:pPr>
              <w:spacing w:line="240" w:lineRule="auto"/>
              <w:jc w:val="center"/>
              <w:rPr>
                <w:sz w:val="22"/>
                <w:lang w:eastAsia="x-none"/>
              </w:rPr>
            </w:pPr>
            <w:r w:rsidRPr="00DA6A87">
              <w:rPr>
                <w:sz w:val="22"/>
                <w:lang w:eastAsia="x-none"/>
              </w:rPr>
              <w:t>0,</w:t>
            </w:r>
            <w:r w:rsidR="001116F0">
              <w:rPr>
                <w:sz w:val="22"/>
                <w:lang w:eastAsia="x-none"/>
              </w:rPr>
              <w:t>0</w:t>
            </w:r>
            <w:r w:rsidR="00037909">
              <w:rPr>
                <w:sz w:val="22"/>
                <w:lang w:eastAsia="x-none"/>
              </w:rPr>
              <w:t>05</w:t>
            </w:r>
            <w:r w:rsidR="00273000">
              <w:rPr>
                <w:sz w:val="22"/>
                <w:lang w:eastAsia="x-none"/>
              </w:rPr>
              <w:t>8</w:t>
            </w:r>
            <w:r w:rsidRPr="00DA6A87">
              <w:rPr>
                <w:sz w:val="22"/>
                <w:lang w:eastAsia="x-none"/>
              </w:rPr>
              <w:t xml:space="preserve"> m³/s</w:t>
            </w:r>
          </w:p>
        </w:tc>
      </w:tr>
      <w:tr w:rsidR="005A0D0E" w:rsidRPr="00DA6A87" w:rsidTr="00B94A15">
        <w:tc>
          <w:tcPr>
            <w:tcW w:w="2654" w:type="dxa"/>
          </w:tcPr>
          <w:p w:rsidR="005A0D0E" w:rsidRPr="00DA6A87" w:rsidRDefault="005A0D0E" w:rsidP="00B94A15">
            <w:pPr>
              <w:spacing w:line="240" w:lineRule="auto"/>
              <w:jc w:val="center"/>
              <w:rPr>
                <w:sz w:val="22"/>
                <w:lang w:eastAsia="x-none"/>
              </w:rPr>
            </w:pPr>
            <w:r w:rsidRPr="00DA6A87">
              <w:rPr>
                <w:sz w:val="22"/>
                <w:lang w:eastAsia="x-none"/>
              </w:rPr>
              <w:t>Q</w:t>
            </w:r>
            <w:r w:rsidRPr="00DA6A87">
              <w:rPr>
                <w:sz w:val="22"/>
                <w:vertAlign w:val="subscript"/>
                <w:lang w:eastAsia="x-none"/>
              </w:rPr>
              <w:t>Rio</w:t>
            </w:r>
            <w:r w:rsidRPr="00DA6A87">
              <w:rPr>
                <w:sz w:val="22"/>
                <w:lang w:eastAsia="x-none"/>
              </w:rPr>
              <w:t xml:space="preserve"> (= Q</w:t>
            </w:r>
            <w:r w:rsidRPr="00DA6A87">
              <w:rPr>
                <w:sz w:val="22"/>
                <w:vertAlign w:val="subscript"/>
                <w:lang w:eastAsia="x-none"/>
              </w:rPr>
              <w:t>7,10</w:t>
            </w:r>
            <w:r w:rsidRPr="00DA6A87">
              <w:rPr>
                <w:sz w:val="22"/>
                <w:lang w:eastAsia="x-none"/>
              </w:rPr>
              <w:t>)</w:t>
            </w:r>
          </w:p>
        </w:tc>
        <w:tc>
          <w:tcPr>
            <w:tcW w:w="2165" w:type="dxa"/>
          </w:tcPr>
          <w:p w:rsidR="005A0D0E" w:rsidRPr="00DA6A87" w:rsidRDefault="005A0D0E" w:rsidP="00B94A15">
            <w:pPr>
              <w:spacing w:line="240" w:lineRule="auto"/>
              <w:jc w:val="center"/>
              <w:rPr>
                <w:sz w:val="22"/>
                <w:lang w:eastAsia="x-none"/>
              </w:rPr>
            </w:pPr>
            <w:r w:rsidRPr="00DA6A87">
              <w:rPr>
                <w:sz w:val="22"/>
                <w:lang w:eastAsia="x-none"/>
              </w:rPr>
              <w:t>0,047 m³/s</w:t>
            </w:r>
          </w:p>
        </w:tc>
      </w:tr>
      <w:tr w:rsidR="005A0D0E" w:rsidRPr="00DA6A87" w:rsidTr="00B94A15">
        <w:tc>
          <w:tcPr>
            <w:tcW w:w="2654" w:type="dxa"/>
          </w:tcPr>
          <w:p w:rsidR="005A0D0E" w:rsidRPr="00DA6A87" w:rsidRDefault="005A0D0E" w:rsidP="00B94A15">
            <w:pPr>
              <w:spacing w:line="240" w:lineRule="auto"/>
              <w:jc w:val="center"/>
              <w:rPr>
                <w:sz w:val="22"/>
                <w:lang w:eastAsia="x-none"/>
              </w:rPr>
            </w:pPr>
            <w:r w:rsidRPr="00DA6A87">
              <w:rPr>
                <w:sz w:val="22"/>
                <w:lang w:eastAsia="x-none"/>
              </w:rPr>
              <w:t>C</w:t>
            </w:r>
            <w:r w:rsidRPr="00DA6A87">
              <w:rPr>
                <w:sz w:val="22"/>
                <w:vertAlign w:val="subscript"/>
                <w:lang w:eastAsia="x-none"/>
              </w:rPr>
              <w:t>Rio</w:t>
            </w:r>
          </w:p>
        </w:tc>
        <w:tc>
          <w:tcPr>
            <w:tcW w:w="2165" w:type="dxa"/>
          </w:tcPr>
          <w:p w:rsidR="005A0D0E" w:rsidRPr="00DA6A87" w:rsidRDefault="005A0D0E" w:rsidP="00B94A15">
            <w:pPr>
              <w:spacing w:line="240" w:lineRule="auto"/>
              <w:jc w:val="center"/>
              <w:rPr>
                <w:sz w:val="22"/>
                <w:lang w:eastAsia="x-none"/>
              </w:rPr>
            </w:pPr>
            <w:r w:rsidRPr="00DA6A87">
              <w:rPr>
                <w:sz w:val="22"/>
                <w:lang w:eastAsia="x-none"/>
              </w:rPr>
              <w:t>5,00 mg/L</w:t>
            </w:r>
          </w:p>
        </w:tc>
      </w:tr>
      <w:tr w:rsidR="005A0D0E" w:rsidRPr="00DA6A87" w:rsidTr="00B94A15">
        <w:tc>
          <w:tcPr>
            <w:tcW w:w="2654" w:type="dxa"/>
          </w:tcPr>
          <w:p w:rsidR="005A0D0E" w:rsidRPr="00DA6A87" w:rsidRDefault="005A0D0E" w:rsidP="00B94A15">
            <w:pPr>
              <w:spacing w:line="240" w:lineRule="auto"/>
              <w:jc w:val="center"/>
              <w:rPr>
                <w:sz w:val="22"/>
                <w:lang w:eastAsia="x-none"/>
              </w:rPr>
            </w:pPr>
            <w:r w:rsidRPr="00DA6A87">
              <w:rPr>
                <w:sz w:val="22"/>
                <w:lang w:eastAsia="x-none"/>
              </w:rPr>
              <w:t>Q</w:t>
            </w:r>
            <w:r w:rsidRPr="00DA6A87">
              <w:rPr>
                <w:sz w:val="22"/>
                <w:vertAlign w:val="subscript"/>
                <w:lang w:eastAsia="x-none"/>
              </w:rPr>
              <w:t>mistura</w:t>
            </w:r>
          </w:p>
        </w:tc>
        <w:tc>
          <w:tcPr>
            <w:tcW w:w="2165" w:type="dxa"/>
          </w:tcPr>
          <w:p w:rsidR="005A0D0E" w:rsidRPr="00DA6A87" w:rsidRDefault="005A0D0E" w:rsidP="00B94A15">
            <w:pPr>
              <w:spacing w:line="240" w:lineRule="auto"/>
              <w:jc w:val="center"/>
              <w:rPr>
                <w:sz w:val="22"/>
                <w:lang w:eastAsia="x-none"/>
              </w:rPr>
            </w:pPr>
            <w:r w:rsidRPr="00DA6A87">
              <w:rPr>
                <w:sz w:val="22"/>
                <w:lang w:eastAsia="x-none"/>
              </w:rPr>
              <w:t>0,05</w:t>
            </w:r>
            <w:r w:rsidR="00974676">
              <w:rPr>
                <w:sz w:val="22"/>
                <w:lang w:eastAsia="x-none"/>
              </w:rPr>
              <w:t>3</w:t>
            </w:r>
            <w:r w:rsidRPr="00DA6A87">
              <w:rPr>
                <w:sz w:val="22"/>
                <w:lang w:eastAsia="x-none"/>
              </w:rPr>
              <w:t xml:space="preserve"> m³/s</w:t>
            </w:r>
          </w:p>
        </w:tc>
      </w:tr>
      <w:tr w:rsidR="005A0D0E" w:rsidRPr="00DA6A87" w:rsidTr="00B94A15">
        <w:tc>
          <w:tcPr>
            <w:tcW w:w="2654" w:type="dxa"/>
          </w:tcPr>
          <w:p w:rsidR="005A0D0E" w:rsidRPr="00DA6A87" w:rsidRDefault="005A0D0E" w:rsidP="00B94A15">
            <w:pPr>
              <w:spacing w:line="240" w:lineRule="auto"/>
              <w:jc w:val="center"/>
              <w:rPr>
                <w:sz w:val="22"/>
                <w:lang w:eastAsia="x-none"/>
              </w:rPr>
            </w:pPr>
            <w:r w:rsidRPr="00DA6A87">
              <w:rPr>
                <w:sz w:val="22"/>
                <w:lang w:eastAsia="x-none"/>
              </w:rPr>
              <w:t>C</w:t>
            </w:r>
            <w:r w:rsidRPr="00DA6A87">
              <w:rPr>
                <w:sz w:val="22"/>
                <w:vertAlign w:val="subscript"/>
                <w:lang w:eastAsia="x-none"/>
              </w:rPr>
              <w:t>mistura</w:t>
            </w:r>
          </w:p>
        </w:tc>
        <w:tc>
          <w:tcPr>
            <w:tcW w:w="2165" w:type="dxa"/>
          </w:tcPr>
          <w:p w:rsidR="005A0D0E" w:rsidRPr="00DA6A87" w:rsidRDefault="005A0D0E" w:rsidP="00B94A15">
            <w:pPr>
              <w:spacing w:line="240" w:lineRule="auto"/>
              <w:jc w:val="center"/>
              <w:rPr>
                <w:sz w:val="22"/>
                <w:lang w:eastAsia="x-none"/>
              </w:rPr>
            </w:pPr>
            <w:r w:rsidRPr="00DA6A87">
              <w:rPr>
                <w:sz w:val="22"/>
                <w:lang w:eastAsia="x-none"/>
              </w:rPr>
              <w:t>5,00 mg/L</w:t>
            </w:r>
          </w:p>
        </w:tc>
      </w:tr>
    </w:tbl>
    <w:p w:rsidR="005A0D0E" w:rsidRPr="003D425A" w:rsidRDefault="005A0D0E" w:rsidP="005A0D0E">
      <w:pPr>
        <w:pStyle w:val="Fonte"/>
      </w:pPr>
      <w:r w:rsidRPr="003D425A">
        <w:t>Fonte: SHS, 2017.</w:t>
      </w:r>
    </w:p>
    <w:p w:rsidR="005A0D0E" w:rsidRPr="00DA6A87" w:rsidRDefault="005A0D0E" w:rsidP="005A0D0E">
      <w:pPr>
        <w:widowControl w:val="0"/>
        <w:autoSpaceDE w:val="0"/>
        <w:autoSpaceDN w:val="0"/>
        <w:adjustRightInd w:val="0"/>
        <w:spacing w:before="120" w:after="120"/>
        <w:ind w:firstLine="709"/>
        <w:contextualSpacing/>
      </w:pPr>
      <w:r w:rsidRPr="00DA6A87">
        <w:t>Tem</w:t>
      </w:r>
      <w:r w:rsidR="00154815">
        <w:t>-se</w:t>
      </w:r>
      <w:r w:rsidRPr="00DA6A87">
        <w:t xml:space="preserve"> assim, através da </w:t>
      </w:r>
      <w:r w:rsidRPr="00DA6A87">
        <w:fldChar w:fldCharType="begin"/>
      </w:r>
      <w:r w:rsidRPr="00DA6A87">
        <w:instrText xml:space="preserve"> REF _Ref484681963 \h </w:instrText>
      </w:r>
      <w:r w:rsidRPr="00DA6A87">
        <w:fldChar w:fldCharType="separate"/>
      </w:r>
      <w:r w:rsidR="004D1D76" w:rsidRPr="00DA6A87">
        <w:t xml:space="preserve">Equação </w:t>
      </w:r>
      <w:r w:rsidR="004D1D76">
        <w:rPr>
          <w:noProof/>
        </w:rPr>
        <w:t>21</w:t>
      </w:r>
      <w:r w:rsidRPr="00DA6A87">
        <w:fldChar w:fldCharType="end"/>
      </w:r>
      <w:r w:rsidRPr="00DA6A87">
        <w:t>:</w:t>
      </w:r>
    </w:p>
    <w:tbl>
      <w:tblPr>
        <w:tblStyle w:val="Tabelacomgrad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24"/>
      </w:tblGrid>
      <w:tr w:rsidR="005A0D0E" w:rsidRPr="00154815" w:rsidTr="00B94A15">
        <w:trPr>
          <w:jc w:val="center"/>
        </w:trPr>
        <w:tc>
          <w:tcPr>
            <w:tcW w:w="0" w:type="auto"/>
            <w:vAlign w:val="center"/>
          </w:tcPr>
          <w:p w:rsidR="005A0D0E" w:rsidRPr="00154815" w:rsidRDefault="004D1D76" w:rsidP="00974676">
            <w:pPr>
              <w:widowControl w:val="0"/>
              <w:autoSpaceDE w:val="0"/>
              <w:autoSpaceDN w:val="0"/>
              <w:adjustRightInd w:val="0"/>
              <w:spacing w:before="120" w:after="120"/>
              <w:ind w:firstLine="709"/>
              <w:contextualSpacing/>
              <w:jc w:val="center"/>
            </w:pPr>
            <m:oMathPara>
              <m:oMath>
                <m:sSub>
                  <m:sSubPr>
                    <m:ctrlPr>
                      <w:rPr>
                        <w:rFonts w:ascii="Cambria Math" w:hAnsi="Cambria Math"/>
                        <w:i/>
                      </w:rPr>
                    </m:ctrlPr>
                  </m:sSubPr>
                  <m:e>
                    <m:r>
                      <w:rPr>
                        <w:rFonts w:ascii="Cambria Math" w:hAnsi="Cambria Math"/>
                      </w:rPr>
                      <m:t>C</m:t>
                    </m:r>
                  </m:e>
                  <m:sub>
                    <m:r>
                      <w:rPr>
                        <w:rFonts w:ascii="Cambria Math" w:hAnsi="Cambria Math"/>
                      </w:rPr>
                      <m:t>ETEsaída</m:t>
                    </m:r>
                  </m:sub>
                </m:sSub>
                <m:r>
                  <w:rPr>
                    <w:rFonts w:ascii="Cambria Math" w:hAnsi="Cambria Math"/>
                  </w:rPr>
                  <m:t xml:space="preserve">= </m:t>
                </m:r>
                <m:f>
                  <m:fPr>
                    <m:ctrlPr>
                      <w:rPr>
                        <w:rFonts w:ascii="Cambria Math" w:hAnsi="Cambria Math"/>
                        <w:i/>
                      </w:rPr>
                    </m:ctrlPr>
                  </m:fPr>
                  <m:num>
                    <m:r>
                      <w:rPr>
                        <w:rFonts w:ascii="Cambria Math" w:hAnsi="Cambria Math"/>
                      </w:rPr>
                      <m:t>5*0,053- 5*0,047</m:t>
                    </m:r>
                  </m:num>
                  <m:den>
                    <m:r>
                      <w:rPr>
                        <w:rFonts w:ascii="Cambria Math" w:hAnsi="Cambria Math"/>
                      </w:rPr>
                      <m:t>0,0058</m:t>
                    </m:r>
                  </m:den>
                </m:f>
                <m:r>
                  <w:rPr>
                    <w:rFonts w:ascii="Cambria Math" w:hAnsi="Cambria Math"/>
                  </w:rPr>
                  <m:t>=5,17 mg/L</m:t>
                </m:r>
              </m:oMath>
            </m:oMathPara>
          </w:p>
        </w:tc>
      </w:tr>
    </w:tbl>
    <w:p w:rsidR="005A0D0E" w:rsidRPr="00154815" w:rsidRDefault="005A0D0E" w:rsidP="005A0D0E">
      <w:pPr>
        <w:widowControl w:val="0"/>
        <w:autoSpaceDE w:val="0"/>
        <w:autoSpaceDN w:val="0"/>
        <w:adjustRightInd w:val="0"/>
        <w:spacing w:before="120" w:after="120"/>
        <w:ind w:firstLine="709"/>
        <w:contextualSpacing/>
      </w:pPr>
      <w:r w:rsidRPr="00154815">
        <w:t>Pode-se observar que a vazão do corpo receptor é maior do que a vazão da ETE. Porém, os valores considerados para a concentração de DBO no rio e na mistura são de 5 mg/L, concentrações máximas para rios classe 2 . Assim, a concentração de saída da ETE, pelo cálculo acima, tem que ser de</w:t>
      </w:r>
      <w:r w:rsidR="00154815" w:rsidRPr="00154815">
        <w:t>,</w:t>
      </w:r>
      <w:r w:rsidRPr="00154815">
        <w:t xml:space="preserve"> no máximo</w:t>
      </w:r>
      <w:r w:rsidR="00154815" w:rsidRPr="00154815">
        <w:t>,</w:t>
      </w:r>
      <w:r w:rsidRPr="00154815">
        <w:t xml:space="preserve"> </w:t>
      </w:r>
      <w:r w:rsidR="00974676">
        <w:t>5,17</w:t>
      </w:r>
      <w:r w:rsidRPr="00154815">
        <w:t> mg/L para que seja respeitado o padrão de qualidade do corpo d’água.</w:t>
      </w:r>
    </w:p>
    <w:p w:rsidR="005A0D0E" w:rsidRPr="00154815" w:rsidRDefault="005A0D0E" w:rsidP="005A0D0E">
      <w:pPr>
        <w:widowControl w:val="0"/>
        <w:autoSpaceDE w:val="0"/>
        <w:autoSpaceDN w:val="0"/>
        <w:adjustRightInd w:val="0"/>
        <w:spacing w:before="120" w:after="120"/>
        <w:ind w:firstLine="709"/>
        <w:contextualSpacing/>
      </w:pPr>
      <w:r w:rsidRPr="00DA6A87">
        <w:t xml:space="preserve">Pode-se calcular </w:t>
      </w:r>
      <w:r w:rsidRPr="00154815">
        <w:t xml:space="preserve">então a eficiência mínima necessária da ETE, para que o esgoto tratado não altere a qualidade do corpo hídrico, utilizando a </w:t>
      </w:r>
      <w:r w:rsidRPr="00154815">
        <w:fldChar w:fldCharType="begin"/>
      </w:r>
      <w:r w:rsidRPr="00154815">
        <w:instrText xml:space="preserve"> REF _Ref486336652 \h  \* MERGEFORMAT </w:instrText>
      </w:r>
      <w:r w:rsidRPr="00154815">
        <w:fldChar w:fldCharType="separate"/>
      </w:r>
      <w:r w:rsidR="004D1D76" w:rsidRPr="007B4A2B">
        <w:t xml:space="preserve">Equação </w:t>
      </w:r>
      <w:r w:rsidR="004D1D76">
        <w:t>20</w:t>
      </w:r>
      <w:r w:rsidRPr="00154815">
        <w:fldChar w:fldCharType="end"/>
      </w:r>
      <w:r w:rsidRPr="00154815">
        <w:t>:</w:t>
      </w:r>
    </w:p>
    <w:p w:rsidR="005A0D0E" w:rsidRPr="00154815" w:rsidRDefault="005A0D0E" w:rsidP="005A0D0E">
      <w:pPr>
        <w:widowControl w:val="0"/>
        <w:autoSpaceDE w:val="0"/>
        <w:autoSpaceDN w:val="0"/>
        <w:adjustRightInd w:val="0"/>
        <w:spacing w:before="120" w:after="120"/>
        <w:ind w:firstLine="709"/>
        <w:contextualSpacing/>
      </w:pPr>
      <m:oMathPara>
        <m:oMath>
          <m:r>
            <w:rPr>
              <w:rFonts w:ascii="Cambria Math" w:hAnsi="Cambria Math"/>
              <w:szCs w:val="24"/>
            </w:rPr>
            <m:t>E=</m:t>
          </m:r>
          <m:f>
            <m:fPr>
              <m:ctrlPr>
                <w:rPr>
                  <w:rFonts w:ascii="Cambria Math" w:hAnsi="Cambria Math"/>
                  <w:i/>
                  <w:szCs w:val="24"/>
                </w:rPr>
              </m:ctrlPr>
            </m:fPr>
            <m:num>
              <m:sSub>
                <m:sSubPr>
                  <m:ctrlPr>
                    <w:rPr>
                      <w:rFonts w:ascii="Cambria Math" w:hAnsi="Cambria Math"/>
                      <w:i/>
                      <w:szCs w:val="24"/>
                    </w:rPr>
                  </m:ctrlPr>
                </m:sSubPr>
                <m:e>
                  <m:r>
                    <w:rPr>
                      <w:rFonts w:ascii="Cambria Math" w:hAnsi="Cambria Math"/>
                      <w:szCs w:val="24"/>
                    </w:rPr>
                    <m:t>C</m:t>
                  </m:r>
                </m:e>
                <m:sub>
                  <m:r>
                    <w:rPr>
                      <w:rFonts w:ascii="Cambria Math" w:hAnsi="Cambria Math"/>
                      <w:szCs w:val="24"/>
                    </w:rPr>
                    <m:t>ETE</m:t>
                  </m:r>
                  <m:r>
                    <w:rPr>
                      <w:rFonts w:ascii="Cambria Math" w:hAnsi="Cambria Math"/>
                      <w:szCs w:val="24"/>
                    </w:rPr>
                    <m:t>entrada</m:t>
                  </m:r>
                </m:sub>
              </m:sSub>
              <m:r>
                <w:rPr>
                  <w:rFonts w:ascii="Cambria Math" w:hAnsi="Cambria Math"/>
                  <w:szCs w:val="24"/>
                </w:rPr>
                <m:t>-</m:t>
              </m:r>
              <m:sSub>
                <m:sSubPr>
                  <m:ctrlPr>
                    <w:rPr>
                      <w:rFonts w:ascii="Cambria Math" w:hAnsi="Cambria Math"/>
                      <w:i/>
                      <w:szCs w:val="24"/>
                    </w:rPr>
                  </m:ctrlPr>
                </m:sSubPr>
                <m:e>
                  <m:r>
                    <w:rPr>
                      <w:rFonts w:ascii="Cambria Math" w:hAnsi="Cambria Math"/>
                      <w:szCs w:val="24"/>
                    </w:rPr>
                    <m:t>C</m:t>
                  </m:r>
                </m:e>
                <m:sub>
                  <m:r>
                    <w:rPr>
                      <w:rFonts w:ascii="Cambria Math" w:hAnsi="Cambria Math"/>
                      <w:szCs w:val="24"/>
                    </w:rPr>
                    <m:t>ETEsaída</m:t>
                  </m:r>
                </m:sub>
              </m:sSub>
            </m:num>
            <m:den>
              <m:sSub>
                <m:sSubPr>
                  <m:ctrlPr>
                    <w:rPr>
                      <w:rFonts w:ascii="Cambria Math" w:hAnsi="Cambria Math"/>
                      <w:i/>
                      <w:szCs w:val="24"/>
                    </w:rPr>
                  </m:ctrlPr>
                </m:sSubPr>
                <m:e>
                  <m:r>
                    <w:rPr>
                      <w:rFonts w:ascii="Cambria Math" w:hAnsi="Cambria Math"/>
                      <w:szCs w:val="24"/>
                    </w:rPr>
                    <m:t>C</m:t>
                  </m:r>
                </m:e>
                <m:sub>
                  <m:r>
                    <w:rPr>
                      <w:rFonts w:ascii="Cambria Math" w:hAnsi="Cambria Math"/>
                      <w:szCs w:val="24"/>
                    </w:rPr>
                    <m:t>ETEentrada</m:t>
                  </m:r>
                </m:sub>
              </m:sSub>
            </m:den>
          </m:f>
          <m:r>
            <w:rPr>
              <w:rFonts w:ascii="Cambria Math" w:hAnsi="Cambria Math"/>
              <w:szCs w:val="24"/>
            </w:rPr>
            <m:t xml:space="preserve">*100= </m:t>
          </m:r>
          <m:f>
            <m:fPr>
              <m:ctrlPr>
                <w:rPr>
                  <w:rFonts w:ascii="Cambria Math" w:hAnsi="Cambria Math"/>
                  <w:i/>
                  <w:szCs w:val="24"/>
                </w:rPr>
              </m:ctrlPr>
            </m:fPr>
            <m:num>
              <m:r>
                <w:rPr>
                  <w:rFonts w:ascii="Cambria Math" w:hAnsi="Cambria Math"/>
                  <w:szCs w:val="24"/>
                </w:rPr>
                <m:t>183,85-5,17</m:t>
              </m:r>
            </m:num>
            <m:den>
              <m:r>
                <w:rPr>
                  <w:rFonts w:ascii="Cambria Math" w:hAnsi="Cambria Math"/>
                  <w:szCs w:val="24"/>
                </w:rPr>
                <m:t>183,85</m:t>
              </m:r>
            </m:den>
          </m:f>
          <m:r>
            <w:rPr>
              <w:rFonts w:ascii="Cambria Math" w:hAnsi="Cambria Math"/>
              <w:szCs w:val="24"/>
            </w:rPr>
            <m:t>*100=97,2 %</m:t>
          </m:r>
        </m:oMath>
      </m:oMathPara>
    </w:p>
    <w:p w:rsidR="005A0D0E" w:rsidRPr="00154815" w:rsidRDefault="005A0D0E" w:rsidP="005A0D0E">
      <w:pPr>
        <w:widowControl w:val="0"/>
        <w:autoSpaceDE w:val="0"/>
        <w:autoSpaceDN w:val="0"/>
        <w:adjustRightInd w:val="0"/>
        <w:spacing w:before="120" w:after="120"/>
        <w:ind w:firstLine="709"/>
        <w:contextualSpacing/>
      </w:pPr>
      <w:r w:rsidRPr="00154815">
        <w:lastRenderedPageBreak/>
        <w:t xml:space="preserve">Como a eficiência da ETE deverá ser elevada, outra opção seria lançar os esgotos tratados em um corpo receptor de capacidade maior em </w:t>
      </w:r>
      <w:r w:rsidRPr="00F762D6">
        <w:t xml:space="preserve">termos de vazão Q </w:t>
      </w:r>
      <w:r w:rsidRPr="00F762D6">
        <w:rPr>
          <w:vertAlign w:val="subscript"/>
        </w:rPr>
        <w:t>7,10</w:t>
      </w:r>
      <w:r w:rsidRPr="00F762D6">
        <w:t xml:space="preserve"> e</w:t>
      </w:r>
      <w:r w:rsidR="00154815" w:rsidRPr="00F762D6">
        <w:t>,</w:t>
      </w:r>
      <w:r w:rsidRPr="00F762D6">
        <w:t xml:space="preserve"> consequentemente</w:t>
      </w:r>
      <w:r w:rsidR="00154815" w:rsidRPr="00F762D6">
        <w:t>,</w:t>
      </w:r>
      <w:r w:rsidRPr="00F762D6">
        <w:t xml:space="preserve"> a eficiência da ETE poderia ser menor. Para isso é necessário que</w:t>
      </w:r>
      <w:r w:rsidR="00154815" w:rsidRPr="00F762D6">
        <w:t>,</w:t>
      </w:r>
      <w:r w:rsidRPr="00F762D6">
        <w:t xml:space="preserve"> na ocasião do projeto executivo</w:t>
      </w:r>
      <w:r w:rsidR="00154815" w:rsidRPr="00F762D6">
        <w:t>,</w:t>
      </w:r>
      <w:r w:rsidRPr="00F762D6">
        <w:t xml:space="preserve"> seja estudada essa possibilidade</w:t>
      </w:r>
      <w:r w:rsidRPr="00154815">
        <w:t xml:space="preserve">. </w:t>
      </w:r>
    </w:p>
    <w:p w:rsidR="005A0D0E" w:rsidRPr="00154815" w:rsidRDefault="005A0D0E" w:rsidP="005A0D0E">
      <w:pPr>
        <w:widowControl w:val="0"/>
        <w:autoSpaceDE w:val="0"/>
        <w:autoSpaceDN w:val="0"/>
        <w:adjustRightInd w:val="0"/>
        <w:spacing w:before="120" w:after="120"/>
        <w:ind w:firstLine="709"/>
        <w:contextualSpacing/>
        <w:rPr>
          <w:rFonts w:eastAsiaTheme="minorEastAsia"/>
          <w:szCs w:val="24"/>
        </w:rPr>
      </w:pPr>
      <w:r w:rsidRPr="00154815">
        <w:t xml:space="preserve">Assim, para seguir os padrões de qualidade apresentados na Resolução DN COPAM n° 1, de 1 de maio de 2008, o valor de concentração necessário de DBO na saída da ETE deverá ser de, no máximo, </w:t>
      </w:r>
      <w:r w:rsidR="00974676">
        <w:t>5,17</w:t>
      </w:r>
      <w:r w:rsidRPr="00154815">
        <w:t xml:space="preserve"> mg/L, e corresponder a uma eficiência mínima de </w:t>
      </w:r>
      <w:r w:rsidR="00273000">
        <w:t>97</w:t>
      </w:r>
      <w:r w:rsidR="00974676">
        <w:t>,2</w:t>
      </w:r>
      <w:r w:rsidRPr="00154815">
        <w:t> %.</w:t>
      </w:r>
    </w:p>
    <w:p w:rsidR="005A0D0E" w:rsidRPr="00154815" w:rsidRDefault="005A0D0E" w:rsidP="005A0D0E">
      <w:pPr>
        <w:widowControl w:val="0"/>
        <w:tabs>
          <w:tab w:val="left" w:pos="4395"/>
        </w:tabs>
        <w:autoSpaceDE w:val="0"/>
        <w:autoSpaceDN w:val="0"/>
        <w:adjustRightInd w:val="0"/>
        <w:spacing w:before="120" w:after="120"/>
        <w:ind w:firstLine="709"/>
        <w:contextualSpacing/>
        <w:rPr>
          <w:rFonts w:eastAsiaTheme="minorEastAsia"/>
          <w:szCs w:val="24"/>
        </w:rPr>
      </w:pPr>
      <w:r w:rsidRPr="00154815">
        <w:rPr>
          <w:rFonts w:eastAsiaTheme="minorEastAsia"/>
          <w:szCs w:val="24"/>
        </w:rPr>
        <w:t xml:space="preserve">Para os cálculos de concentração dos coliformes fecais termotolerantes, considera-se apenas o padrão de qualidade apresentado na </w:t>
      </w:r>
      <w:r w:rsidRPr="00154815">
        <w:t>Resolução DN COPAM n° 1</w:t>
      </w:r>
      <w:r w:rsidR="00154815" w:rsidRPr="00154815">
        <w:t>, de 1 de maio de 2008, em seu a</w:t>
      </w:r>
      <w:r w:rsidRPr="00154815">
        <w:t xml:space="preserve">rt. 14, pois não existe um padrão de lançamento estipulado para esse parâmetro. Os cálculos se baseiam na </w:t>
      </w:r>
      <w:r w:rsidRPr="00154815">
        <w:rPr>
          <w:rFonts w:eastAsiaTheme="minorEastAsia"/>
          <w:szCs w:val="24"/>
        </w:rPr>
        <w:fldChar w:fldCharType="begin"/>
      </w:r>
      <w:r w:rsidRPr="00154815">
        <w:rPr>
          <w:rFonts w:eastAsiaTheme="minorEastAsia"/>
          <w:szCs w:val="24"/>
        </w:rPr>
        <w:instrText xml:space="preserve"> REF _Ref486336652 \h  \* MERGEFORMAT </w:instrText>
      </w:r>
      <w:r w:rsidRPr="00154815">
        <w:rPr>
          <w:rFonts w:eastAsiaTheme="minorEastAsia"/>
          <w:szCs w:val="24"/>
        </w:rPr>
      </w:r>
      <w:r w:rsidRPr="00154815">
        <w:rPr>
          <w:rFonts w:eastAsiaTheme="minorEastAsia"/>
          <w:szCs w:val="24"/>
        </w:rPr>
        <w:fldChar w:fldCharType="separate"/>
      </w:r>
      <w:r w:rsidR="004D1D76" w:rsidRPr="007B4A2B">
        <w:t xml:space="preserve">Equação </w:t>
      </w:r>
      <w:r w:rsidR="004D1D76">
        <w:rPr>
          <w:noProof/>
        </w:rPr>
        <w:t>20</w:t>
      </w:r>
      <w:r w:rsidRPr="00154815">
        <w:rPr>
          <w:rFonts w:eastAsiaTheme="minorEastAsia"/>
          <w:szCs w:val="24"/>
        </w:rPr>
        <w:fldChar w:fldCharType="end"/>
      </w:r>
      <w:r w:rsidRPr="00154815">
        <w:rPr>
          <w:rFonts w:eastAsiaTheme="minorEastAsia"/>
          <w:szCs w:val="24"/>
        </w:rPr>
        <w:t xml:space="preserve">, e os valores utilizados na equação podem ser vistos na </w:t>
      </w:r>
      <w:r w:rsidRPr="00154815">
        <w:rPr>
          <w:rFonts w:eastAsiaTheme="minorEastAsia"/>
          <w:szCs w:val="24"/>
        </w:rPr>
        <w:fldChar w:fldCharType="begin"/>
      </w:r>
      <w:r w:rsidRPr="00154815">
        <w:rPr>
          <w:rFonts w:eastAsiaTheme="minorEastAsia"/>
          <w:szCs w:val="24"/>
        </w:rPr>
        <w:instrText xml:space="preserve"> REF _Ref484682699 \h </w:instrText>
      </w:r>
      <w:r w:rsidRPr="00154815">
        <w:rPr>
          <w:rFonts w:eastAsiaTheme="minorEastAsia"/>
          <w:szCs w:val="24"/>
        </w:rPr>
      </w:r>
      <w:r w:rsidRPr="00154815">
        <w:rPr>
          <w:rFonts w:eastAsiaTheme="minorEastAsia"/>
          <w:szCs w:val="24"/>
        </w:rPr>
        <w:fldChar w:fldCharType="separate"/>
      </w:r>
      <w:r w:rsidR="004D1D76" w:rsidRPr="00DA6A87">
        <w:t xml:space="preserve">Tabela </w:t>
      </w:r>
      <w:r w:rsidR="004D1D76">
        <w:rPr>
          <w:noProof/>
        </w:rPr>
        <w:t>2</w:t>
      </w:r>
      <w:r w:rsidRPr="00154815">
        <w:rPr>
          <w:rFonts w:eastAsiaTheme="minorEastAsia"/>
          <w:szCs w:val="24"/>
        </w:rPr>
        <w:fldChar w:fldCharType="end"/>
      </w:r>
      <w:r w:rsidRPr="00154815">
        <w:rPr>
          <w:rFonts w:eastAsiaTheme="minorEastAsia"/>
          <w:szCs w:val="24"/>
        </w:rPr>
        <w:t>.</w:t>
      </w:r>
    </w:p>
    <w:p w:rsidR="005A0D0E" w:rsidRPr="00DA6A87" w:rsidRDefault="005A0D0E" w:rsidP="005A0D0E">
      <w:pPr>
        <w:pStyle w:val="Legenda"/>
      </w:pPr>
      <w:bookmarkStart w:id="163" w:name="_Ref484682699"/>
      <w:bookmarkStart w:id="164" w:name="_Toc497469204"/>
      <w:r w:rsidRPr="00DA6A87">
        <w:t xml:space="preserve">Tabela </w:t>
      </w:r>
      <w:r w:rsidR="00D71C43">
        <w:fldChar w:fldCharType="begin"/>
      </w:r>
      <w:r w:rsidR="00D71C43">
        <w:instrText xml:space="preserve"> SEQ Tabela \* ARABIC </w:instrText>
      </w:r>
      <w:r w:rsidR="00D71C43">
        <w:fldChar w:fldCharType="separate"/>
      </w:r>
      <w:r w:rsidR="004D1D76">
        <w:rPr>
          <w:noProof/>
        </w:rPr>
        <w:t>2</w:t>
      </w:r>
      <w:r w:rsidR="00D71C43">
        <w:rPr>
          <w:noProof/>
        </w:rPr>
        <w:fldChar w:fldCharType="end"/>
      </w:r>
      <w:bookmarkEnd w:id="163"/>
      <w:r w:rsidRPr="00DA6A87">
        <w:t xml:space="preserve"> - Valores utilizados para o cálculo da concentração de coliformes fecais termotolerantes de lançamento máxima aceitável da futura ETE em Córrego Novo</w:t>
      </w:r>
      <w:bookmarkEnd w:id="164"/>
    </w:p>
    <w:tbl>
      <w:tblPr>
        <w:tblStyle w:val="Tabelacomgrade"/>
        <w:tblW w:w="0" w:type="auto"/>
        <w:tblInd w:w="2093" w:type="dxa"/>
        <w:tblBorders>
          <w:left w:val="none" w:sz="0" w:space="0" w:color="auto"/>
          <w:right w:val="none" w:sz="0" w:space="0" w:color="auto"/>
        </w:tblBorders>
        <w:tblLook w:val="04A0" w:firstRow="1" w:lastRow="0" w:firstColumn="1" w:lastColumn="0" w:noHBand="0" w:noVBand="1"/>
      </w:tblPr>
      <w:tblGrid>
        <w:gridCol w:w="2654"/>
        <w:gridCol w:w="2165"/>
      </w:tblGrid>
      <w:tr w:rsidR="005A0D0E" w:rsidRPr="00DA6A87" w:rsidTr="00B94A15">
        <w:tc>
          <w:tcPr>
            <w:tcW w:w="2654" w:type="dxa"/>
          </w:tcPr>
          <w:p w:rsidR="005A0D0E" w:rsidRPr="00DA6A87" w:rsidRDefault="005A0D0E" w:rsidP="00B94A15">
            <w:pPr>
              <w:spacing w:line="240" w:lineRule="auto"/>
              <w:jc w:val="center"/>
              <w:rPr>
                <w:b/>
                <w:sz w:val="22"/>
                <w:lang w:eastAsia="x-none"/>
              </w:rPr>
            </w:pPr>
            <w:r w:rsidRPr="00DA6A87">
              <w:rPr>
                <w:b/>
                <w:sz w:val="22"/>
                <w:lang w:eastAsia="x-none"/>
              </w:rPr>
              <w:t>Parâmetro</w:t>
            </w:r>
          </w:p>
        </w:tc>
        <w:tc>
          <w:tcPr>
            <w:tcW w:w="2165" w:type="dxa"/>
          </w:tcPr>
          <w:p w:rsidR="005A0D0E" w:rsidRPr="00DA6A87" w:rsidRDefault="005A0D0E" w:rsidP="00B94A15">
            <w:pPr>
              <w:spacing w:line="240" w:lineRule="auto"/>
              <w:jc w:val="center"/>
              <w:rPr>
                <w:b/>
                <w:sz w:val="22"/>
                <w:lang w:eastAsia="x-none"/>
              </w:rPr>
            </w:pPr>
            <w:r w:rsidRPr="00DA6A87">
              <w:rPr>
                <w:b/>
                <w:sz w:val="22"/>
                <w:lang w:eastAsia="x-none"/>
              </w:rPr>
              <w:t>Valor</w:t>
            </w:r>
          </w:p>
        </w:tc>
      </w:tr>
      <w:tr w:rsidR="005A0D0E" w:rsidRPr="00DA6A87" w:rsidTr="00B94A15">
        <w:tc>
          <w:tcPr>
            <w:tcW w:w="2654" w:type="dxa"/>
          </w:tcPr>
          <w:p w:rsidR="005A0D0E" w:rsidRPr="00DA6A87" w:rsidRDefault="005A0D0E" w:rsidP="00B94A15">
            <w:pPr>
              <w:spacing w:line="240" w:lineRule="auto"/>
              <w:jc w:val="center"/>
              <w:rPr>
                <w:sz w:val="22"/>
                <w:lang w:eastAsia="x-none"/>
              </w:rPr>
            </w:pPr>
            <w:r w:rsidRPr="00DA6A87">
              <w:rPr>
                <w:sz w:val="22"/>
                <w:lang w:eastAsia="x-none"/>
              </w:rPr>
              <w:t>Q</w:t>
            </w:r>
            <w:r w:rsidRPr="00DA6A87">
              <w:rPr>
                <w:sz w:val="22"/>
                <w:vertAlign w:val="subscript"/>
                <w:lang w:eastAsia="x-none"/>
              </w:rPr>
              <w:t>ETE</w:t>
            </w:r>
          </w:p>
        </w:tc>
        <w:tc>
          <w:tcPr>
            <w:tcW w:w="2165" w:type="dxa"/>
          </w:tcPr>
          <w:p w:rsidR="005A0D0E" w:rsidRPr="00DA6A87" w:rsidRDefault="005A0D0E" w:rsidP="00273000">
            <w:pPr>
              <w:spacing w:line="240" w:lineRule="auto"/>
              <w:jc w:val="center"/>
              <w:rPr>
                <w:sz w:val="22"/>
                <w:lang w:eastAsia="x-none"/>
              </w:rPr>
            </w:pPr>
            <w:r w:rsidRPr="00DA6A87">
              <w:rPr>
                <w:sz w:val="22"/>
                <w:lang w:eastAsia="x-none"/>
              </w:rPr>
              <w:t>0,00</w:t>
            </w:r>
            <w:r w:rsidR="00BC7F7F">
              <w:rPr>
                <w:sz w:val="22"/>
                <w:lang w:eastAsia="x-none"/>
              </w:rPr>
              <w:t>5</w:t>
            </w:r>
            <w:r w:rsidR="00273000">
              <w:rPr>
                <w:sz w:val="22"/>
                <w:lang w:eastAsia="x-none"/>
              </w:rPr>
              <w:t>8</w:t>
            </w:r>
            <w:r w:rsidRPr="00DA6A87">
              <w:rPr>
                <w:sz w:val="22"/>
                <w:lang w:eastAsia="x-none"/>
              </w:rPr>
              <w:t xml:space="preserve"> m³/s</w:t>
            </w:r>
          </w:p>
        </w:tc>
      </w:tr>
      <w:tr w:rsidR="005A0D0E" w:rsidRPr="00DA6A87" w:rsidTr="00B94A15">
        <w:tc>
          <w:tcPr>
            <w:tcW w:w="2654" w:type="dxa"/>
          </w:tcPr>
          <w:p w:rsidR="005A0D0E" w:rsidRPr="00DA6A87" w:rsidRDefault="005A0D0E" w:rsidP="00B94A15">
            <w:pPr>
              <w:spacing w:line="240" w:lineRule="auto"/>
              <w:jc w:val="center"/>
              <w:rPr>
                <w:sz w:val="22"/>
                <w:lang w:eastAsia="x-none"/>
              </w:rPr>
            </w:pPr>
            <w:r w:rsidRPr="00DA6A87">
              <w:rPr>
                <w:sz w:val="22"/>
                <w:lang w:eastAsia="x-none"/>
              </w:rPr>
              <w:t>Q</w:t>
            </w:r>
            <w:r w:rsidRPr="00DA6A87">
              <w:rPr>
                <w:sz w:val="22"/>
                <w:vertAlign w:val="subscript"/>
                <w:lang w:eastAsia="x-none"/>
              </w:rPr>
              <w:t>Rio</w:t>
            </w:r>
            <w:r w:rsidRPr="00DA6A87">
              <w:rPr>
                <w:sz w:val="22"/>
                <w:lang w:eastAsia="x-none"/>
              </w:rPr>
              <w:t xml:space="preserve"> (= Q</w:t>
            </w:r>
            <w:r w:rsidRPr="00DA6A87">
              <w:rPr>
                <w:sz w:val="22"/>
                <w:vertAlign w:val="subscript"/>
                <w:lang w:eastAsia="x-none"/>
              </w:rPr>
              <w:t>7,10</w:t>
            </w:r>
            <w:r w:rsidRPr="00DA6A87">
              <w:rPr>
                <w:sz w:val="22"/>
                <w:lang w:eastAsia="x-none"/>
              </w:rPr>
              <w:t>)</w:t>
            </w:r>
          </w:p>
        </w:tc>
        <w:tc>
          <w:tcPr>
            <w:tcW w:w="2165" w:type="dxa"/>
          </w:tcPr>
          <w:p w:rsidR="005A0D0E" w:rsidRPr="00DA6A87" w:rsidRDefault="005A0D0E" w:rsidP="00B94A15">
            <w:pPr>
              <w:spacing w:line="240" w:lineRule="auto"/>
              <w:jc w:val="center"/>
              <w:rPr>
                <w:sz w:val="22"/>
                <w:lang w:eastAsia="x-none"/>
              </w:rPr>
            </w:pPr>
            <w:r w:rsidRPr="00DA6A87">
              <w:rPr>
                <w:sz w:val="22"/>
                <w:lang w:eastAsia="x-none"/>
              </w:rPr>
              <w:t>0,047 m³/s</w:t>
            </w:r>
          </w:p>
        </w:tc>
      </w:tr>
      <w:tr w:rsidR="005A0D0E" w:rsidRPr="00DA6A87" w:rsidTr="00B94A15">
        <w:tc>
          <w:tcPr>
            <w:tcW w:w="2654" w:type="dxa"/>
          </w:tcPr>
          <w:p w:rsidR="005A0D0E" w:rsidRPr="00DA6A87" w:rsidRDefault="005A0D0E" w:rsidP="00B94A15">
            <w:pPr>
              <w:spacing w:line="240" w:lineRule="auto"/>
              <w:jc w:val="center"/>
              <w:rPr>
                <w:sz w:val="22"/>
                <w:lang w:eastAsia="x-none"/>
              </w:rPr>
            </w:pPr>
            <w:r w:rsidRPr="00DA6A87">
              <w:rPr>
                <w:sz w:val="22"/>
                <w:lang w:eastAsia="x-none"/>
              </w:rPr>
              <w:t>C</w:t>
            </w:r>
            <w:r w:rsidRPr="00DA6A87">
              <w:rPr>
                <w:sz w:val="22"/>
                <w:vertAlign w:val="subscript"/>
                <w:lang w:eastAsia="x-none"/>
              </w:rPr>
              <w:t>Rio</w:t>
            </w:r>
          </w:p>
        </w:tc>
        <w:tc>
          <w:tcPr>
            <w:tcW w:w="2165" w:type="dxa"/>
          </w:tcPr>
          <w:p w:rsidR="005A0D0E" w:rsidRPr="00DA6A87" w:rsidRDefault="005A0D0E" w:rsidP="00B94A15">
            <w:pPr>
              <w:spacing w:line="240" w:lineRule="auto"/>
              <w:jc w:val="center"/>
              <w:rPr>
                <w:sz w:val="22"/>
                <w:lang w:eastAsia="x-none"/>
              </w:rPr>
            </w:pPr>
            <w:r w:rsidRPr="00DA6A87">
              <w:rPr>
                <w:sz w:val="22"/>
                <w:lang w:eastAsia="x-none"/>
              </w:rPr>
              <w:t>1000 org/100mL</w:t>
            </w:r>
          </w:p>
        </w:tc>
      </w:tr>
      <w:tr w:rsidR="005A0D0E" w:rsidRPr="00DA6A87" w:rsidTr="00B94A15">
        <w:tc>
          <w:tcPr>
            <w:tcW w:w="2654" w:type="dxa"/>
          </w:tcPr>
          <w:p w:rsidR="005A0D0E" w:rsidRPr="00DA6A87" w:rsidRDefault="005A0D0E" w:rsidP="00B94A15">
            <w:pPr>
              <w:spacing w:line="240" w:lineRule="auto"/>
              <w:jc w:val="center"/>
              <w:rPr>
                <w:sz w:val="22"/>
                <w:lang w:eastAsia="x-none"/>
              </w:rPr>
            </w:pPr>
            <w:r w:rsidRPr="00DA6A87">
              <w:rPr>
                <w:sz w:val="22"/>
                <w:lang w:eastAsia="x-none"/>
              </w:rPr>
              <w:t>Q</w:t>
            </w:r>
            <w:r w:rsidRPr="00DA6A87">
              <w:rPr>
                <w:sz w:val="22"/>
                <w:vertAlign w:val="subscript"/>
                <w:lang w:eastAsia="x-none"/>
              </w:rPr>
              <w:t>mistura</w:t>
            </w:r>
          </w:p>
        </w:tc>
        <w:tc>
          <w:tcPr>
            <w:tcW w:w="2165" w:type="dxa"/>
          </w:tcPr>
          <w:p w:rsidR="005A0D0E" w:rsidRPr="00DA6A87" w:rsidRDefault="005A0D0E" w:rsidP="00974676">
            <w:pPr>
              <w:spacing w:line="240" w:lineRule="auto"/>
              <w:jc w:val="center"/>
              <w:rPr>
                <w:sz w:val="22"/>
                <w:lang w:eastAsia="x-none"/>
              </w:rPr>
            </w:pPr>
            <w:r w:rsidRPr="00DA6A87">
              <w:rPr>
                <w:sz w:val="22"/>
                <w:lang w:eastAsia="x-none"/>
              </w:rPr>
              <w:t>0,05</w:t>
            </w:r>
            <w:r w:rsidR="00974676">
              <w:rPr>
                <w:sz w:val="22"/>
                <w:lang w:eastAsia="x-none"/>
              </w:rPr>
              <w:t>3</w:t>
            </w:r>
            <w:r w:rsidRPr="00DA6A87">
              <w:rPr>
                <w:sz w:val="22"/>
                <w:lang w:eastAsia="x-none"/>
              </w:rPr>
              <w:t xml:space="preserve"> m³/s</w:t>
            </w:r>
          </w:p>
        </w:tc>
      </w:tr>
      <w:tr w:rsidR="005A0D0E" w:rsidRPr="00DA6A87" w:rsidTr="00B94A15">
        <w:tc>
          <w:tcPr>
            <w:tcW w:w="2654" w:type="dxa"/>
          </w:tcPr>
          <w:p w:rsidR="005A0D0E" w:rsidRPr="00DA6A87" w:rsidRDefault="005A0D0E" w:rsidP="00B94A15">
            <w:pPr>
              <w:spacing w:line="240" w:lineRule="auto"/>
              <w:jc w:val="center"/>
              <w:rPr>
                <w:sz w:val="22"/>
                <w:lang w:eastAsia="x-none"/>
              </w:rPr>
            </w:pPr>
            <w:r w:rsidRPr="00DA6A87">
              <w:rPr>
                <w:sz w:val="22"/>
                <w:lang w:eastAsia="x-none"/>
              </w:rPr>
              <w:t>C</w:t>
            </w:r>
            <w:r w:rsidRPr="00DA6A87">
              <w:rPr>
                <w:sz w:val="22"/>
                <w:vertAlign w:val="subscript"/>
                <w:lang w:eastAsia="x-none"/>
              </w:rPr>
              <w:t>mistura</w:t>
            </w:r>
          </w:p>
        </w:tc>
        <w:tc>
          <w:tcPr>
            <w:tcW w:w="2165" w:type="dxa"/>
          </w:tcPr>
          <w:p w:rsidR="005A0D0E" w:rsidRPr="00DA6A87" w:rsidRDefault="005A0D0E" w:rsidP="00B94A15">
            <w:pPr>
              <w:spacing w:line="240" w:lineRule="auto"/>
              <w:jc w:val="center"/>
              <w:rPr>
                <w:sz w:val="22"/>
                <w:lang w:eastAsia="x-none"/>
              </w:rPr>
            </w:pPr>
            <w:r w:rsidRPr="00DA6A87">
              <w:rPr>
                <w:sz w:val="22"/>
                <w:lang w:eastAsia="x-none"/>
              </w:rPr>
              <w:t>1000 org/100mL</w:t>
            </w:r>
          </w:p>
        </w:tc>
      </w:tr>
    </w:tbl>
    <w:p w:rsidR="005A0D0E" w:rsidRPr="003D425A" w:rsidRDefault="005A0D0E" w:rsidP="005A0D0E">
      <w:pPr>
        <w:pStyle w:val="Fonte"/>
      </w:pPr>
      <w:r w:rsidRPr="003D425A">
        <w:t>Fonte: SHS, 2017.</w:t>
      </w:r>
    </w:p>
    <w:p w:rsidR="005A0D0E" w:rsidRPr="00DA6A87" w:rsidRDefault="005A0D0E" w:rsidP="005A0D0E">
      <w:pPr>
        <w:widowControl w:val="0"/>
        <w:autoSpaceDE w:val="0"/>
        <w:autoSpaceDN w:val="0"/>
        <w:adjustRightInd w:val="0"/>
        <w:spacing w:before="120" w:after="120"/>
        <w:ind w:firstLine="709"/>
        <w:contextualSpacing/>
      </w:pPr>
      <w:r w:rsidRPr="00DA6A87">
        <w:t xml:space="preserve">Temos assim, através da </w:t>
      </w:r>
      <w:r w:rsidRPr="00DA6A87">
        <w:fldChar w:fldCharType="begin"/>
      </w:r>
      <w:r w:rsidRPr="00DA6A87">
        <w:instrText xml:space="preserve"> REF _Ref484681963 \h </w:instrText>
      </w:r>
      <w:r w:rsidRPr="00DA6A87">
        <w:fldChar w:fldCharType="separate"/>
      </w:r>
      <w:r w:rsidR="004D1D76" w:rsidRPr="00DA6A87">
        <w:t xml:space="preserve">Equação </w:t>
      </w:r>
      <w:r w:rsidR="004D1D76">
        <w:rPr>
          <w:noProof/>
        </w:rPr>
        <w:t>21</w:t>
      </w:r>
      <w:r w:rsidRPr="00DA6A87">
        <w:fldChar w:fldCharType="end"/>
      </w:r>
      <w:r w:rsidRPr="00DA6A87">
        <w:t>:</w:t>
      </w:r>
    </w:p>
    <w:p w:rsidR="005A0D0E" w:rsidRPr="00154815" w:rsidRDefault="004D1D76" w:rsidP="005A0D0E">
      <w:pPr>
        <w:widowControl w:val="0"/>
        <w:autoSpaceDE w:val="0"/>
        <w:autoSpaceDN w:val="0"/>
        <w:adjustRightInd w:val="0"/>
        <w:spacing w:before="120" w:after="120"/>
        <w:ind w:firstLine="709"/>
        <w:contextualSpacing/>
      </w:pPr>
      <m:oMathPara>
        <m:oMath>
          <m:sSub>
            <m:sSubPr>
              <m:ctrlPr>
                <w:rPr>
                  <w:rFonts w:ascii="Cambria Math" w:hAnsi="Cambria Math"/>
                  <w:i/>
                </w:rPr>
              </m:ctrlPr>
            </m:sSubPr>
            <m:e>
              <m:r>
                <w:rPr>
                  <w:rFonts w:ascii="Cambria Math" w:hAnsi="Cambria Math"/>
                </w:rPr>
                <m:t>C</m:t>
              </m:r>
            </m:e>
            <m:sub>
              <m:r>
                <w:rPr>
                  <w:rFonts w:ascii="Cambria Math" w:hAnsi="Cambria Math"/>
                </w:rPr>
                <m:t>ETEsaída</m:t>
              </m:r>
            </m:sub>
          </m:sSub>
          <m:r>
            <w:rPr>
              <w:rFonts w:ascii="Cambria Math" w:hAnsi="Cambria Math"/>
            </w:rPr>
            <m:t xml:space="preserve">= </m:t>
          </m:r>
          <m:f>
            <m:fPr>
              <m:ctrlPr>
                <w:rPr>
                  <w:rFonts w:ascii="Cambria Math" w:hAnsi="Cambria Math"/>
                  <w:i/>
                </w:rPr>
              </m:ctrlPr>
            </m:fPr>
            <m:num>
              <m:r>
                <w:rPr>
                  <w:rFonts w:ascii="Cambria Math" w:hAnsi="Cambria Math"/>
                </w:rPr>
                <m:t>1000*0,053- 1000*0,047</m:t>
              </m:r>
            </m:num>
            <m:den>
              <m:r>
                <w:rPr>
                  <w:rFonts w:ascii="Cambria Math" w:hAnsi="Cambria Math"/>
                </w:rPr>
                <m:t>0,0058</m:t>
              </m:r>
            </m:den>
          </m:f>
          <m:r>
            <w:rPr>
              <w:rFonts w:ascii="Cambria Math" w:hAnsi="Cambria Math"/>
            </w:rPr>
            <m:t>=1034,50 org/100mL</m:t>
          </m:r>
        </m:oMath>
      </m:oMathPara>
    </w:p>
    <w:p w:rsidR="005A0D0E" w:rsidRPr="00154815" w:rsidRDefault="005A0D0E" w:rsidP="005A0D0E">
      <w:pPr>
        <w:widowControl w:val="0"/>
        <w:tabs>
          <w:tab w:val="left" w:pos="4395"/>
        </w:tabs>
        <w:autoSpaceDE w:val="0"/>
        <w:autoSpaceDN w:val="0"/>
        <w:adjustRightInd w:val="0"/>
        <w:spacing w:before="120" w:after="120"/>
        <w:ind w:firstLine="709"/>
        <w:contextualSpacing/>
        <w:rPr>
          <w:rFonts w:eastAsiaTheme="minorEastAsia"/>
          <w:szCs w:val="24"/>
        </w:rPr>
      </w:pPr>
    </w:p>
    <w:p w:rsidR="005A0D0E" w:rsidRPr="00154815" w:rsidRDefault="005A0D0E" w:rsidP="005A0D0E">
      <w:pPr>
        <w:widowControl w:val="0"/>
        <w:tabs>
          <w:tab w:val="left" w:pos="4395"/>
        </w:tabs>
        <w:autoSpaceDE w:val="0"/>
        <w:autoSpaceDN w:val="0"/>
        <w:adjustRightInd w:val="0"/>
        <w:spacing w:before="120" w:after="120"/>
        <w:ind w:firstLine="709"/>
        <w:contextualSpacing/>
        <w:rPr>
          <w:rFonts w:eastAsiaTheme="minorEastAsia"/>
          <w:szCs w:val="24"/>
        </w:rPr>
      </w:pPr>
      <w:r w:rsidRPr="00154815">
        <w:rPr>
          <w:rFonts w:eastAsiaTheme="minorEastAsia"/>
          <w:szCs w:val="24"/>
        </w:rPr>
        <w:t xml:space="preserve">Da mesma forma, para calcular a eficiência de remoção necessária de coliformes fecais termotolerantes, adota-se o maior valor calculado no </w:t>
      </w:r>
      <w:r w:rsidRPr="00154815">
        <w:rPr>
          <w:rFonts w:eastAsiaTheme="minorEastAsia"/>
          <w:szCs w:val="24"/>
        </w:rPr>
        <w:fldChar w:fldCharType="begin"/>
      </w:r>
      <w:r w:rsidRPr="00154815">
        <w:rPr>
          <w:rFonts w:eastAsiaTheme="minorEastAsia"/>
          <w:szCs w:val="24"/>
        </w:rPr>
        <w:instrText xml:space="preserve"> REF _Ref485737547 \h  \* MERGEFORMAT </w:instrText>
      </w:r>
      <w:r w:rsidRPr="00154815">
        <w:rPr>
          <w:rFonts w:eastAsiaTheme="minorEastAsia"/>
          <w:szCs w:val="24"/>
        </w:rPr>
      </w:r>
      <w:r w:rsidRPr="00154815">
        <w:rPr>
          <w:rFonts w:eastAsiaTheme="minorEastAsia"/>
          <w:szCs w:val="24"/>
        </w:rPr>
        <w:fldChar w:fldCharType="separate"/>
      </w:r>
      <w:r w:rsidR="004D1D76" w:rsidRPr="00DA6A87">
        <w:t xml:space="preserve">Quadro </w:t>
      </w:r>
      <w:r w:rsidR="004D1D76">
        <w:rPr>
          <w:noProof/>
        </w:rPr>
        <w:t>19</w:t>
      </w:r>
      <w:r w:rsidRPr="00154815">
        <w:rPr>
          <w:rFonts w:eastAsiaTheme="minorEastAsia"/>
          <w:szCs w:val="24"/>
        </w:rPr>
        <w:fldChar w:fldCharType="end"/>
      </w:r>
      <w:r w:rsidRPr="00154815">
        <w:rPr>
          <w:rFonts w:eastAsiaTheme="minorEastAsia"/>
          <w:szCs w:val="24"/>
        </w:rPr>
        <w:t>, 3,</w:t>
      </w:r>
      <w:r w:rsidR="00273000">
        <w:rPr>
          <w:rFonts w:eastAsiaTheme="minorEastAsia"/>
          <w:szCs w:val="24"/>
        </w:rPr>
        <w:t>40</w:t>
      </w:r>
      <w:r w:rsidRPr="00154815">
        <w:rPr>
          <w:rFonts w:eastAsiaTheme="minorEastAsia"/>
          <w:szCs w:val="24"/>
        </w:rPr>
        <w:t> x 10</w:t>
      </w:r>
      <w:r w:rsidRPr="00154815">
        <w:rPr>
          <w:rFonts w:eastAsiaTheme="minorEastAsia"/>
          <w:szCs w:val="24"/>
          <w:vertAlign w:val="superscript"/>
        </w:rPr>
        <w:t>7</w:t>
      </w:r>
      <w:r w:rsidRPr="00154815">
        <w:rPr>
          <w:rFonts w:eastAsiaTheme="minorEastAsia"/>
          <w:szCs w:val="24"/>
        </w:rPr>
        <w:t xml:space="preserve"> org/100 mL, para o ano de 2038. Então, temos para Córrego Novo, através da </w:t>
      </w:r>
      <w:r w:rsidRPr="00154815">
        <w:rPr>
          <w:rFonts w:eastAsiaTheme="minorEastAsia"/>
          <w:szCs w:val="24"/>
        </w:rPr>
        <w:fldChar w:fldCharType="begin"/>
      </w:r>
      <w:r w:rsidRPr="00154815">
        <w:rPr>
          <w:rFonts w:eastAsiaTheme="minorEastAsia"/>
          <w:szCs w:val="24"/>
        </w:rPr>
        <w:instrText xml:space="preserve"> REF _Ref486336652 \h </w:instrText>
      </w:r>
      <w:r w:rsidRPr="00154815">
        <w:rPr>
          <w:rFonts w:eastAsiaTheme="minorEastAsia"/>
          <w:szCs w:val="24"/>
        </w:rPr>
      </w:r>
      <w:r w:rsidRPr="00154815">
        <w:rPr>
          <w:rFonts w:eastAsiaTheme="minorEastAsia"/>
          <w:szCs w:val="24"/>
        </w:rPr>
        <w:fldChar w:fldCharType="separate"/>
      </w:r>
      <w:r w:rsidR="004D1D76" w:rsidRPr="007B4A2B">
        <w:t xml:space="preserve">Equação </w:t>
      </w:r>
      <w:r w:rsidR="004D1D76">
        <w:rPr>
          <w:noProof/>
        </w:rPr>
        <w:t>20</w:t>
      </w:r>
      <w:r w:rsidRPr="00154815">
        <w:rPr>
          <w:rFonts w:eastAsiaTheme="minorEastAsia"/>
          <w:szCs w:val="24"/>
        </w:rPr>
        <w:fldChar w:fldCharType="end"/>
      </w:r>
      <w:r w:rsidRPr="00154815">
        <w:rPr>
          <w:rFonts w:eastAsiaTheme="minorEastAsia"/>
          <w:szCs w:val="24"/>
        </w:rPr>
        <w:t>:</w:t>
      </w:r>
    </w:p>
    <w:tbl>
      <w:tblPr>
        <w:tblStyle w:val="Tabelacomgrad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08"/>
      </w:tblGrid>
      <w:tr w:rsidR="005A0D0E" w:rsidRPr="00DA6A87" w:rsidTr="00B94A15">
        <w:trPr>
          <w:jc w:val="center"/>
        </w:trPr>
        <w:tc>
          <w:tcPr>
            <w:tcW w:w="0" w:type="auto"/>
          </w:tcPr>
          <w:p w:rsidR="005A0D0E" w:rsidRPr="00DA6A87" w:rsidRDefault="005A0D0E" w:rsidP="00974676">
            <w:pPr>
              <w:widowControl w:val="0"/>
              <w:tabs>
                <w:tab w:val="left" w:pos="4395"/>
              </w:tabs>
              <w:autoSpaceDE w:val="0"/>
              <w:autoSpaceDN w:val="0"/>
              <w:adjustRightInd w:val="0"/>
              <w:spacing w:before="120" w:after="120"/>
              <w:contextualSpacing/>
            </w:pPr>
            <m:oMathPara>
              <m:oMath>
                <m:r>
                  <w:rPr>
                    <w:rFonts w:ascii="Cambria Math" w:hAnsi="Cambria Math"/>
                    <w:szCs w:val="24"/>
                  </w:rPr>
                  <m:t>E=</m:t>
                </m:r>
                <m:f>
                  <m:fPr>
                    <m:ctrlPr>
                      <w:rPr>
                        <w:rFonts w:ascii="Cambria Math" w:hAnsi="Cambria Math"/>
                        <w:i/>
                        <w:szCs w:val="24"/>
                      </w:rPr>
                    </m:ctrlPr>
                  </m:fPr>
                  <m:num>
                    <m:sSub>
                      <m:sSubPr>
                        <m:ctrlPr>
                          <w:rPr>
                            <w:rFonts w:ascii="Cambria Math" w:hAnsi="Cambria Math"/>
                            <w:i/>
                            <w:szCs w:val="24"/>
                          </w:rPr>
                        </m:ctrlPr>
                      </m:sSubPr>
                      <m:e>
                        <m:r>
                          <w:rPr>
                            <w:rFonts w:ascii="Cambria Math" w:hAnsi="Cambria Math"/>
                            <w:szCs w:val="24"/>
                          </w:rPr>
                          <m:t>C</m:t>
                        </m:r>
                      </m:e>
                      <m:sub>
                        <m:r>
                          <w:rPr>
                            <w:rFonts w:ascii="Cambria Math" w:hAnsi="Cambria Math"/>
                            <w:szCs w:val="24"/>
                          </w:rPr>
                          <m:t>ETEentrada</m:t>
                        </m:r>
                      </m:sub>
                    </m:sSub>
                    <m:r>
                      <w:rPr>
                        <w:rFonts w:ascii="Cambria Math" w:hAnsi="Cambria Math"/>
                        <w:szCs w:val="24"/>
                      </w:rPr>
                      <m:t>-</m:t>
                    </m:r>
                    <m:sSub>
                      <m:sSubPr>
                        <m:ctrlPr>
                          <w:rPr>
                            <w:rFonts w:ascii="Cambria Math" w:hAnsi="Cambria Math"/>
                            <w:i/>
                            <w:szCs w:val="24"/>
                          </w:rPr>
                        </m:ctrlPr>
                      </m:sSubPr>
                      <m:e>
                        <m:r>
                          <w:rPr>
                            <w:rFonts w:ascii="Cambria Math" w:hAnsi="Cambria Math"/>
                            <w:szCs w:val="24"/>
                          </w:rPr>
                          <m:t>C</m:t>
                        </m:r>
                      </m:e>
                      <m:sub>
                        <m:r>
                          <w:rPr>
                            <w:rFonts w:ascii="Cambria Math" w:hAnsi="Cambria Math"/>
                            <w:szCs w:val="24"/>
                          </w:rPr>
                          <m:t>ETEsaída</m:t>
                        </m:r>
                      </m:sub>
                    </m:sSub>
                  </m:num>
                  <m:den>
                    <m:sSub>
                      <m:sSubPr>
                        <m:ctrlPr>
                          <w:rPr>
                            <w:rFonts w:ascii="Cambria Math" w:hAnsi="Cambria Math"/>
                            <w:i/>
                            <w:szCs w:val="24"/>
                          </w:rPr>
                        </m:ctrlPr>
                      </m:sSubPr>
                      <m:e>
                        <m:r>
                          <w:rPr>
                            <w:rFonts w:ascii="Cambria Math" w:hAnsi="Cambria Math"/>
                            <w:szCs w:val="24"/>
                          </w:rPr>
                          <m:t>C</m:t>
                        </m:r>
                      </m:e>
                      <m:sub>
                        <m:r>
                          <w:rPr>
                            <w:rFonts w:ascii="Cambria Math" w:hAnsi="Cambria Math"/>
                            <w:szCs w:val="24"/>
                          </w:rPr>
                          <m:t>ETEentrada</m:t>
                        </m:r>
                      </m:sub>
                    </m:sSub>
                  </m:den>
                </m:f>
                <m:r>
                  <w:rPr>
                    <w:rFonts w:ascii="Cambria Math" w:hAnsi="Cambria Math"/>
                    <w:szCs w:val="24"/>
                  </w:rPr>
                  <m:t xml:space="preserve">*100= </m:t>
                </m:r>
                <m:f>
                  <m:fPr>
                    <m:ctrlPr>
                      <w:rPr>
                        <w:rFonts w:ascii="Cambria Math" w:hAnsi="Cambria Math"/>
                        <w:i/>
                        <w:szCs w:val="24"/>
                      </w:rPr>
                    </m:ctrlPr>
                  </m:fPr>
                  <m:num>
                    <m:r>
                      <w:rPr>
                        <w:rFonts w:ascii="Cambria Math" w:hAnsi="Cambria Math"/>
                        <w:szCs w:val="24"/>
                      </w:rPr>
                      <m:t>3,40*</m:t>
                    </m:r>
                    <m:sSup>
                      <m:sSupPr>
                        <m:ctrlPr>
                          <w:rPr>
                            <w:rFonts w:ascii="Cambria Math" w:hAnsi="Cambria Math"/>
                            <w:i/>
                            <w:szCs w:val="24"/>
                          </w:rPr>
                        </m:ctrlPr>
                      </m:sSupPr>
                      <m:e>
                        <m:r>
                          <w:rPr>
                            <w:rFonts w:ascii="Cambria Math" w:hAnsi="Cambria Math"/>
                            <w:szCs w:val="24"/>
                          </w:rPr>
                          <m:t>10</m:t>
                        </m:r>
                      </m:e>
                      <m:sup>
                        <m:r>
                          <w:rPr>
                            <w:rFonts w:ascii="Cambria Math" w:hAnsi="Cambria Math"/>
                            <w:szCs w:val="24"/>
                          </w:rPr>
                          <m:t>7</m:t>
                        </m:r>
                      </m:sup>
                    </m:sSup>
                    <m:r>
                      <w:rPr>
                        <w:rFonts w:ascii="Cambria Math" w:hAnsi="Cambria Math"/>
                        <w:szCs w:val="24"/>
                      </w:rPr>
                      <m:t>-1034,50</m:t>
                    </m:r>
                  </m:num>
                  <m:den>
                    <m:r>
                      <w:rPr>
                        <w:rFonts w:ascii="Cambria Math" w:hAnsi="Cambria Math"/>
                        <w:szCs w:val="24"/>
                      </w:rPr>
                      <m:t>3,40*</m:t>
                    </m:r>
                    <m:sSup>
                      <m:sSupPr>
                        <m:ctrlPr>
                          <w:rPr>
                            <w:rFonts w:ascii="Cambria Math" w:hAnsi="Cambria Math"/>
                            <w:i/>
                            <w:szCs w:val="24"/>
                          </w:rPr>
                        </m:ctrlPr>
                      </m:sSupPr>
                      <m:e>
                        <m:r>
                          <w:rPr>
                            <w:rFonts w:ascii="Cambria Math" w:hAnsi="Cambria Math"/>
                            <w:szCs w:val="24"/>
                          </w:rPr>
                          <m:t>10</m:t>
                        </m:r>
                      </m:e>
                      <m:sup>
                        <m:r>
                          <w:rPr>
                            <w:rFonts w:ascii="Cambria Math" w:hAnsi="Cambria Math"/>
                            <w:szCs w:val="24"/>
                          </w:rPr>
                          <m:t>7</m:t>
                        </m:r>
                      </m:sup>
                    </m:sSup>
                  </m:den>
                </m:f>
                <m:r>
                  <w:rPr>
                    <w:rFonts w:ascii="Cambria Math" w:hAnsi="Cambria Math"/>
                    <w:szCs w:val="24"/>
                  </w:rPr>
                  <m:t xml:space="preserve">*100=99,9 % </m:t>
                </m:r>
              </m:oMath>
            </m:oMathPara>
          </w:p>
        </w:tc>
      </w:tr>
    </w:tbl>
    <w:p w:rsidR="005A0D0E" w:rsidRPr="00917DFD" w:rsidRDefault="005A0D0E" w:rsidP="005A0D0E">
      <w:pPr>
        <w:widowControl w:val="0"/>
        <w:tabs>
          <w:tab w:val="left" w:pos="4395"/>
        </w:tabs>
        <w:autoSpaceDE w:val="0"/>
        <w:autoSpaceDN w:val="0"/>
        <w:adjustRightInd w:val="0"/>
        <w:spacing w:before="120" w:after="120"/>
        <w:ind w:firstLine="709"/>
        <w:contextualSpacing/>
        <w:rPr>
          <w:szCs w:val="24"/>
        </w:rPr>
      </w:pPr>
      <w:r w:rsidRPr="00917DFD">
        <w:rPr>
          <w:szCs w:val="24"/>
        </w:rPr>
        <w:t xml:space="preserve">Sendo assim, os lançamentos dos esgotos sanitários do município só poderão ser feitos nos corpos d’água caso sofram um processo de tratamento capaz de remover </w:t>
      </w:r>
      <w:r w:rsidRPr="00917DFD">
        <w:rPr>
          <w:szCs w:val="24"/>
        </w:rPr>
        <w:lastRenderedPageBreak/>
        <w:t>mais de 99,9 % da concentração de coliformes fecais termotolerantes.</w:t>
      </w:r>
    </w:p>
    <w:p w:rsidR="006A47F4" w:rsidRPr="00917DFD" w:rsidRDefault="006A47F4" w:rsidP="006A47F4">
      <w:pPr>
        <w:widowControl w:val="0"/>
        <w:tabs>
          <w:tab w:val="left" w:pos="4395"/>
        </w:tabs>
        <w:autoSpaceDE w:val="0"/>
        <w:autoSpaceDN w:val="0"/>
        <w:adjustRightInd w:val="0"/>
        <w:spacing w:before="120" w:after="120"/>
        <w:ind w:firstLine="709"/>
        <w:contextualSpacing/>
        <w:rPr>
          <w:szCs w:val="24"/>
        </w:rPr>
      </w:pPr>
      <w:r w:rsidRPr="00917DFD">
        <w:rPr>
          <w:szCs w:val="24"/>
        </w:rPr>
        <w:t>Na ocasião da elaboração do projeto executivo deverá ser realizado o estudo de autodepuração que apresenta o consumo e produção de oxigênio ao longo do tempo e da direção longitudinal do curso d’água.</w:t>
      </w:r>
    </w:p>
    <w:p w:rsidR="00207F65" w:rsidRPr="00917DFD" w:rsidRDefault="00207F65" w:rsidP="002828C8">
      <w:pPr>
        <w:pStyle w:val="Ttulo3"/>
      </w:pPr>
      <w:bookmarkStart w:id="165" w:name="_Toc487536171"/>
      <w:bookmarkStart w:id="166" w:name="_Toc497468999"/>
      <w:r w:rsidRPr="00917DFD">
        <w:t>Eventos de Emergência e Contingência</w:t>
      </w:r>
      <w:bookmarkEnd w:id="165"/>
      <w:bookmarkEnd w:id="166"/>
    </w:p>
    <w:p w:rsidR="00207F65" w:rsidRPr="001F7197" w:rsidRDefault="00207F65" w:rsidP="00207F65">
      <w:pPr>
        <w:spacing w:before="120" w:after="120"/>
        <w:ind w:firstLine="708"/>
        <w:contextualSpacing/>
        <w:rPr>
          <w:rFonts w:cs="Arial"/>
          <w:szCs w:val="24"/>
          <w:lang w:eastAsia="pt-BR"/>
        </w:rPr>
      </w:pPr>
      <w:r w:rsidRPr="001F7197">
        <w:rPr>
          <w:rFonts w:cs="Arial"/>
          <w:szCs w:val="24"/>
          <w:lang w:eastAsia="pt-BR"/>
        </w:rPr>
        <w:t>Foram elencados potenciais eventos de emergência e contingência relacionados ao Sistema de Esgotamento Sanitário - SES. Esses eventos são descritos a seguir da mesma maneira como foi feito para o SAA.</w:t>
      </w:r>
    </w:p>
    <w:p w:rsidR="00207F65" w:rsidRPr="001F7197" w:rsidRDefault="00207F65" w:rsidP="002828C8">
      <w:pPr>
        <w:pStyle w:val="Ttulo4"/>
      </w:pPr>
      <w:bookmarkStart w:id="167" w:name="_Toc487536172"/>
      <w:bookmarkStart w:id="168" w:name="_Toc497469000"/>
      <w:r w:rsidRPr="001F7197">
        <w:t>Eventos operacionais</w:t>
      </w:r>
      <w:bookmarkEnd w:id="167"/>
      <w:bookmarkEnd w:id="168"/>
    </w:p>
    <w:p w:rsidR="00207F65" w:rsidRPr="001F7197" w:rsidRDefault="00207F65" w:rsidP="00207F65">
      <w:pPr>
        <w:pStyle w:val="PargrafodaLista"/>
        <w:numPr>
          <w:ilvl w:val="0"/>
          <w:numId w:val="8"/>
        </w:numPr>
        <w:tabs>
          <w:tab w:val="left" w:pos="993"/>
        </w:tabs>
        <w:spacing w:before="120" w:after="120"/>
        <w:ind w:left="0" w:firstLine="709"/>
      </w:pPr>
      <w:r w:rsidRPr="001F7197">
        <w:rPr>
          <w:b/>
          <w:szCs w:val="24"/>
        </w:rPr>
        <w:t>Rompimento da tubulação de esgotos</w:t>
      </w:r>
      <w:r w:rsidRPr="001F7197">
        <w:rPr>
          <w:szCs w:val="24"/>
        </w:rPr>
        <w:t>: danos a quaisquer elementos do sistema de coleta de esgoto podem acarretar vazamento do mesmo, colocando em risco a saúde da população de entorno, e contaminar áreas ou recursos hídricos.</w:t>
      </w:r>
    </w:p>
    <w:p w:rsidR="00207F65" w:rsidRPr="001F7197" w:rsidRDefault="00207F65" w:rsidP="00207F65">
      <w:pPr>
        <w:pStyle w:val="PargrafodaLista"/>
        <w:numPr>
          <w:ilvl w:val="0"/>
          <w:numId w:val="8"/>
        </w:numPr>
        <w:tabs>
          <w:tab w:val="left" w:pos="993"/>
        </w:tabs>
        <w:spacing w:before="120" w:after="120"/>
        <w:ind w:left="0" w:firstLine="709"/>
      </w:pPr>
      <w:r w:rsidRPr="001F7197">
        <w:rPr>
          <w:b/>
        </w:rPr>
        <w:t>Ocorrência de retorno de esgotos nos imóveis</w:t>
      </w:r>
      <w:r w:rsidRPr="001F7197">
        <w:t>: devido a entupimentos na tubulação ou ainda ao lançamento irregular de esgotos ou mesmo de águas pluviais na rede coletora, os esgotos podem retornar pela tubulação dos imóveis, colocando a saúde de seus moradores em risco.</w:t>
      </w:r>
    </w:p>
    <w:p w:rsidR="00207F65" w:rsidRPr="001F7197" w:rsidRDefault="00207F65" w:rsidP="00207F65">
      <w:pPr>
        <w:pStyle w:val="PargrafodaLista"/>
        <w:numPr>
          <w:ilvl w:val="0"/>
          <w:numId w:val="8"/>
        </w:numPr>
        <w:tabs>
          <w:tab w:val="left" w:pos="993"/>
        </w:tabs>
        <w:spacing w:before="120" w:after="120"/>
        <w:ind w:left="0" w:firstLine="709"/>
        <w:rPr>
          <w:szCs w:val="24"/>
        </w:rPr>
      </w:pPr>
      <w:r w:rsidRPr="001F7197">
        <w:rPr>
          <w:b/>
          <w:szCs w:val="24"/>
        </w:rPr>
        <w:t>Ocorrência de avarias em sistemas de bombeamento</w:t>
      </w:r>
      <w:r w:rsidRPr="001F7197">
        <w:rPr>
          <w:szCs w:val="24"/>
        </w:rPr>
        <w:t>: a ocorrência de avarias nas estações elevatórias pode causar o extravasamento de esgotos, colocando a saúde da população de entorno em risco e contaminando áreas ou recursos hídricos.</w:t>
      </w:r>
    </w:p>
    <w:p w:rsidR="00207F65" w:rsidRPr="001F7197" w:rsidRDefault="00207F65" w:rsidP="00207F65">
      <w:pPr>
        <w:pStyle w:val="PargrafodaLista"/>
        <w:numPr>
          <w:ilvl w:val="0"/>
          <w:numId w:val="8"/>
        </w:numPr>
        <w:tabs>
          <w:tab w:val="left" w:pos="993"/>
        </w:tabs>
        <w:spacing w:before="120" w:after="120"/>
        <w:ind w:left="0" w:firstLine="709"/>
      </w:pPr>
      <w:r w:rsidRPr="001F7197">
        <w:rPr>
          <w:b/>
        </w:rPr>
        <w:t>Ocorrência de danos às estruturas e equipamentos nas instalações de tratamento de esgoto</w:t>
      </w:r>
      <w:r w:rsidRPr="001F7197">
        <w:t xml:space="preserve">: a ocorrência de danos às estruturas e equipamentos nas ETEs pode comprometer o funcionamento das mesmas, interrompendo o tratamento e levando ao lançamento irregular de esgotos </w:t>
      </w:r>
      <w:r w:rsidRPr="001F7197">
        <w:rPr>
          <w:i/>
        </w:rPr>
        <w:t>in natura</w:t>
      </w:r>
      <w:r w:rsidRPr="001F7197">
        <w:t xml:space="preserve"> nos corpos receptores, bem como pode causar vazamentos no local, colocando em risco a saúde dos operadores.</w:t>
      </w:r>
    </w:p>
    <w:p w:rsidR="00207F65" w:rsidRPr="001F7197" w:rsidRDefault="00207F65" w:rsidP="00207F65">
      <w:pPr>
        <w:pStyle w:val="PargrafodaLista"/>
        <w:numPr>
          <w:ilvl w:val="0"/>
          <w:numId w:val="8"/>
        </w:numPr>
        <w:tabs>
          <w:tab w:val="left" w:pos="993"/>
        </w:tabs>
        <w:spacing w:before="120" w:after="120"/>
        <w:ind w:left="0" w:firstLine="709"/>
        <w:rPr>
          <w:szCs w:val="24"/>
        </w:rPr>
      </w:pPr>
      <w:r w:rsidRPr="001F7197">
        <w:rPr>
          <w:b/>
          <w:szCs w:val="24"/>
        </w:rPr>
        <w:t>Ocorrência de vazamentos de produtos químicos nas instalações de tratamento de esgoto</w:t>
      </w:r>
      <w:r w:rsidRPr="001F7197">
        <w:rPr>
          <w:szCs w:val="24"/>
        </w:rPr>
        <w:t xml:space="preserve">: o vazamento de produtos químicos nas ETEs põe em risco a segurança e a saúde dos operadores, bem como pode interromper o tratamento de esgotos, levando ao lançamento </w:t>
      </w:r>
      <w:r w:rsidRPr="001F7197">
        <w:rPr>
          <w:i/>
          <w:szCs w:val="24"/>
        </w:rPr>
        <w:t>in natura</w:t>
      </w:r>
      <w:r w:rsidRPr="001F7197">
        <w:rPr>
          <w:szCs w:val="24"/>
        </w:rPr>
        <w:t xml:space="preserve"> nos corpos receptores.</w:t>
      </w:r>
    </w:p>
    <w:p w:rsidR="00207F65" w:rsidRPr="001F7197" w:rsidRDefault="00207F65" w:rsidP="00207F65">
      <w:pPr>
        <w:pStyle w:val="PargrafodaLista"/>
        <w:numPr>
          <w:ilvl w:val="0"/>
          <w:numId w:val="8"/>
        </w:numPr>
        <w:tabs>
          <w:tab w:val="left" w:pos="993"/>
        </w:tabs>
        <w:spacing w:before="120" w:after="120"/>
        <w:ind w:left="0" w:firstLine="709"/>
        <w:rPr>
          <w:szCs w:val="24"/>
        </w:rPr>
      </w:pPr>
      <w:r w:rsidRPr="001F7197">
        <w:rPr>
          <w:b/>
          <w:szCs w:val="24"/>
        </w:rPr>
        <w:t>Ocorrência de acidentes de trabalho nas unidades de bombeamento e tratamento de esgoto</w:t>
      </w:r>
      <w:r w:rsidRPr="001F7197">
        <w:rPr>
          <w:szCs w:val="24"/>
        </w:rPr>
        <w:t>:</w:t>
      </w:r>
      <w:r w:rsidRPr="001F7197">
        <w:rPr>
          <w:b/>
          <w:szCs w:val="24"/>
        </w:rPr>
        <w:t xml:space="preserve"> </w:t>
      </w:r>
      <w:r w:rsidRPr="001F7197">
        <w:rPr>
          <w:szCs w:val="24"/>
        </w:rPr>
        <w:t xml:space="preserve">os operadores da rede de coleta e das instalações de </w:t>
      </w:r>
      <w:r w:rsidRPr="001F7197">
        <w:rPr>
          <w:szCs w:val="24"/>
        </w:rPr>
        <w:lastRenderedPageBreak/>
        <w:t>tratamento de esgotos estão sujeitos a diversos tipos de acidentes de trabalho, tais como quedas, cortes, choques elétricos, contaminação por produtos químicos ou esgotos sanitários, etc.</w:t>
      </w:r>
    </w:p>
    <w:p w:rsidR="00207F65" w:rsidRPr="001F7197" w:rsidRDefault="00207F65" w:rsidP="00207F65">
      <w:pPr>
        <w:pStyle w:val="PargrafodaLista"/>
        <w:numPr>
          <w:ilvl w:val="0"/>
          <w:numId w:val="8"/>
        </w:numPr>
        <w:tabs>
          <w:tab w:val="left" w:pos="993"/>
        </w:tabs>
        <w:spacing w:before="120" w:after="120"/>
        <w:ind w:left="0" w:firstLine="709"/>
      </w:pPr>
      <w:r w:rsidRPr="001F7197">
        <w:rPr>
          <w:b/>
        </w:rPr>
        <w:t>Interrupção no fornecimento de energia elétrica nas instalações de tratamento de esgoto</w:t>
      </w:r>
      <w:r w:rsidRPr="001F7197">
        <w:t>: a interrupção do fornecimento de energia elétrica nas ETEs pode comprometer o funcionamento das mesmas, levando ao lançamento irregular de esgotos sem tratamento nos corpos receptores. Atenta-se para o fato de esse tipo de empreendimento precisar ter um gerador de energia ou um tanque-pulmão para possibilitar a operação do sistema por algumas horas, enquanto é providenciada a retomada do fornecimento.</w:t>
      </w:r>
    </w:p>
    <w:p w:rsidR="00207F65" w:rsidRPr="001F7197" w:rsidRDefault="00207F65" w:rsidP="002828C8">
      <w:pPr>
        <w:pStyle w:val="Ttulo4"/>
      </w:pPr>
      <w:bookmarkStart w:id="169" w:name="_Toc487536173"/>
      <w:bookmarkStart w:id="170" w:name="_Toc497469001"/>
      <w:r w:rsidRPr="001F7197">
        <w:t>Eventos relacionados à gestão e ao gerenciamento</w:t>
      </w:r>
      <w:bookmarkEnd w:id="169"/>
      <w:bookmarkEnd w:id="170"/>
    </w:p>
    <w:p w:rsidR="00207F65" w:rsidRPr="001F7197" w:rsidRDefault="00207F65" w:rsidP="00207F65">
      <w:pPr>
        <w:pStyle w:val="PargrafodaLista"/>
        <w:numPr>
          <w:ilvl w:val="0"/>
          <w:numId w:val="8"/>
        </w:numPr>
        <w:tabs>
          <w:tab w:val="left" w:pos="993"/>
        </w:tabs>
        <w:spacing w:before="120" w:after="120"/>
        <w:ind w:left="0" w:firstLine="709"/>
      </w:pPr>
      <w:r w:rsidRPr="001F7197">
        <w:rPr>
          <w:b/>
        </w:rPr>
        <w:t>Paralisação de funcionários nas unidades de bombeamento e tratamento de esgoto</w:t>
      </w:r>
      <w:r w:rsidRPr="001F7197">
        <w:t>: a paralisação de funcionários do SES pode interromper os serviços de bombeamento e tratamento, podendo levar ao extravasamento de esgoto nas estações elevatórias e ao lançamento irregular de efluentes sem tratamento nos corpos receptores.</w:t>
      </w:r>
    </w:p>
    <w:p w:rsidR="00207F65" w:rsidRPr="001F7197" w:rsidRDefault="00207F65" w:rsidP="00207F65">
      <w:pPr>
        <w:pStyle w:val="PargrafodaLista"/>
        <w:numPr>
          <w:ilvl w:val="0"/>
          <w:numId w:val="8"/>
        </w:numPr>
        <w:tabs>
          <w:tab w:val="left" w:pos="993"/>
        </w:tabs>
        <w:spacing w:before="120" w:after="120"/>
        <w:ind w:left="0" w:firstLine="709"/>
        <w:rPr>
          <w:szCs w:val="24"/>
        </w:rPr>
      </w:pPr>
      <w:r w:rsidRPr="001F7197">
        <w:rPr>
          <w:b/>
        </w:rPr>
        <w:t>Falta de financiamento para o sistema operacional e a realização de manutenções</w:t>
      </w:r>
      <w:r w:rsidRPr="001F7197">
        <w:t>: a falta de financiamento para o sistema operacional e a realização de manutenções pode levar à interrupção local ou generalizada do abastecimento.</w:t>
      </w:r>
    </w:p>
    <w:p w:rsidR="00207F65" w:rsidRPr="001F7197" w:rsidRDefault="00207F65" w:rsidP="00207F65">
      <w:pPr>
        <w:pStyle w:val="PargrafodaLista"/>
        <w:numPr>
          <w:ilvl w:val="0"/>
          <w:numId w:val="8"/>
        </w:numPr>
        <w:tabs>
          <w:tab w:val="left" w:pos="993"/>
        </w:tabs>
        <w:spacing w:before="120" w:after="120"/>
        <w:ind w:left="0" w:firstLine="709"/>
        <w:rPr>
          <w:szCs w:val="24"/>
        </w:rPr>
      </w:pPr>
      <w:r w:rsidRPr="001F7197">
        <w:rPr>
          <w:b/>
        </w:rPr>
        <w:t>Falta de produtos químicos necessários para o funcionamento da ETE</w:t>
      </w:r>
      <w:r w:rsidRPr="001F7197">
        <w:t xml:space="preserve">: o mau gerenciamento das compras e do estoque de produtos químicos necessários para o tratamento dos esgotos pode acarretar diminuição da eficiência do tratamento, bem como outros possíveis problemas operacionais e a interrupção do tratamento, levando ao lançamento irregular de esgotos </w:t>
      </w:r>
      <w:r w:rsidRPr="001F7197">
        <w:rPr>
          <w:i/>
        </w:rPr>
        <w:t>in natura</w:t>
      </w:r>
      <w:r w:rsidRPr="001F7197">
        <w:t xml:space="preserve"> no corpo receptor.</w:t>
      </w:r>
    </w:p>
    <w:p w:rsidR="00207F65" w:rsidRPr="001F7197" w:rsidRDefault="00207F65" w:rsidP="002828C8">
      <w:pPr>
        <w:pStyle w:val="Ttulo4"/>
      </w:pPr>
      <w:bookmarkStart w:id="171" w:name="_Toc487536174"/>
      <w:bookmarkStart w:id="172" w:name="_Toc497469002"/>
      <w:r w:rsidRPr="001F7197">
        <w:t>Eventos imprevisíveis</w:t>
      </w:r>
      <w:bookmarkEnd w:id="171"/>
      <w:bookmarkEnd w:id="172"/>
    </w:p>
    <w:p w:rsidR="00207F65" w:rsidRPr="001F7197" w:rsidRDefault="00207F65" w:rsidP="00207F65">
      <w:pPr>
        <w:pStyle w:val="PargrafodaLista"/>
        <w:numPr>
          <w:ilvl w:val="0"/>
          <w:numId w:val="8"/>
        </w:numPr>
        <w:tabs>
          <w:tab w:val="left" w:pos="993"/>
        </w:tabs>
        <w:spacing w:before="120" w:after="120"/>
        <w:ind w:left="0" w:firstLine="709"/>
        <w:rPr>
          <w:szCs w:val="24"/>
        </w:rPr>
      </w:pPr>
      <w:r w:rsidRPr="001F7197">
        <w:rPr>
          <w:b/>
          <w:szCs w:val="24"/>
        </w:rPr>
        <w:t>Ocorrência de danos às instalações e equipamentos do sistema devido a desastres naturais</w:t>
      </w:r>
      <w:r w:rsidRPr="001F7197">
        <w:rPr>
          <w:szCs w:val="24"/>
        </w:rPr>
        <w:t xml:space="preserve">: enchentes, escorregamentos e outros desastres naturais podem causar danos às estruturas do SES, podendo acarretar a interrupção do serviço de coleta, o vazamento de esgotos e o lançamento irregular </w:t>
      </w:r>
      <w:r w:rsidRPr="001F7197">
        <w:rPr>
          <w:i/>
          <w:szCs w:val="24"/>
        </w:rPr>
        <w:t>in natura</w:t>
      </w:r>
      <w:r w:rsidRPr="001F7197">
        <w:rPr>
          <w:szCs w:val="24"/>
        </w:rPr>
        <w:t xml:space="preserve"> nos corpos receptores.</w:t>
      </w:r>
    </w:p>
    <w:p w:rsidR="00207F65" w:rsidRPr="001F7197" w:rsidRDefault="00207F65" w:rsidP="00207F65">
      <w:pPr>
        <w:pStyle w:val="PargrafodaLista"/>
        <w:numPr>
          <w:ilvl w:val="0"/>
          <w:numId w:val="8"/>
        </w:numPr>
        <w:tabs>
          <w:tab w:val="left" w:pos="993"/>
        </w:tabs>
        <w:spacing w:before="120" w:after="120"/>
        <w:ind w:left="0" w:firstLine="709"/>
        <w:rPr>
          <w:szCs w:val="24"/>
        </w:rPr>
      </w:pPr>
      <w:r w:rsidRPr="001F7197">
        <w:rPr>
          <w:b/>
          <w:szCs w:val="24"/>
        </w:rPr>
        <w:lastRenderedPageBreak/>
        <w:t>Ocorrência de incêndios em estabelecimentos e edificações do SES</w:t>
      </w:r>
      <w:r w:rsidRPr="001F7197">
        <w:rPr>
          <w:szCs w:val="24"/>
        </w:rPr>
        <w:t>: a ocorrência de incêndios nas unidades do SES coloca em risco a segurança dos operadores do sistema, bem como pode comprometer estruturas de coleta, bombeamento e tratamento.</w:t>
      </w:r>
    </w:p>
    <w:p w:rsidR="00207F65" w:rsidRPr="001F7197" w:rsidRDefault="00877037" w:rsidP="00207F65">
      <w:pPr>
        <w:pStyle w:val="PargrafodaLista"/>
        <w:numPr>
          <w:ilvl w:val="0"/>
          <w:numId w:val="8"/>
        </w:numPr>
        <w:tabs>
          <w:tab w:val="left" w:pos="993"/>
        </w:tabs>
        <w:spacing w:before="120" w:after="120"/>
        <w:ind w:left="0" w:firstLine="709"/>
        <w:rPr>
          <w:szCs w:val="24"/>
        </w:rPr>
      </w:pPr>
      <w:r>
        <w:rPr>
          <w:b/>
          <w:szCs w:val="24"/>
        </w:rPr>
        <w:t>Danos</w:t>
      </w:r>
      <w:r w:rsidR="00207F65" w:rsidRPr="001F7197">
        <w:rPr>
          <w:b/>
          <w:szCs w:val="24"/>
        </w:rPr>
        <w:t xml:space="preserve"> no gerador de energia</w:t>
      </w:r>
      <w:r w:rsidR="00207F65" w:rsidRPr="001F7197">
        <w:rPr>
          <w:szCs w:val="24"/>
        </w:rPr>
        <w:t>: falta de fornecimento de energia elétrica aos equipamentos do SES pode levar à interrupção local do abastecimento de água.</w:t>
      </w:r>
    </w:p>
    <w:p w:rsidR="001864D3" w:rsidRDefault="001864D3" w:rsidP="002828C8">
      <w:pPr>
        <w:pStyle w:val="SHS-Ttulo02"/>
      </w:pPr>
      <w:bookmarkStart w:id="173" w:name="_Toc497469003"/>
      <w:r>
        <w:t>Sistema de Drenagem Urbana e Manejo de Águas Pluviais</w:t>
      </w:r>
      <w:bookmarkEnd w:id="173"/>
    </w:p>
    <w:p w:rsidR="001864D3" w:rsidRDefault="001864D3" w:rsidP="002828C8">
      <w:pPr>
        <w:pStyle w:val="Ttulo3"/>
      </w:pPr>
      <w:bookmarkStart w:id="174" w:name="_Toc483818679"/>
      <w:bookmarkStart w:id="175" w:name="_Toc446599277"/>
      <w:bookmarkStart w:id="176" w:name="_Toc497469004"/>
      <w:r>
        <w:t>Projeções e estimativas da ocupação urbana e seus impactos</w:t>
      </w:r>
      <w:bookmarkEnd w:id="174"/>
      <w:bookmarkEnd w:id="175"/>
      <w:bookmarkEnd w:id="176"/>
    </w:p>
    <w:p w:rsidR="001864D3" w:rsidRDefault="001864D3" w:rsidP="001864D3">
      <w:pPr>
        <w:rPr>
          <w:lang w:eastAsia="pt-BR"/>
        </w:rPr>
      </w:pPr>
    </w:p>
    <w:p w:rsidR="001864D3" w:rsidRDefault="001864D3" w:rsidP="001864D3">
      <w:pPr>
        <w:ind w:firstLine="708"/>
      </w:pPr>
      <w:r>
        <w:t>Na gestão das águas fluviais urbanas, uma das preocupações recorrentes está relacionada à inundação urbana. As inundações anteriores à urbanização, que podem ocorrer mesmo que uma bacia não seja antropizada, são chamadas de cheias.</w:t>
      </w:r>
    </w:p>
    <w:p w:rsidR="001864D3" w:rsidRDefault="001864D3" w:rsidP="001864D3">
      <w:pPr>
        <w:ind w:firstLine="708"/>
      </w:pPr>
      <w:r>
        <w:t>Segundo Tucci (2008), os rios geralmente possuem dois leitos: o leito menor, onde a água escoa na maior parte do tempo, e o leito maior</w:t>
      </w:r>
      <w:r w:rsidR="00154815">
        <w:t>,</w:t>
      </w:r>
      <w:r>
        <w:t xml:space="preserve"> onde as inundações ocorrem quando o escoamento atinge níveis superiores ao leito menor, ocupando o leito maior. Os impactos pela inundação ocorrem quando essa área de risco (cota do leito maior) é ocupada pela população.</w:t>
      </w:r>
    </w:p>
    <w:p w:rsidR="001864D3" w:rsidRDefault="001864D3" w:rsidP="001864D3">
      <w:pPr>
        <w:ind w:firstLine="708"/>
      </w:pPr>
      <w:r>
        <w:t>As inundações também podem ocorrer em função da urbanização, que obstrui a infiltração e o escoamento natural, o que aumenta a frequência e a magnitude das enchentes elevando o risco de inundação em ocupações irregulares.</w:t>
      </w:r>
    </w:p>
    <w:p w:rsidR="001864D3" w:rsidRDefault="001864D3" w:rsidP="001864D3">
      <w:pPr>
        <w:ind w:firstLine="708"/>
      </w:pPr>
      <w:r>
        <w:t>Segundo Tucci (2008), à medida que a cidade se urbaniza, ocorrem os seguintes impactos:</w:t>
      </w:r>
    </w:p>
    <w:p w:rsidR="001864D3" w:rsidRDefault="001864D3" w:rsidP="00A87269">
      <w:pPr>
        <w:pStyle w:val="PargrafodaLista"/>
        <w:numPr>
          <w:ilvl w:val="0"/>
          <w:numId w:val="50"/>
        </w:numPr>
        <w:autoSpaceDE w:val="0"/>
        <w:autoSpaceDN w:val="0"/>
        <w:adjustRightInd w:val="0"/>
        <w:ind w:left="1276" w:hanging="284"/>
        <w:rPr>
          <w:rFonts w:cs="Times New Roman"/>
        </w:rPr>
      </w:pPr>
      <w:r>
        <w:rPr>
          <w:color w:val="231F20"/>
        </w:rPr>
        <w:t>Aumento das vazões máximas em várias vezes, e da sua frequência, em virtude do aumento da capacidade de escoamento através de condutos e canais e impermeabilização das superfícies.</w:t>
      </w:r>
    </w:p>
    <w:p w:rsidR="001864D3" w:rsidRDefault="001864D3" w:rsidP="00A87269">
      <w:pPr>
        <w:pStyle w:val="PargrafodaLista"/>
        <w:numPr>
          <w:ilvl w:val="0"/>
          <w:numId w:val="50"/>
        </w:numPr>
        <w:autoSpaceDE w:val="0"/>
        <w:autoSpaceDN w:val="0"/>
        <w:adjustRightInd w:val="0"/>
        <w:ind w:left="1276" w:hanging="284"/>
        <w:rPr>
          <w:rFonts w:cs="Times New Roman"/>
        </w:rPr>
      </w:pPr>
      <w:r>
        <w:rPr>
          <w:color w:val="231F20"/>
        </w:rPr>
        <w:t>Aumento da produção de sedimentos pela falta de proteção das superfícies e pela produção de resíduos sólidos (lixo).</w:t>
      </w:r>
    </w:p>
    <w:p w:rsidR="001864D3" w:rsidRDefault="001864D3" w:rsidP="00A87269">
      <w:pPr>
        <w:pStyle w:val="PargrafodaLista"/>
        <w:numPr>
          <w:ilvl w:val="0"/>
          <w:numId w:val="50"/>
        </w:numPr>
        <w:autoSpaceDE w:val="0"/>
        <w:autoSpaceDN w:val="0"/>
        <w:adjustRightInd w:val="0"/>
        <w:ind w:left="1276" w:hanging="284"/>
        <w:rPr>
          <w:color w:val="231F20"/>
        </w:rPr>
      </w:pPr>
      <w:r>
        <w:rPr>
          <w:color w:val="231F20"/>
        </w:rPr>
        <w:t>Deterioração da qualidade da água superficial e subterrânea, em razão de lavagem das ruas, transporte de material sólido e de ligações clandestinas de esgoto cloacal e pluvial.</w:t>
      </w:r>
    </w:p>
    <w:p w:rsidR="001864D3" w:rsidRDefault="001864D3" w:rsidP="001864D3">
      <w:pPr>
        <w:ind w:firstLine="708"/>
      </w:pPr>
      <w:r>
        <w:rPr>
          <w:color w:val="231F20"/>
        </w:rPr>
        <w:lastRenderedPageBreak/>
        <w:t xml:space="preserve">Por causa da forma desorganizada como a infraestrutura urbana é implantada, tais como: (a) pontes e taludes de estradas que obstruem o escoamento; (b) redução de seção do escoamento por aterros de pontes e para construções em geral; (c) deposição e obstrução de rios, canais e condutos por lixos e sedimentos; (d) projetos e obras de drenagem inadequadas, com diâmetros que diminuem a jusante, drenagem sem esgotamento, entre outros, </w:t>
      </w:r>
      <w:r>
        <w:t>Leopold (1968) fez um estudo que correlacionou o aumento das vazões máximas ao aumento da capacidade de escoamento de condutos e canais e impermeabilização das superfícies (</w:t>
      </w:r>
      <w:r>
        <w:fldChar w:fldCharType="begin"/>
      </w:r>
      <w:r>
        <w:instrText xml:space="preserve"> REF _Ref447027932 \h </w:instrText>
      </w:r>
      <w:r>
        <w:fldChar w:fldCharType="separate"/>
      </w:r>
      <w:r w:rsidR="004D1D76">
        <w:t xml:space="preserve">Figura </w:t>
      </w:r>
      <w:r w:rsidR="004D1D76">
        <w:rPr>
          <w:noProof/>
        </w:rPr>
        <w:t>9</w:t>
      </w:r>
      <w:r>
        <w:fldChar w:fldCharType="end"/>
      </w:r>
      <w:r>
        <w:t>).</w:t>
      </w:r>
    </w:p>
    <w:p w:rsidR="001864D3" w:rsidRDefault="001864D3" w:rsidP="001864D3">
      <w:pPr>
        <w:pStyle w:val="Legenda"/>
      </w:pPr>
      <w:bookmarkStart w:id="177" w:name="_Ref447027932"/>
      <w:bookmarkStart w:id="178" w:name="_Toc447028899"/>
      <w:bookmarkStart w:id="179" w:name="_Ref447027931"/>
      <w:bookmarkStart w:id="180" w:name="_Ref447027930"/>
      <w:bookmarkStart w:id="181" w:name="_Toc497469105"/>
      <w:r>
        <w:t xml:space="preserve">Figura </w:t>
      </w:r>
      <w:r w:rsidR="00D71C43">
        <w:fldChar w:fldCharType="begin"/>
      </w:r>
      <w:r w:rsidR="00D71C43">
        <w:instrText xml:space="preserve"> SEQ Figura \* ARABIC </w:instrText>
      </w:r>
      <w:r w:rsidR="00D71C43">
        <w:fldChar w:fldCharType="separate"/>
      </w:r>
      <w:r w:rsidR="004D1D76">
        <w:rPr>
          <w:noProof/>
        </w:rPr>
        <w:t>9</w:t>
      </w:r>
      <w:r w:rsidR="00D71C43">
        <w:rPr>
          <w:noProof/>
        </w:rPr>
        <w:fldChar w:fldCharType="end"/>
      </w:r>
      <w:bookmarkEnd w:id="177"/>
      <w:r>
        <w:rPr>
          <w:lang w:val="pt-BR"/>
        </w:rPr>
        <w:t xml:space="preserve"> </w:t>
      </w:r>
      <w:r>
        <w:t>- Aumento do pico em função da proporção de área</w:t>
      </w:r>
      <w:bookmarkEnd w:id="178"/>
      <w:bookmarkEnd w:id="179"/>
      <w:bookmarkEnd w:id="180"/>
      <w:bookmarkEnd w:id="181"/>
      <w:r>
        <w:t xml:space="preserve"> </w:t>
      </w:r>
    </w:p>
    <w:p w:rsidR="001864D3" w:rsidRDefault="001864D3" w:rsidP="001864D3">
      <w:pPr>
        <w:pStyle w:val="Legenda"/>
        <w:spacing w:before="0"/>
      </w:pPr>
      <w:r>
        <w:t>impermeável e da canalização do sistema de drenagem</w:t>
      </w:r>
    </w:p>
    <w:p w:rsidR="001864D3" w:rsidRDefault="001864D3" w:rsidP="0081207B">
      <w:pPr>
        <w:pStyle w:val="figura"/>
      </w:pPr>
      <w:r>
        <w:rPr>
          <w:noProof/>
        </w:rPr>
        <w:drawing>
          <wp:inline distT="0" distB="0" distL="0" distR="0" wp14:anchorId="450E969B" wp14:editId="5BB4997D">
            <wp:extent cx="2880000" cy="2421057"/>
            <wp:effectExtent l="19050" t="19050" r="15875" b="1778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a:ext>
                      </a:extLst>
                    </a:blip>
                    <a:srcRect/>
                    <a:stretch>
                      <a:fillRect/>
                    </a:stretch>
                  </pic:blipFill>
                  <pic:spPr bwMode="auto">
                    <a:xfrm>
                      <a:off x="0" y="0"/>
                      <a:ext cx="2880000" cy="2421057"/>
                    </a:xfrm>
                    <a:prstGeom prst="rect">
                      <a:avLst/>
                    </a:prstGeom>
                    <a:noFill/>
                    <a:ln w="9525" cmpd="sng">
                      <a:solidFill>
                        <a:srgbClr val="000000"/>
                      </a:solidFill>
                      <a:miter lim="800000"/>
                      <a:headEnd/>
                      <a:tailEnd/>
                    </a:ln>
                    <a:effectLst/>
                  </pic:spPr>
                </pic:pic>
              </a:graphicData>
            </a:graphic>
          </wp:inline>
        </w:drawing>
      </w:r>
    </w:p>
    <w:p w:rsidR="001864D3" w:rsidRDefault="001864D3" w:rsidP="001864D3">
      <w:pPr>
        <w:pStyle w:val="Fonte"/>
      </w:pPr>
      <w:r>
        <w:t>Fonte: Leopold, 1968.</w:t>
      </w:r>
    </w:p>
    <w:p w:rsidR="001864D3" w:rsidRDefault="001864D3" w:rsidP="001864D3">
      <w:pPr>
        <w:ind w:firstLine="708"/>
      </w:pPr>
      <w:r>
        <w:t>A fim de facilitar a gestão das águas fluviais, é importante adotar a gestão por bacias hidrográficas como unidade de planejamento (Lei Federal nº 9.433/77).</w:t>
      </w:r>
    </w:p>
    <w:p w:rsidR="001864D3" w:rsidRDefault="001864D3" w:rsidP="001864D3">
      <w:pPr>
        <w:ind w:firstLine="708"/>
      </w:pPr>
      <w:r>
        <w:t>De modo geral, as bacias hidrográficas que estão relacionadas a inundações urbanas do município são bacias hidrográficas com pouca ocupação urbana (</w:t>
      </w:r>
      <w:r>
        <w:fldChar w:fldCharType="begin"/>
      </w:r>
      <w:r>
        <w:instrText xml:space="preserve"> REF _Ref445374991 \h </w:instrText>
      </w:r>
      <w:r>
        <w:fldChar w:fldCharType="separate"/>
      </w:r>
      <w:r w:rsidR="004D1D76" w:rsidRPr="00154815">
        <w:t xml:space="preserve">Tabela </w:t>
      </w:r>
      <w:r w:rsidR="004D1D76">
        <w:rPr>
          <w:noProof/>
        </w:rPr>
        <w:t>3</w:t>
      </w:r>
      <w:r>
        <w:fldChar w:fldCharType="end"/>
      </w:r>
      <w:r>
        <w:t>) e intenso uso do solo relacionado às práticas agropecuárias.</w:t>
      </w:r>
    </w:p>
    <w:p w:rsidR="001864D3" w:rsidRDefault="001864D3" w:rsidP="001864D3">
      <w:pPr>
        <w:ind w:firstLine="708"/>
      </w:pPr>
      <w:r w:rsidRPr="00154815">
        <w:t xml:space="preserve">Na </w:t>
      </w:r>
      <w:r w:rsidRPr="00154815">
        <w:fldChar w:fldCharType="begin"/>
      </w:r>
      <w:r w:rsidRPr="00154815">
        <w:instrText xml:space="preserve"> REF _Ref445374991 \h </w:instrText>
      </w:r>
      <w:r w:rsidRPr="00154815">
        <w:fldChar w:fldCharType="separate"/>
      </w:r>
      <w:r w:rsidR="004D1D76" w:rsidRPr="00154815">
        <w:t xml:space="preserve">Tabela </w:t>
      </w:r>
      <w:r w:rsidR="004D1D76">
        <w:rPr>
          <w:noProof/>
        </w:rPr>
        <w:t>3</w:t>
      </w:r>
      <w:r w:rsidRPr="00154815">
        <w:fldChar w:fldCharType="end"/>
      </w:r>
      <w:r w:rsidRPr="00154815">
        <w:t xml:space="preserve"> é possível perceber que as áreas impermeabilizadas relacionadas aos cursos hídricos com histórico de inundações são pequenas, se comparadas à área da bacia de drenagem, não ultrapassando o valor de 4%.</w:t>
      </w:r>
    </w:p>
    <w:p w:rsidR="0068600A" w:rsidRPr="00154815" w:rsidRDefault="0068600A" w:rsidP="001864D3">
      <w:pPr>
        <w:ind w:firstLine="708"/>
      </w:pPr>
    </w:p>
    <w:p w:rsidR="001864D3" w:rsidRPr="00154815" w:rsidRDefault="001864D3" w:rsidP="001864D3">
      <w:pPr>
        <w:pStyle w:val="Legenda"/>
      </w:pPr>
      <w:bookmarkStart w:id="182" w:name="_Ref445374991"/>
      <w:bookmarkStart w:id="183" w:name="_Toc447028905"/>
      <w:bookmarkStart w:id="184" w:name="_Toc497469205"/>
      <w:r w:rsidRPr="00154815">
        <w:lastRenderedPageBreak/>
        <w:t xml:space="preserve">Tabela </w:t>
      </w:r>
      <w:r w:rsidR="00D71C43">
        <w:fldChar w:fldCharType="begin"/>
      </w:r>
      <w:r w:rsidR="00D71C43">
        <w:instrText xml:space="preserve"> SEQ Tabela \* ARABIC </w:instrText>
      </w:r>
      <w:r w:rsidR="00D71C43">
        <w:fldChar w:fldCharType="separate"/>
      </w:r>
      <w:r w:rsidR="004D1D76">
        <w:rPr>
          <w:noProof/>
        </w:rPr>
        <w:t>3</w:t>
      </w:r>
      <w:r w:rsidR="00D71C43">
        <w:rPr>
          <w:noProof/>
        </w:rPr>
        <w:fldChar w:fldCharType="end"/>
      </w:r>
      <w:bookmarkEnd w:id="182"/>
      <w:r w:rsidRPr="00154815">
        <w:t xml:space="preserve"> - Impermeabilização das bacias com histórico de inundação</w:t>
      </w:r>
      <w:bookmarkEnd w:id="183"/>
      <w:bookmarkEnd w:id="184"/>
    </w:p>
    <w:tbl>
      <w:tblPr>
        <w:tblW w:w="0" w:type="auto"/>
        <w:jc w:val="center"/>
        <w:tblCellMar>
          <w:left w:w="70" w:type="dxa"/>
          <w:right w:w="70" w:type="dxa"/>
        </w:tblCellMar>
        <w:tblLook w:val="00A0" w:firstRow="1" w:lastRow="0" w:firstColumn="1" w:lastColumn="0" w:noHBand="0" w:noVBand="0"/>
      </w:tblPr>
      <w:tblGrid>
        <w:gridCol w:w="1431"/>
        <w:gridCol w:w="2609"/>
        <w:gridCol w:w="2265"/>
        <w:gridCol w:w="2620"/>
      </w:tblGrid>
      <w:tr w:rsidR="001864D3" w:rsidRPr="00154815" w:rsidTr="001864D3">
        <w:trPr>
          <w:trHeight w:val="571"/>
          <w:jc w:val="center"/>
        </w:trPr>
        <w:tc>
          <w:tcPr>
            <w:tcW w:w="0" w:type="auto"/>
            <w:tcBorders>
              <w:top w:val="single" w:sz="4" w:space="0" w:color="auto"/>
              <w:left w:val="nil"/>
              <w:bottom w:val="single" w:sz="4" w:space="0" w:color="auto"/>
              <w:right w:val="nil"/>
            </w:tcBorders>
            <w:noWrap/>
            <w:vAlign w:val="center"/>
            <w:hideMark/>
          </w:tcPr>
          <w:p w:rsidR="001864D3" w:rsidRPr="00154815" w:rsidRDefault="001864D3">
            <w:pPr>
              <w:spacing w:line="240" w:lineRule="auto"/>
              <w:jc w:val="center"/>
              <w:rPr>
                <w:sz w:val="20"/>
                <w:szCs w:val="20"/>
                <w:lang w:eastAsia="pt-BR"/>
              </w:rPr>
            </w:pPr>
            <w:r w:rsidRPr="00154815">
              <w:rPr>
                <w:sz w:val="20"/>
                <w:szCs w:val="20"/>
                <w:lang w:eastAsia="pt-BR"/>
              </w:rPr>
              <w:t>Localidade</w:t>
            </w:r>
          </w:p>
        </w:tc>
        <w:tc>
          <w:tcPr>
            <w:tcW w:w="0" w:type="auto"/>
            <w:tcBorders>
              <w:top w:val="single" w:sz="4" w:space="0" w:color="auto"/>
              <w:left w:val="nil"/>
              <w:bottom w:val="single" w:sz="4" w:space="0" w:color="auto"/>
              <w:right w:val="nil"/>
            </w:tcBorders>
            <w:vAlign w:val="center"/>
            <w:hideMark/>
          </w:tcPr>
          <w:p w:rsidR="001864D3" w:rsidRPr="00154815" w:rsidRDefault="001864D3">
            <w:pPr>
              <w:spacing w:line="240" w:lineRule="auto"/>
              <w:jc w:val="center"/>
              <w:rPr>
                <w:sz w:val="20"/>
                <w:szCs w:val="20"/>
                <w:lang w:eastAsia="pt-BR"/>
              </w:rPr>
            </w:pPr>
            <w:r w:rsidRPr="00154815">
              <w:rPr>
                <w:sz w:val="20"/>
                <w:szCs w:val="20"/>
                <w:lang w:eastAsia="pt-BR"/>
              </w:rPr>
              <w:t xml:space="preserve">Área da bacia de drenagem </w:t>
            </w:r>
          </w:p>
          <w:p w:rsidR="001864D3" w:rsidRPr="00154815" w:rsidRDefault="001864D3">
            <w:pPr>
              <w:spacing w:line="240" w:lineRule="auto"/>
              <w:jc w:val="center"/>
              <w:rPr>
                <w:sz w:val="20"/>
                <w:szCs w:val="20"/>
                <w:lang w:eastAsia="pt-BR"/>
              </w:rPr>
            </w:pPr>
            <w:r w:rsidRPr="00154815">
              <w:rPr>
                <w:sz w:val="20"/>
                <w:szCs w:val="20"/>
                <w:lang w:eastAsia="pt-BR"/>
              </w:rPr>
              <w:t xml:space="preserve"> (ha)</w:t>
            </w:r>
          </w:p>
        </w:tc>
        <w:tc>
          <w:tcPr>
            <w:tcW w:w="2265" w:type="dxa"/>
            <w:tcBorders>
              <w:top w:val="single" w:sz="4" w:space="0" w:color="auto"/>
              <w:left w:val="nil"/>
              <w:bottom w:val="single" w:sz="4" w:space="0" w:color="auto"/>
              <w:right w:val="nil"/>
            </w:tcBorders>
            <w:vAlign w:val="center"/>
            <w:hideMark/>
          </w:tcPr>
          <w:p w:rsidR="001864D3" w:rsidRPr="00154815" w:rsidRDefault="001864D3">
            <w:pPr>
              <w:spacing w:line="240" w:lineRule="auto"/>
              <w:jc w:val="center"/>
              <w:rPr>
                <w:sz w:val="20"/>
                <w:szCs w:val="20"/>
                <w:lang w:eastAsia="pt-BR"/>
              </w:rPr>
            </w:pPr>
            <w:r w:rsidRPr="00154815">
              <w:rPr>
                <w:sz w:val="20"/>
                <w:szCs w:val="20"/>
                <w:lang w:eastAsia="pt-BR"/>
              </w:rPr>
              <w:t>Área impermeável atual</w:t>
            </w:r>
          </w:p>
          <w:p w:rsidR="001864D3" w:rsidRPr="00154815" w:rsidRDefault="001864D3">
            <w:pPr>
              <w:spacing w:line="240" w:lineRule="auto"/>
              <w:jc w:val="center"/>
              <w:rPr>
                <w:sz w:val="20"/>
                <w:szCs w:val="20"/>
                <w:lang w:eastAsia="pt-BR"/>
              </w:rPr>
            </w:pPr>
            <w:r w:rsidRPr="00154815">
              <w:rPr>
                <w:sz w:val="20"/>
                <w:szCs w:val="20"/>
                <w:lang w:eastAsia="pt-BR"/>
              </w:rPr>
              <w:t>(ha)</w:t>
            </w:r>
          </w:p>
        </w:tc>
        <w:tc>
          <w:tcPr>
            <w:tcW w:w="2620" w:type="dxa"/>
            <w:tcBorders>
              <w:top w:val="single" w:sz="4" w:space="0" w:color="auto"/>
              <w:left w:val="nil"/>
              <w:bottom w:val="single" w:sz="4" w:space="0" w:color="auto"/>
              <w:right w:val="nil"/>
            </w:tcBorders>
            <w:vAlign w:val="center"/>
            <w:hideMark/>
          </w:tcPr>
          <w:p w:rsidR="001864D3" w:rsidRPr="00154815" w:rsidRDefault="001864D3">
            <w:pPr>
              <w:spacing w:line="240" w:lineRule="auto"/>
              <w:jc w:val="center"/>
              <w:rPr>
                <w:sz w:val="20"/>
                <w:szCs w:val="20"/>
                <w:lang w:eastAsia="pt-BR"/>
              </w:rPr>
            </w:pPr>
            <w:r w:rsidRPr="00154815">
              <w:rPr>
                <w:sz w:val="20"/>
                <w:szCs w:val="20"/>
                <w:lang w:eastAsia="pt-BR"/>
              </w:rPr>
              <w:t>Área impermeabilizada da bacia (%)</w:t>
            </w:r>
          </w:p>
        </w:tc>
      </w:tr>
      <w:tr w:rsidR="001864D3" w:rsidRPr="00154815" w:rsidTr="001864D3">
        <w:trPr>
          <w:trHeight w:val="283"/>
          <w:jc w:val="center"/>
        </w:trPr>
        <w:tc>
          <w:tcPr>
            <w:tcW w:w="0" w:type="auto"/>
            <w:tcBorders>
              <w:top w:val="single" w:sz="4" w:space="0" w:color="auto"/>
              <w:left w:val="nil"/>
              <w:bottom w:val="single" w:sz="4" w:space="0" w:color="auto"/>
              <w:right w:val="nil"/>
            </w:tcBorders>
            <w:noWrap/>
            <w:vAlign w:val="bottom"/>
            <w:hideMark/>
          </w:tcPr>
          <w:p w:rsidR="001864D3" w:rsidRPr="00154815" w:rsidRDefault="001864D3">
            <w:pPr>
              <w:spacing w:line="240" w:lineRule="auto"/>
              <w:jc w:val="center"/>
              <w:rPr>
                <w:b/>
                <w:bCs/>
                <w:sz w:val="18"/>
                <w:szCs w:val="18"/>
                <w:lang w:eastAsia="pt-BR"/>
              </w:rPr>
            </w:pPr>
            <w:r w:rsidRPr="00154815">
              <w:rPr>
                <w:b/>
                <w:bCs/>
                <w:sz w:val="18"/>
                <w:szCs w:val="18"/>
                <w:lang w:eastAsia="pt-BR"/>
              </w:rPr>
              <w:t>Sede</w:t>
            </w:r>
          </w:p>
          <w:p w:rsidR="001864D3" w:rsidRPr="00154815" w:rsidRDefault="001864D3">
            <w:pPr>
              <w:spacing w:line="240" w:lineRule="auto"/>
              <w:jc w:val="center"/>
              <w:rPr>
                <w:sz w:val="20"/>
                <w:szCs w:val="20"/>
                <w:lang w:eastAsia="pt-BR"/>
              </w:rPr>
            </w:pPr>
            <w:r w:rsidRPr="00154815">
              <w:rPr>
                <w:b/>
                <w:bCs/>
                <w:sz w:val="18"/>
                <w:szCs w:val="18"/>
                <w:lang w:eastAsia="pt-BR"/>
              </w:rPr>
              <w:t>(córrego Novo)</w:t>
            </w:r>
          </w:p>
        </w:tc>
        <w:tc>
          <w:tcPr>
            <w:tcW w:w="0" w:type="auto"/>
            <w:tcBorders>
              <w:top w:val="single" w:sz="4" w:space="0" w:color="auto"/>
              <w:left w:val="nil"/>
              <w:bottom w:val="single" w:sz="4" w:space="0" w:color="auto"/>
              <w:right w:val="nil"/>
            </w:tcBorders>
            <w:noWrap/>
            <w:vAlign w:val="center"/>
            <w:hideMark/>
          </w:tcPr>
          <w:p w:rsidR="001864D3" w:rsidRPr="00154815" w:rsidRDefault="001864D3">
            <w:pPr>
              <w:spacing w:line="240" w:lineRule="auto"/>
              <w:jc w:val="center"/>
              <w:rPr>
                <w:sz w:val="18"/>
                <w:szCs w:val="18"/>
                <w:lang w:eastAsia="pt-BR"/>
              </w:rPr>
            </w:pPr>
            <w:r w:rsidRPr="00154815">
              <w:rPr>
                <w:rFonts w:ascii="Calibri" w:eastAsia="Times New Roman" w:hAnsi="Calibri"/>
                <w:sz w:val="22"/>
                <w:lang w:eastAsia="pt-BR"/>
              </w:rPr>
              <w:t>907,8</w:t>
            </w:r>
          </w:p>
        </w:tc>
        <w:tc>
          <w:tcPr>
            <w:tcW w:w="2265" w:type="dxa"/>
            <w:tcBorders>
              <w:top w:val="single" w:sz="4" w:space="0" w:color="auto"/>
              <w:left w:val="nil"/>
              <w:bottom w:val="single" w:sz="4" w:space="0" w:color="auto"/>
              <w:right w:val="nil"/>
            </w:tcBorders>
            <w:noWrap/>
            <w:vAlign w:val="center"/>
            <w:hideMark/>
          </w:tcPr>
          <w:p w:rsidR="001864D3" w:rsidRPr="00154815" w:rsidRDefault="001864D3">
            <w:pPr>
              <w:spacing w:line="240" w:lineRule="auto"/>
              <w:jc w:val="center"/>
              <w:rPr>
                <w:sz w:val="18"/>
                <w:szCs w:val="18"/>
              </w:rPr>
            </w:pPr>
            <w:r w:rsidRPr="00154815">
              <w:rPr>
                <w:rFonts w:ascii="Calibri" w:eastAsia="Times New Roman" w:hAnsi="Calibri"/>
                <w:sz w:val="22"/>
                <w:lang w:eastAsia="pt-BR"/>
              </w:rPr>
              <w:t>34,2</w:t>
            </w:r>
          </w:p>
        </w:tc>
        <w:tc>
          <w:tcPr>
            <w:tcW w:w="2620" w:type="dxa"/>
            <w:tcBorders>
              <w:top w:val="single" w:sz="4" w:space="0" w:color="auto"/>
              <w:left w:val="nil"/>
              <w:bottom w:val="single" w:sz="4" w:space="0" w:color="auto"/>
              <w:right w:val="nil"/>
            </w:tcBorders>
            <w:noWrap/>
            <w:vAlign w:val="center"/>
            <w:hideMark/>
          </w:tcPr>
          <w:p w:rsidR="001864D3" w:rsidRPr="00154815" w:rsidRDefault="001864D3">
            <w:pPr>
              <w:spacing w:line="240" w:lineRule="auto"/>
              <w:jc w:val="center"/>
              <w:rPr>
                <w:sz w:val="18"/>
                <w:szCs w:val="18"/>
                <w:lang w:eastAsia="pt-BR"/>
              </w:rPr>
            </w:pPr>
            <w:r w:rsidRPr="00154815">
              <w:rPr>
                <w:rFonts w:ascii="Calibri" w:eastAsia="Times New Roman" w:hAnsi="Calibri"/>
                <w:sz w:val="22"/>
                <w:lang w:eastAsia="pt-BR"/>
              </w:rPr>
              <w:t>3,8%</w:t>
            </w:r>
            <w:r w:rsidRPr="00154815">
              <w:rPr>
                <w:sz w:val="18"/>
                <w:szCs w:val="18"/>
                <w:lang w:eastAsia="pt-BR"/>
              </w:rPr>
              <w:t>-</w:t>
            </w:r>
          </w:p>
        </w:tc>
      </w:tr>
    </w:tbl>
    <w:p w:rsidR="001864D3" w:rsidRPr="00154815" w:rsidRDefault="001864D3" w:rsidP="001864D3">
      <w:pPr>
        <w:pStyle w:val="Fonte"/>
        <w:rPr>
          <w:rStyle w:val="Forte"/>
          <w:b w:val="0"/>
        </w:rPr>
      </w:pPr>
      <w:r w:rsidRPr="00154815">
        <w:rPr>
          <w:rStyle w:val="Forte"/>
          <w:b w:val="0"/>
        </w:rPr>
        <w:t>Fonte: SHS, 201</w:t>
      </w:r>
      <w:r w:rsidR="00154815">
        <w:rPr>
          <w:rStyle w:val="Forte"/>
          <w:b w:val="0"/>
        </w:rPr>
        <w:t>7</w:t>
      </w:r>
      <w:r w:rsidRPr="00154815">
        <w:rPr>
          <w:rStyle w:val="Forte"/>
          <w:b w:val="0"/>
        </w:rPr>
        <w:t>.</w:t>
      </w:r>
    </w:p>
    <w:p w:rsidR="00154815" w:rsidRPr="00154815" w:rsidRDefault="001864D3" w:rsidP="00154815">
      <w:pPr>
        <w:ind w:firstLine="708"/>
      </w:pPr>
      <w:r w:rsidRPr="00154815">
        <w:t>Para verificar a correlação entre a urbanização e os futuros impactos relacionados a es</w:t>
      </w:r>
      <w:r w:rsidR="00154815">
        <w:t>s</w:t>
      </w:r>
      <w:r w:rsidRPr="00154815">
        <w:t>e crescimento, projetou-se o crescimento populacional acumulado até 2038 nas localidades urbanas do município (</w:t>
      </w:r>
      <w:r w:rsidR="00154815" w:rsidRPr="00154815">
        <w:fldChar w:fldCharType="begin"/>
      </w:r>
      <w:r w:rsidR="00154815" w:rsidRPr="00154815">
        <w:instrText xml:space="preserve"> REF _Ref487725006 \h  \* MERGEFORMAT </w:instrText>
      </w:r>
      <w:r w:rsidR="00154815" w:rsidRPr="00154815">
        <w:fldChar w:fldCharType="separate"/>
      </w:r>
      <w:r w:rsidR="004D1D76">
        <w:t>Tabela 4</w:t>
      </w:r>
      <w:r w:rsidR="00154815" w:rsidRPr="00154815">
        <w:fldChar w:fldCharType="end"/>
      </w:r>
      <w:r w:rsidR="00154815" w:rsidRPr="00154815">
        <w:t>).</w:t>
      </w:r>
    </w:p>
    <w:p w:rsidR="001864D3" w:rsidRPr="00154815" w:rsidRDefault="001864D3" w:rsidP="00154815">
      <w:pPr>
        <w:ind w:firstLine="708"/>
      </w:pPr>
      <w:r w:rsidRPr="00154815">
        <w:t>A projeção do crescimento populacional em Córrego Novo é negativa na sede, sendo assim, assume-se que a impermeabilização se manterá inalterada durante o decrescimento.</w:t>
      </w:r>
    </w:p>
    <w:p w:rsidR="001864D3" w:rsidRDefault="001864D3" w:rsidP="00154815">
      <w:pPr>
        <w:ind w:firstLine="708"/>
      </w:pPr>
      <w:r w:rsidRPr="00154815">
        <w:t>A partir do crescimento populacional</w:t>
      </w:r>
      <w:r w:rsidR="00154815" w:rsidRPr="00154815">
        <w:t>,</w:t>
      </w:r>
      <w:r w:rsidRPr="00154815">
        <w:t xml:space="preserve"> poderia ser estimado o número de novas residências que deveria ser considerado para atender a es</w:t>
      </w:r>
      <w:r w:rsidR="00154815" w:rsidRPr="00154815">
        <w:t>s</w:t>
      </w:r>
      <w:r w:rsidRPr="00154815">
        <w:t>a demanda de crescimento populacional em termos de uso e ocupação do solo/impermeabilização. Para isso, utilizar-se-ia o número padrão de indivíduos que compõe</w:t>
      </w:r>
      <w:r w:rsidR="00154815" w:rsidRPr="00154815">
        <w:t>m</w:t>
      </w:r>
      <w:r w:rsidRPr="00154815">
        <w:t xml:space="preserve"> uma família (3,2hab/domicílio) (IBGE, 2012), estimando que para cada residência a ser construída, será impermeabilizada uma área de 300m² mais 35% de área necessária para instalação de equipamentos urbanos e comunitários; sistema de circulação; e espaços livres de uso público.</w:t>
      </w:r>
    </w:p>
    <w:p w:rsidR="001864D3" w:rsidRDefault="001864D3" w:rsidP="001864D3">
      <w:pPr>
        <w:pStyle w:val="Legenda"/>
        <w:rPr>
          <w:lang w:val="pt-BR"/>
        </w:rPr>
      </w:pPr>
      <w:bookmarkStart w:id="185" w:name="_Ref445385549"/>
      <w:bookmarkStart w:id="186" w:name="_Ref487725006"/>
      <w:bookmarkStart w:id="187" w:name="_Toc447028906"/>
      <w:bookmarkStart w:id="188" w:name="_Toc497469206"/>
      <w:r>
        <w:t xml:space="preserve">Tabela </w:t>
      </w:r>
      <w:r w:rsidR="00D71C43">
        <w:fldChar w:fldCharType="begin"/>
      </w:r>
      <w:r w:rsidR="00D71C43">
        <w:instrText xml:space="preserve"> SEQ Tabela \* ARABIC </w:instrText>
      </w:r>
      <w:r w:rsidR="00D71C43">
        <w:fldChar w:fldCharType="separate"/>
      </w:r>
      <w:r w:rsidR="004D1D76">
        <w:rPr>
          <w:noProof/>
        </w:rPr>
        <w:t>4</w:t>
      </w:r>
      <w:r w:rsidR="00D71C43">
        <w:rPr>
          <w:noProof/>
        </w:rPr>
        <w:fldChar w:fldCharType="end"/>
      </w:r>
      <w:bookmarkEnd w:id="185"/>
      <w:bookmarkEnd w:id="186"/>
      <w:r>
        <w:t xml:space="preserve"> - Projeção de crescimento populacional urbano</w:t>
      </w:r>
      <w:bookmarkEnd w:id="187"/>
      <w:r>
        <w:rPr>
          <w:lang w:val="pt-BR"/>
        </w:rPr>
        <w:t xml:space="preserve"> até 2038 no cenário previsível</w:t>
      </w:r>
      <w:bookmarkEnd w:id="188"/>
    </w:p>
    <w:tbl>
      <w:tblPr>
        <w:tblW w:w="8080" w:type="dxa"/>
        <w:jc w:val="center"/>
        <w:tblBorders>
          <w:top w:val="single" w:sz="4" w:space="0" w:color="auto"/>
          <w:bottom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64"/>
        <w:gridCol w:w="1985"/>
        <w:gridCol w:w="1984"/>
        <w:gridCol w:w="3047"/>
      </w:tblGrid>
      <w:tr w:rsidR="001864D3" w:rsidRPr="00014D00" w:rsidTr="00014D00">
        <w:trPr>
          <w:trHeight w:val="204"/>
          <w:tblHeader/>
          <w:jc w:val="center"/>
        </w:trPr>
        <w:tc>
          <w:tcPr>
            <w:tcW w:w="8080" w:type="dxa"/>
            <w:gridSpan w:val="4"/>
            <w:shd w:val="clear" w:color="auto" w:fill="BFBFBF"/>
            <w:vAlign w:val="center"/>
            <w:hideMark/>
          </w:tcPr>
          <w:p w:rsidR="001864D3" w:rsidRPr="00014D00" w:rsidRDefault="001864D3">
            <w:pPr>
              <w:spacing w:line="240" w:lineRule="auto"/>
              <w:jc w:val="center"/>
              <w:rPr>
                <w:rFonts w:eastAsia="Times New Roman" w:cs="Arial"/>
                <w:b/>
                <w:bCs/>
                <w:sz w:val="22"/>
                <w:lang w:eastAsia="pt-BR"/>
              </w:rPr>
            </w:pPr>
            <w:r w:rsidRPr="00014D00">
              <w:rPr>
                <w:rFonts w:eastAsia="Times New Roman" w:cs="Arial"/>
                <w:b/>
                <w:bCs/>
                <w:sz w:val="22"/>
                <w:lang w:eastAsia="pt-BR"/>
              </w:rPr>
              <w:t>Córrego Novo - Sede</w:t>
            </w:r>
          </w:p>
        </w:tc>
      </w:tr>
      <w:tr w:rsidR="001864D3" w:rsidRPr="00014D00" w:rsidTr="00014D00">
        <w:trPr>
          <w:trHeight w:val="463"/>
          <w:tblHeader/>
          <w:jc w:val="center"/>
        </w:trPr>
        <w:tc>
          <w:tcPr>
            <w:tcW w:w="1064" w:type="dxa"/>
            <w:shd w:val="clear" w:color="auto" w:fill="BFBFBF"/>
            <w:vAlign w:val="center"/>
            <w:hideMark/>
          </w:tcPr>
          <w:p w:rsidR="001864D3" w:rsidRPr="00014D00" w:rsidRDefault="001864D3">
            <w:pPr>
              <w:spacing w:line="240" w:lineRule="auto"/>
              <w:jc w:val="center"/>
              <w:rPr>
                <w:rFonts w:eastAsia="Times New Roman" w:cs="Arial"/>
                <w:b/>
                <w:bCs/>
                <w:color w:val="000000"/>
                <w:sz w:val="22"/>
                <w:lang w:eastAsia="pt-BR"/>
              </w:rPr>
            </w:pPr>
            <w:r w:rsidRPr="00014D00">
              <w:rPr>
                <w:rFonts w:eastAsia="Times New Roman" w:cs="Arial"/>
                <w:b/>
                <w:bCs/>
                <w:color w:val="000000"/>
                <w:sz w:val="22"/>
                <w:lang w:eastAsia="pt-BR"/>
              </w:rPr>
              <w:t>Ano</w:t>
            </w:r>
          </w:p>
        </w:tc>
        <w:tc>
          <w:tcPr>
            <w:tcW w:w="1985" w:type="dxa"/>
            <w:shd w:val="clear" w:color="auto" w:fill="BFBFBF"/>
            <w:vAlign w:val="center"/>
            <w:hideMark/>
          </w:tcPr>
          <w:p w:rsidR="001864D3" w:rsidRPr="00014D00" w:rsidRDefault="001864D3">
            <w:pPr>
              <w:spacing w:line="240" w:lineRule="auto"/>
              <w:jc w:val="center"/>
              <w:rPr>
                <w:rFonts w:eastAsia="Times New Roman" w:cs="Arial"/>
                <w:b/>
                <w:bCs/>
                <w:sz w:val="22"/>
                <w:lang w:eastAsia="pt-BR"/>
              </w:rPr>
            </w:pPr>
            <w:r w:rsidRPr="00014D00">
              <w:rPr>
                <w:rFonts w:eastAsia="Times New Roman" w:cs="Arial"/>
                <w:b/>
                <w:bCs/>
                <w:sz w:val="22"/>
                <w:lang w:eastAsia="pt-BR"/>
              </w:rPr>
              <w:t>População Urbana - Sede (hab.)</w:t>
            </w:r>
          </w:p>
        </w:tc>
        <w:tc>
          <w:tcPr>
            <w:tcW w:w="1984" w:type="dxa"/>
            <w:shd w:val="clear" w:color="auto" w:fill="BFBFBF"/>
            <w:vAlign w:val="center"/>
            <w:hideMark/>
          </w:tcPr>
          <w:p w:rsidR="001864D3" w:rsidRPr="00014D00" w:rsidRDefault="001864D3">
            <w:pPr>
              <w:spacing w:line="240" w:lineRule="auto"/>
              <w:jc w:val="center"/>
              <w:rPr>
                <w:rFonts w:eastAsia="Times New Roman" w:cs="Arial"/>
                <w:b/>
                <w:bCs/>
                <w:color w:val="000000"/>
                <w:sz w:val="22"/>
                <w:lang w:eastAsia="pt-BR"/>
              </w:rPr>
            </w:pPr>
            <w:r w:rsidRPr="00014D00">
              <w:rPr>
                <w:rFonts w:eastAsia="Times New Roman" w:cs="Arial"/>
                <w:b/>
                <w:bCs/>
                <w:color w:val="000000"/>
                <w:sz w:val="22"/>
                <w:lang w:eastAsia="pt-BR"/>
              </w:rPr>
              <w:t>Nº de novas famílias</w:t>
            </w:r>
          </w:p>
        </w:tc>
        <w:tc>
          <w:tcPr>
            <w:tcW w:w="3047" w:type="dxa"/>
            <w:shd w:val="clear" w:color="auto" w:fill="BFBFBF"/>
            <w:vAlign w:val="center"/>
            <w:hideMark/>
          </w:tcPr>
          <w:p w:rsidR="001864D3" w:rsidRPr="00014D00" w:rsidRDefault="001864D3">
            <w:pPr>
              <w:spacing w:line="240" w:lineRule="auto"/>
              <w:jc w:val="center"/>
              <w:rPr>
                <w:rFonts w:eastAsia="Times New Roman" w:cs="Arial"/>
                <w:b/>
                <w:bCs/>
                <w:color w:val="000000"/>
                <w:sz w:val="22"/>
                <w:lang w:eastAsia="pt-BR"/>
              </w:rPr>
            </w:pPr>
            <w:r w:rsidRPr="00014D00">
              <w:rPr>
                <w:rFonts w:eastAsia="Times New Roman" w:cs="Arial"/>
                <w:b/>
                <w:bCs/>
                <w:color w:val="000000"/>
                <w:sz w:val="22"/>
                <w:lang w:eastAsia="pt-BR"/>
              </w:rPr>
              <w:t>Incremento de área impermeabilizada Sede (há)</w:t>
            </w:r>
          </w:p>
        </w:tc>
      </w:tr>
      <w:tr w:rsidR="001864D3" w:rsidRPr="00014D00" w:rsidTr="00014D00">
        <w:trPr>
          <w:trHeight w:val="300"/>
          <w:jc w:val="center"/>
        </w:trPr>
        <w:tc>
          <w:tcPr>
            <w:tcW w:w="106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2011</w:t>
            </w:r>
          </w:p>
        </w:tc>
        <w:tc>
          <w:tcPr>
            <w:tcW w:w="1985"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2.048</w:t>
            </w:r>
          </w:p>
        </w:tc>
        <w:tc>
          <w:tcPr>
            <w:tcW w:w="198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-3,4</w:t>
            </w:r>
          </w:p>
        </w:tc>
        <w:tc>
          <w:tcPr>
            <w:tcW w:w="3047"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0</w:t>
            </w:r>
          </w:p>
        </w:tc>
      </w:tr>
      <w:tr w:rsidR="001864D3" w:rsidRPr="00014D00" w:rsidTr="00014D00">
        <w:trPr>
          <w:trHeight w:val="300"/>
          <w:jc w:val="center"/>
        </w:trPr>
        <w:tc>
          <w:tcPr>
            <w:tcW w:w="106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2012</w:t>
            </w:r>
          </w:p>
        </w:tc>
        <w:tc>
          <w:tcPr>
            <w:tcW w:w="1985"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2.037</w:t>
            </w:r>
          </w:p>
        </w:tc>
        <w:tc>
          <w:tcPr>
            <w:tcW w:w="198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-2,5</w:t>
            </w:r>
          </w:p>
        </w:tc>
        <w:tc>
          <w:tcPr>
            <w:tcW w:w="3047"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0</w:t>
            </w:r>
          </w:p>
        </w:tc>
      </w:tr>
      <w:tr w:rsidR="001864D3" w:rsidRPr="00014D00" w:rsidTr="00014D00">
        <w:trPr>
          <w:trHeight w:val="300"/>
          <w:jc w:val="center"/>
        </w:trPr>
        <w:tc>
          <w:tcPr>
            <w:tcW w:w="106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2013</w:t>
            </w:r>
          </w:p>
        </w:tc>
        <w:tc>
          <w:tcPr>
            <w:tcW w:w="1985"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2.029</w:t>
            </w:r>
          </w:p>
        </w:tc>
        <w:tc>
          <w:tcPr>
            <w:tcW w:w="198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-4,4</w:t>
            </w:r>
          </w:p>
        </w:tc>
        <w:tc>
          <w:tcPr>
            <w:tcW w:w="3047"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0</w:t>
            </w:r>
          </w:p>
        </w:tc>
      </w:tr>
      <w:tr w:rsidR="001864D3" w:rsidRPr="00014D00" w:rsidTr="00014D00">
        <w:trPr>
          <w:trHeight w:val="300"/>
          <w:jc w:val="center"/>
        </w:trPr>
        <w:tc>
          <w:tcPr>
            <w:tcW w:w="106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2014</w:t>
            </w:r>
          </w:p>
        </w:tc>
        <w:tc>
          <w:tcPr>
            <w:tcW w:w="1985"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2.015</w:t>
            </w:r>
          </w:p>
        </w:tc>
        <w:tc>
          <w:tcPr>
            <w:tcW w:w="198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-4,7</w:t>
            </w:r>
          </w:p>
        </w:tc>
        <w:tc>
          <w:tcPr>
            <w:tcW w:w="3047"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0</w:t>
            </w:r>
          </w:p>
        </w:tc>
      </w:tr>
      <w:tr w:rsidR="001864D3" w:rsidRPr="00014D00" w:rsidTr="00014D00">
        <w:trPr>
          <w:trHeight w:val="300"/>
          <w:jc w:val="center"/>
        </w:trPr>
        <w:tc>
          <w:tcPr>
            <w:tcW w:w="106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2015</w:t>
            </w:r>
          </w:p>
        </w:tc>
        <w:tc>
          <w:tcPr>
            <w:tcW w:w="1985"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2.000</w:t>
            </w:r>
          </w:p>
        </w:tc>
        <w:tc>
          <w:tcPr>
            <w:tcW w:w="198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-0,9</w:t>
            </w:r>
          </w:p>
        </w:tc>
        <w:tc>
          <w:tcPr>
            <w:tcW w:w="3047"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0</w:t>
            </w:r>
          </w:p>
        </w:tc>
      </w:tr>
      <w:tr w:rsidR="001864D3" w:rsidRPr="00014D00" w:rsidTr="00014D00">
        <w:trPr>
          <w:trHeight w:val="300"/>
          <w:jc w:val="center"/>
        </w:trPr>
        <w:tc>
          <w:tcPr>
            <w:tcW w:w="106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2016</w:t>
            </w:r>
          </w:p>
        </w:tc>
        <w:tc>
          <w:tcPr>
            <w:tcW w:w="1985"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1.997</w:t>
            </w:r>
          </w:p>
        </w:tc>
        <w:tc>
          <w:tcPr>
            <w:tcW w:w="198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-4,4</w:t>
            </w:r>
          </w:p>
        </w:tc>
        <w:tc>
          <w:tcPr>
            <w:tcW w:w="3047"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0</w:t>
            </w:r>
          </w:p>
        </w:tc>
      </w:tr>
      <w:tr w:rsidR="001864D3" w:rsidRPr="00014D00" w:rsidTr="00014D00">
        <w:trPr>
          <w:trHeight w:val="300"/>
          <w:jc w:val="center"/>
        </w:trPr>
        <w:tc>
          <w:tcPr>
            <w:tcW w:w="106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2017</w:t>
            </w:r>
          </w:p>
        </w:tc>
        <w:tc>
          <w:tcPr>
            <w:tcW w:w="1985"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1.983</w:t>
            </w:r>
          </w:p>
        </w:tc>
        <w:tc>
          <w:tcPr>
            <w:tcW w:w="198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-4,4</w:t>
            </w:r>
          </w:p>
        </w:tc>
        <w:tc>
          <w:tcPr>
            <w:tcW w:w="3047"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0</w:t>
            </w:r>
          </w:p>
        </w:tc>
      </w:tr>
      <w:tr w:rsidR="001864D3" w:rsidRPr="00014D00" w:rsidTr="00014D00">
        <w:trPr>
          <w:trHeight w:val="300"/>
          <w:jc w:val="center"/>
        </w:trPr>
        <w:tc>
          <w:tcPr>
            <w:tcW w:w="106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2018</w:t>
            </w:r>
          </w:p>
        </w:tc>
        <w:tc>
          <w:tcPr>
            <w:tcW w:w="1985"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1.969</w:t>
            </w:r>
          </w:p>
        </w:tc>
        <w:tc>
          <w:tcPr>
            <w:tcW w:w="198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-3,1</w:t>
            </w:r>
          </w:p>
        </w:tc>
        <w:tc>
          <w:tcPr>
            <w:tcW w:w="3047"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0</w:t>
            </w:r>
          </w:p>
        </w:tc>
      </w:tr>
      <w:tr w:rsidR="001864D3" w:rsidRPr="00014D00" w:rsidTr="00014D00">
        <w:trPr>
          <w:trHeight w:val="300"/>
          <w:jc w:val="center"/>
        </w:trPr>
        <w:tc>
          <w:tcPr>
            <w:tcW w:w="106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2019</w:t>
            </w:r>
          </w:p>
        </w:tc>
        <w:tc>
          <w:tcPr>
            <w:tcW w:w="1985"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1.959</w:t>
            </w:r>
          </w:p>
        </w:tc>
        <w:tc>
          <w:tcPr>
            <w:tcW w:w="198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-0,9</w:t>
            </w:r>
          </w:p>
        </w:tc>
        <w:tc>
          <w:tcPr>
            <w:tcW w:w="3047"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0</w:t>
            </w:r>
          </w:p>
        </w:tc>
      </w:tr>
      <w:tr w:rsidR="001864D3" w:rsidRPr="00014D00" w:rsidTr="00014D00">
        <w:trPr>
          <w:trHeight w:val="300"/>
          <w:jc w:val="center"/>
        </w:trPr>
        <w:tc>
          <w:tcPr>
            <w:tcW w:w="106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2020</w:t>
            </w:r>
          </w:p>
        </w:tc>
        <w:tc>
          <w:tcPr>
            <w:tcW w:w="1985"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1.956</w:t>
            </w:r>
          </w:p>
        </w:tc>
        <w:tc>
          <w:tcPr>
            <w:tcW w:w="198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-4,4</w:t>
            </w:r>
          </w:p>
        </w:tc>
        <w:tc>
          <w:tcPr>
            <w:tcW w:w="3047"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0</w:t>
            </w:r>
          </w:p>
        </w:tc>
      </w:tr>
      <w:tr w:rsidR="001864D3" w:rsidRPr="00014D00" w:rsidTr="00014D00">
        <w:trPr>
          <w:trHeight w:val="300"/>
          <w:jc w:val="center"/>
        </w:trPr>
        <w:tc>
          <w:tcPr>
            <w:tcW w:w="106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2021</w:t>
            </w:r>
          </w:p>
        </w:tc>
        <w:tc>
          <w:tcPr>
            <w:tcW w:w="1985"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1.942</w:t>
            </w:r>
          </w:p>
        </w:tc>
        <w:tc>
          <w:tcPr>
            <w:tcW w:w="198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-5,3</w:t>
            </w:r>
          </w:p>
        </w:tc>
        <w:tc>
          <w:tcPr>
            <w:tcW w:w="3047"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0</w:t>
            </w:r>
          </w:p>
        </w:tc>
      </w:tr>
      <w:tr w:rsidR="001864D3" w:rsidRPr="00014D00" w:rsidTr="00014D00">
        <w:trPr>
          <w:trHeight w:val="300"/>
          <w:jc w:val="center"/>
        </w:trPr>
        <w:tc>
          <w:tcPr>
            <w:tcW w:w="106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2022</w:t>
            </w:r>
          </w:p>
        </w:tc>
        <w:tc>
          <w:tcPr>
            <w:tcW w:w="1985"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1.925</w:t>
            </w:r>
          </w:p>
        </w:tc>
        <w:tc>
          <w:tcPr>
            <w:tcW w:w="198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-4,7</w:t>
            </w:r>
          </w:p>
        </w:tc>
        <w:tc>
          <w:tcPr>
            <w:tcW w:w="3047"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0</w:t>
            </w:r>
          </w:p>
        </w:tc>
      </w:tr>
      <w:tr w:rsidR="001864D3" w:rsidRPr="00014D00" w:rsidTr="00014D00">
        <w:trPr>
          <w:trHeight w:val="300"/>
          <w:jc w:val="center"/>
        </w:trPr>
        <w:tc>
          <w:tcPr>
            <w:tcW w:w="106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lastRenderedPageBreak/>
              <w:t>2023</w:t>
            </w:r>
          </w:p>
        </w:tc>
        <w:tc>
          <w:tcPr>
            <w:tcW w:w="1985"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1.910</w:t>
            </w:r>
          </w:p>
        </w:tc>
        <w:tc>
          <w:tcPr>
            <w:tcW w:w="198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-1,3</w:t>
            </w:r>
          </w:p>
        </w:tc>
        <w:tc>
          <w:tcPr>
            <w:tcW w:w="3047"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0</w:t>
            </w:r>
          </w:p>
        </w:tc>
      </w:tr>
      <w:tr w:rsidR="001864D3" w:rsidRPr="00014D00" w:rsidTr="00014D00">
        <w:trPr>
          <w:trHeight w:val="300"/>
          <w:jc w:val="center"/>
        </w:trPr>
        <w:tc>
          <w:tcPr>
            <w:tcW w:w="106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2024</w:t>
            </w:r>
          </w:p>
        </w:tc>
        <w:tc>
          <w:tcPr>
            <w:tcW w:w="1985"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1.906</w:t>
            </w:r>
          </w:p>
        </w:tc>
        <w:tc>
          <w:tcPr>
            <w:tcW w:w="198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-4,7</w:t>
            </w:r>
          </w:p>
        </w:tc>
        <w:tc>
          <w:tcPr>
            <w:tcW w:w="3047"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0</w:t>
            </w:r>
          </w:p>
        </w:tc>
      </w:tr>
      <w:tr w:rsidR="001864D3" w:rsidRPr="00014D00" w:rsidTr="00014D00">
        <w:trPr>
          <w:trHeight w:val="300"/>
          <w:jc w:val="center"/>
        </w:trPr>
        <w:tc>
          <w:tcPr>
            <w:tcW w:w="106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2025</w:t>
            </w:r>
          </w:p>
        </w:tc>
        <w:tc>
          <w:tcPr>
            <w:tcW w:w="1985"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1.891</w:t>
            </w:r>
          </w:p>
        </w:tc>
        <w:tc>
          <w:tcPr>
            <w:tcW w:w="198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-3,1</w:t>
            </w:r>
          </w:p>
        </w:tc>
        <w:tc>
          <w:tcPr>
            <w:tcW w:w="3047"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0</w:t>
            </w:r>
          </w:p>
        </w:tc>
      </w:tr>
      <w:tr w:rsidR="001864D3" w:rsidRPr="00014D00" w:rsidTr="00014D00">
        <w:trPr>
          <w:trHeight w:val="300"/>
          <w:jc w:val="center"/>
        </w:trPr>
        <w:tc>
          <w:tcPr>
            <w:tcW w:w="106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2026</w:t>
            </w:r>
          </w:p>
        </w:tc>
        <w:tc>
          <w:tcPr>
            <w:tcW w:w="1985"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1.881</w:t>
            </w:r>
          </w:p>
        </w:tc>
        <w:tc>
          <w:tcPr>
            <w:tcW w:w="198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-5,9</w:t>
            </w:r>
          </w:p>
        </w:tc>
        <w:tc>
          <w:tcPr>
            <w:tcW w:w="3047"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0</w:t>
            </w:r>
          </w:p>
        </w:tc>
      </w:tr>
      <w:tr w:rsidR="001864D3" w:rsidRPr="00014D00" w:rsidTr="00014D00">
        <w:trPr>
          <w:trHeight w:val="300"/>
          <w:jc w:val="center"/>
        </w:trPr>
        <w:tc>
          <w:tcPr>
            <w:tcW w:w="106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2027</w:t>
            </w:r>
          </w:p>
        </w:tc>
        <w:tc>
          <w:tcPr>
            <w:tcW w:w="1985"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1.862</w:t>
            </w:r>
          </w:p>
        </w:tc>
        <w:tc>
          <w:tcPr>
            <w:tcW w:w="198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-3,4</w:t>
            </w:r>
          </w:p>
        </w:tc>
        <w:tc>
          <w:tcPr>
            <w:tcW w:w="3047"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0</w:t>
            </w:r>
          </w:p>
        </w:tc>
      </w:tr>
      <w:tr w:rsidR="001864D3" w:rsidRPr="00014D00" w:rsidTr="00014D00">
        <w:trPr>
          <w:trHeight w:val="300"/>
          <w:jc w:val="center"/>
        </w:trPr>
        <w:tc>
          <w:tcPr>
            <w:tcW w:w="106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2028</w:t>
            </w:r>
          </w:p>
        </w:tc>
        <w:tc>
          <w:tcPr>
            <w:tcW w:w="1985"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1.851</w:t>
            </w:r>
          </w:p>
        </w:tc>
        <w:tc>
          <w:tcPr>
            <w:tcW w:w="198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-4,7</w:t>
            </w:r>
          </w:p>
        </w:tc>
        <w:tc>
          <w:tcPr>
            <w:tcW w:w="3047"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0</w:t>
            </w:r>
          </w:p>
        </w:tc>
      </w:tr>
      <w:tr w:rsidR="001864D3" w:rsidRPr="00014D00" w:rsidTr="00014D00">
        <w:trPr>
          <w:trHeight w:val="300"/>
          <w:jc w:val="center"/>
        </w:trPr>
        <w:tc>
          <w:tcPr>
            <w:tcW w:w="106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2029</w:t>
            </w:r>
          </w:p>
        </w:tc>
        <w:tc>
          <w:tcPr>
            <w:tcW w:w="1985"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1.836</w:t>
            </w:r>
          </w:p>
        </w:tc>
        <w:tc>
          <w:tcPr>
            <w:tcW w:w="198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-7,2</w:t>
            </w:r>
          </w:p>
        </w:tc>
        <w:tc>
          <w:tcPr>
            <w:tcW w:w="3047"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0</w:t>
            </w:r>
          </w:p>
        </w:tc>
      </w:tr>
      <w:tr w:rsidR="001864D3" w:rsidRPr="00014D00" w:rsidTr="00014D00">
        <w:trPr>
          <w:trHeight w:val="300"/>
          <w:jc w:val="center"/>
        </w:trPr>
        <w:tc>
          <w:tcPr>
            <w:tcW w:w="106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2030</w:t>
            </w:r>
          </w:p>
        </w:tc>
        <w:tc>
          <w:tcPr>
            <w:tcW w:w="1985"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1.813</w:t>
            </w:r>
          </w:p>
        </w:tc>
        <w:tc>
          <w:tcPr>
            <w:tcW w:w="198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-5,6</w:t>
            </w:r>
          </w:p>
        </w:tc>
        <w:tc>
          <w:tcPr>
            <w:tcW w:w="3047"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0</w:t>
            </w:r>
          </w:p>
        </w:tc>
      </w:tr>
      <w:tr w:rsidR="001864D3" w:rsidRPr="00014D00" w:rsidTr="00014D00">
        <w:trPr>
          <w:trHeight w:val="300"/>
          <w:jc w:val="center"/>
        </w:trPr>
        <w:tc>
          <w:tcPr>
            <w:tcW w:w="106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2031</w:t>
            </w:r>
          </w:p>
        </w:tc>
        <w:tc>
          <w:tcPr>
            <w:tcW w:w="1985"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1.795</w:t>
            </w:r>
          </w:p>
        </w:tc>
        <w:tc>
          <w:tcPr>
            <w:tcW w:w="198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-5,0</w:t>
            </w:r>
          </w:p>
        </w:tc>
        <w:tc>
          <w:tcPr>
            <w:tcW w:w="3047"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0</w:t>
            </w:r>
          </w:p>
        </w:tc>
      </w:tr>
      <w:tr w:rsidR="001864D3" w:rsidRPr="00014D00" w:rsidTr="00014D00">
        <w:trPr>
          <w:trHeight w:val="300"/>
          <w:jc w:val="center"/>
        </w:trPr>
        <w:tc>
          <w:tcPr>
            <w:tcW w:w="106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2032</w:t>
            </w:r>
          </w:p>
        </w:tc>
        <w:tc>
          <w:tcPr>
            <w:tcW w:w="1985"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1.779</w:t>
            </w:r>
          </w:p>
        </w:tc>
        <w:tc>
          <w:tcPr>
            <w:tcW w:w="198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-2,8</w:t>
            </w:r>
          </w:p>
        </w:tc>
        <w:tc>
          <w:tcPr>
            <w:tcW w:w="3047"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0</w:t>
            </w:r>
          </w:p>
        </w:tc>
      </w:tr>
      <w:tr w:rsidR="001864D3" w:rsidRPr="00014D00" w:rsidTr="00014D00">
        <w:trPr>
          <w:trHeight w:val="300"/>
          <w:jc w:val="center"/>
        </w:trPr>
        <w:tc>
          <w:tcPr>
            <w:tcW w:w="106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2033</w:t>
            </w:r>
          </w:p>
        </w:tc>
        <w:tc>
          <w:tcPr>
            <w:tcW w:w="1985"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1.770</w:t>
            </w:r>
          </w:p>
        </w:tc>
        <w:tc>
          <w:tcPr>
            <w:tcW w:w="198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-5,9</w:t>
            </w:r>
          </w:p>
        </w:tc>
        <w:tc>
          <w:tcPr>
            <w:tcW w:w="3047"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0</w:t>
            </w:r>
          </w:p>
        </w:tc>
      </w:tr>
      <w:tr w:rsidR="001864D3" w:rsidRPr="00014D00" w:rsidTr="00014D00">
        <w:trPr>
          <w:trHeight w:val="300"/>
          <w:jc w:val="center"/>
        </w:trPr>
        <w:tc>
          <w:tcPr>
            <w:tcW w:w="106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2034</w:t>
            </w:r>
          </w:p>
        </w:tc>
        <w:tc>
          <w:tcPr>
            <w:tcW w:w="1985"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1.751</w:t>
            </w:r>
          </w:p>
        </w:tc>
        <w:tc>
          <w:tcPr>
            <w:tcW w:w="198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-6,6</w:t>
            </w:r>
          </w:p>
        </w:tc>
        <w:tc>
          <w:tcPr>
            <w:tcW w:w="3047"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0</w:t>
            </w:r>
          </w:p>
        </w:tc>
      </w:tr>
      <w:tr w:rsidR="001864D3" w:rsidRPr="00014D00" w:rsidTr="00014D00">
        <w:trPr>
          <w:trHeight w:val="300"/>
          <w:jc w:val="center"/>
        </w:trPr>
        <w:tc>
          <w:tcPr>
            <w:tcW w:w="106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2035</w:t>
            </w:r>
          </w:p>
        </w:tc>
        <w:tc>
          <w:tcPr>
            <w:tcW w:w="1985"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1.730</w:t>
            </w:r>
          </w:p>
        </w:tc>
        <w:tc>
          <w:tcPr>
            <w:tcW w:w="198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-5,9</w:t>
            </w:r>
          </w:p>
        </w:tc>
        <w:tc>
          <w:tcPr>
            <w:tcW w:w="3047"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0</w:t>
            </w:r>
          </w:p>
        </w:tc>
      </w:tr>
      <w:tr w:rsidR="001864D3" w:rsidRPr="00014D00" w:rsidTr="00014D00">
        <w:trPr>
          <w:trHeight w:val="300"/>
          <w:jc w:val="center"/>
        </w:trPr>
        <w:tc>
          <w:tcPr>
            <w:tcW w:w="106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2036</w:t>
            </w:r>
          </w:p>
        </w:tc>
        <w:tc>
          <w:tcPr>
            <w:tcW w:w="1985"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1.711</w:t>
            </w:r>
          </w:p>
        </w:tc>
        <w:tc>
          <w:tcPr>
            <w:tcW w:w="198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-2,8</w:t>
            </w:r>
          </w:p>
        </w:tc>
        <w:tc>
          <w:tcPr>
            <w:tcW w:w="3047"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0</w:t>
            </w:r>
          </w:p>
        </w:tc>
      </w:tr>
      <w:tr w:rsidR="001864D3" w:rsidRPr="00014D00" w:rsidTr="00014D00">
        <w:trPr>
          <w:trHeight w:val="300"/>
          <w:jc w:val="center"/>
        </w:trPr>
        <w:tc>
          <w:tcPr>
            <w:tcW w:w="106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2037</w:t>
            </w:r>
          </w:p>
        </w:tc>
        <w:tc>
          <w:tcPr>
            <w:tcW w:w="1985"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1.702</w:t>
            </w:r>
          </w:p>
        </w:tc>
        <w:tc>
          <w:tcPr>
            <w:tcW w:w="198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-3,4</w:t>
            </w:r>
          </w:p>
        </w:tc>
        <w:tc>
          <w:tcPr>
            <w:tcW w:w="3047"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0</w:t>
            </w:r>
          </w:p>
        </w:tc>
      </w:tr>
      <w:tr w:rsidR="001864D3" w:rsidRPr="00014D00" w:rsidTr="00014D00">
        <w:trPr>
          <w:trHeight w:val="300"/>
          <w:jc w:val="center"/>
        </w:trPr>
        <w:tc>
          <w:tcPr>
            <w:tcW w:w="1064"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2038</w:t>
            </w:r>
          </w:p>
        </w:tc>
        <w:tc>
          <w:tcPr>
            <w:tcW w:w="1985" w:type="dxa"/>
            <w:noWrap/>
            <w:vAlign w:val="center"/>
            <w:hideMark/>
          </w:tcPr>
          <w:p w:rsidR="001864D3" w:rsidRPr="00014D00" w:rsidRDefault="001864D3">
            <w:pPr>
              <w:spacing w:line="240" w:lineRule="auto"/>
              <w:jc w:val="center"/>
              <w:rPr>
                <w:rFonts w:eastAsia="Times New Roman" w:cs="Arial"/>
                <w:color w:val="000000"/>
                <w:sz w:val="22"/>
                <w:lang w:eastAsia="pt-BR"/>
              </w:rPr>
            </w:pPr>
            <w:r w:rsidRPr="00014D00">
              <w:rPr>
                <w:rFonts w:eastAsia="Times New Roman" w:cs="Arial"/>
                <w:color w:val="000000"/>
                <w:sz w:val="22"/>
                <w:lang w:eastAsia="pt-BR"/>
              </w:rPr>
              <w:t>1.691</w:t>
            </w:r>
          </w:p>
        </w:tc>
        <w:tc>
          <w:tcPr>
            <w:tcW w:w="1984" w:type="dxa"/>
            <w:shd w:val="clear" w:color="auto" w:fill="BFBFBF"/>
            <w:noWrap/>
            <w:vAlign w:val="center"/>
            <w:hideMark/>
          </w:tcPr>
          <w:p w:rsidR="001864D3" w:rsidRPr="00014D00" w:rsidRDefault="001864D3">
            <w:pPr>
              <w:spacing w:line="240" w:lineRule="auto"/>
              <w:jc w:val="center"/>
              <w:rPr>
                <w:rFonts w:eastAsia="Times New Roman" w:cs="Arial"/>
                <w:b/>
                <w:bCs/>
                <w:color w:val="000000"/>
                <w:sz w:val="22"/>
                <w:lang w:eastAsia="pt-BR"/>
              </w:rPr>
            </w:pPr>
            <w:r w:rsidRPr="00014D00">
              <w:rPr>
                <w:rFonts w:eastAsia="Times New Roman" w:cs="Arial"/>
                <w:b/>
                <w:bCs/>
                <w:color w:val="000000"/>
                <w:sz w:val="22"/>
                <w:lang w:eastAsia="pt-BR"/>
              </w:rPr>
              <w:t>Total</w:t>
            </w:r>
          </w:p>
        </w:tc>
        <w:tc>
          <w:tcPr>
            <w:tcW w:w="3047" w:type="dxa"/>
            <w:shd w:val="clear" w:color="auto" w:fill="D9D9D9"/>
            <w:noWrap/>
            <w:vAlign w:val="center"/>
            <w:hideMark/>
          </w:tcPr>
          <w:p w:rsidR="001864D3" w:rsidRPr="00014D00" w:rsidRDefault="001864D3">
            <w:pPr>
              <w:spacing w:line="240" w:lineRule="auto"/>
              <w:jc w:val="center"/>
              <w:rPr>
                <w:rFonts w:eastAsia="Times New Roman" w:cs="Arial"/>
                <w:b/>
                <w:bCs/>
                <w:color w:val="000000"/>
                <w:sz w:val="22"/>
                <w:lang w:eastAsia="pt-BR"/>
              </w:rPr>
            </w:pPr>
            <w:r w:rsidRPr="00014D00">
              <w:rPr>
                <w:rFonts w:eastAsia="Times New Roman" w:cs="Arial"/>
                <w:b/>
                <w:bCs/>
                <w:color w:val="000000"/>
                <w:sz w:val="22"/>
                <w:lang w:eastAsia="pt-BR"/>
              </w:rPr>
              <w:t>0,0</w:t>
            </w:r>
          </w:p>
        </w:tc>
      </w:tr>
    </w:tbl>
    <w:p w:rsidR="001864D3" w:rsidRDefault="001864D3" w:rsidP="001864D3">
      <w:pPr>
        <w:pStyle w:val="Fonte"/>
      </w:pPr>
      <w:r>
        <w:t>Fonte: SHS, 201</w:t>
      </w:r>
      <w:r w:rsidR="00014D00">
        <w:t>7.</w:t>
      </w:r>
    </w:p>
    <w:p w:rsidR="001864D3" w:rsidRDefault="001864D3" w:rsidP="001864D3">
      <w:pPr>
        <w:ind w:firstLine="708"/>
      </w:pPr>
      <w:r>
        <w:t xml:space="preserve">Caso se projetasse </w:t>
      </w:r>
      <w:r w:rsidRPr="00140570">
        <w:t>os valores de impermeabilização das bacias de drenagem, para ambos os cenários no gráfico de estudo de Leopold (1968) (</w:t>
      </w:r>
      <w:r w:rsidRPr="00140570">
        <w:fldChar w:fldCharType="begin"/>
      </w:r>
      <w:r w:rsidRPr="00140570">
        <w:instrText xml:space="preserve"> REF _Ref447027932 \h </w:instrText>
      </w:r>
      <w:r w:rsidR="00140570">
        <w:instrText xml:space="preserve"> \* MERGEFORMAT </w:instrText>
      </w:r>
      <w:r w:rsidRPr="00140570">
        <w:fldChar w:fldCharType="separate"/>
      </w:r>
      <w:r w:rsidR="004D1D76">
        <w:t xml:space="preserve">Figura </w:t>
      </w:r>
      <w:r w:rsidR="004D1D76">
        <w:rPr>
          <w:noProof/>
        </w:rPr>
        <w:t>9</w:t>
      </w:r>
      <w:r w:rsidRPr="00140570">
        <w:fldChar w:fldCharType="end"/>
      </w:r>
      <w:r w:rsidRPr="00140570">
        <w:t>), chegar-se-ia à conclusão que a urbanização do município tem um baixo fator de influência nos deflúvios, porém é preciso atenção</w:t>
      </w:r>
      <w:r>
        <w:t xml:space="preserve"> e planejamento para não ocupar áreas </w:t>
      </w:r>
      <w:r w:rsidR="00014D00">
        <w:t>onde</w:t>
      </w:r>
      <w:r>
        <w:t xml:space="preserve"> naturalmente ocorrem cheias, já que as bacias hidrográficas onde estão instaladas as zonas urbanas são de tamanho considerável.</w:t>
      </w:r>
    </w:p>
    <w:p w:rsidR="001864D3" w:rsidRPr="00014D00" w:rsidRDefault="001864D3" w:rsidP="001864D3">
      <w:pPr>
        <w:ind w:firstLine="708"/>
      </w:pPr>
      <w:r>
        <w:t xml:space="preserve">Diferente das projeções de água, esgoto e resíduos, as projeções envolvendo o eixo drenagem, a fim de prever eventos que causem distúrbios à população, não estão estritamente relacionadas com o crescimento urbano. Existem muitos fatores que são inerentes à </w:t>
      </w:r>
      <w:r w:rsidRPr="00014D00">
        <w:t>forma de uso e ocupação do solo, associados a infraestruturas inadequadas e a outros fatores geológicos e geográficos, tais como:</w:t>
      </w:r>
    </w:p>
    <w:p w:rsidR="00014D00" w:rsidRPr="00014D00" w:rsidRDefault="00014D00" w:rsidP="00014D00">
      <w:pPr>
        <w:ind w:firstLine="708"/>
      </w:pPr>
      <w:r w:rsidRPr="00014D00">
        <w:t>Fatores que influenciam eventos críticos inerentes ao uso e ocupação do solo:</w:t>
      </w:r>
    </w:p>
    <w:p w:rsidR="00014D00" w:rsidRPr="00014D00" w:rsidRDefault="00014D00" w:rsidP="00A87269">
      <w:pPr>
        <w:pStyle w:val="PargrafodaLista"/>
        <w:numPr>
          <w:ilvl w:val="0"/>
          <w:numId w:val="57"/>
        </w:numPr>
      </w:pPr>
      <w:r w:rsidRPr="00014D00">
        <w:t>Ocupação de zonas de cheias (leito maior).</w:t>
      </w:r>
    </w:p>
    <w:p w:rsidR="00014D00" w:rsidRPr="00014D00" w:rsidRDefault="00014D00" w:rsidP="00A87269">
      <w:pPr>
        <w:pStyle w:val="PargrafodaLista"/>
        <w:numPr>
          <w:ilvl w:val="0"/>
          <w:numId w:val="57"/>
        </w:numPr>
      </w:pPr>
      <w:r w:rsidRPr="00014D00">
        <w:t>Uso inadequado do solo, com pouca área para infiltração ou infiltração abaixo do adequado, acarretando erosões e impermeabilizações.</w:t>
      </w:r>
    </w:p>
    <w:p w:rsidR="00014D00" w:rsidRPr="00014D00" w:rsidRDefault="00014D00" w:rsidP="00A87269">
      <w:pPr>
        <w:pStyle w:val="PargrafodaLista"/>
        <w:numPr>
          <w:ilvl w:val="0"/>
          <w:numId w:val="57"/>
        </w:numPr>
      </w:pPr>
      <w:r w:rsidRPr="00014D00">
        <w:lastRenderedPageBreak/>
        <w:t>Ordenamento territorial inadequado.</w:t>
      </w:r>
    </w:p>
    <w:p w:rsidR="00014D00" w:rsidRPr="00014D00" w:rsidRDefault="00014D00" w:rsidP="00014D00">
      <w:pPr>
        <w:ind w:firstLine="708"/>
      </w:pPr>
      <w:r w:rsidRPr="00014D00">
        <w:t>Fatores associados às infraestruturas urbanas inadequadas:</w:t>
      </w:r>
    </w:p>
    <w:p w:rsidR="00014D00" w:rsidRPr="00014D00" w:rsidRDefault="00014D00" w:rsidP="00A87269">
      <w:pPr>
        <w:pStyle w:val="PargrafodaLista"/>
        <w:numPr>
          <w:ilvl w:val="0"/>
          <w:numId w:val="58"/>
        </w:numPr>
      </w:pPr>
      <w:r w:rsidRPr="00014D00">
        <w:t>Construções inadequadas de equipamentos de drenagem que funcionem como gargalo.</w:t>
      </w:r>
    </w:p>
    <w:p w:rsidR="00014D00" w:rsidRPr="00014D00" w:rsidRDefault="00014D00" w:rsidP="00014D00">
      <w:pPr>
        <w:ind w:firstLine="708"/>
      </w:pPr>
      <w:r w:rsidRPr="00014D00">
        <w:t>Fatores inerentes à geologia e geografia:</w:t>
      </w:r>
    </w:p>
    <w:p w:rsidR="00014D00" w:rsidRPr="00014D00" w:rsidRDefault="00014D00" w:rsidP="00A87269">
      <w:pPr>
        <w:pStyle w:val="PargrafodaLista"/>
        <w:numPr>
          <w:ilvl w:val="0"/>
          <w:numId w:val="58"/>
        </w:numPr>
      </w:pPr>
      <w:r w:rsidRPr="00014D00">
        <w:t>Formato da bacia (influencia o tempo de concentração).</w:t>
      </w:r>
    </w:p>
    <w:p w:rsidR="00014D00" w:rsidRPr="00014D00" w:rsidRDefault="00014D00" w:rsidP="00A87269">
      <w:pPr>
        <w:pStyle w:val="PargrafodaLista"/>
        <w:numPr>
          <w:ilvl w:val="0"/>
          <w:numId w:val="58"/>
        </w:numPr>
      </w:pPr>
      <w:r w:rsidRPr="00014D00">
        <w:t>Tipo de solo.</w:t>
      </w:r>
    </w:p>
    <w:p w:rsidR="00014D00" w:rsidRPr="00014D00" w:rsidRDefault="00014D00" w:rsidP="00A87269">
      <w:pPr>
        <w:pStyle w:val="PargrafodaLista"/>
        <w:numPr>
          <w:ilvl w:val="0"/>
          <w:numId w:val="58"/>
        </w:numPr>
      </w:pPr>
      <w:r w:rsidRPr="00014D00">
        <w:t>Densidade de cursos hídricos na bacia hidrográfica (drenagem da bacia).</w:t>
      </w:r>
    </w:p>
    <w:p w:rsidR="00014D00" w:rsidRPr="00014D00" w:rsidRDefault="00014D00" w:rsidP="00A87269">
      <w:pPr>
        <w:pStyle w:val="PargrafodaLista"/>
        <w:numPr>
          <w:ilvl w:val="0"/>
          <w:numId w:val="58"/>
        </w:numPr>
      </w:pPr>
      <w:r w:rsidRPr="00014D00">
        <w:t>Declividade da bacia.</w:t>
      </w:r>
    </w:p>
    <w:p w:rsidR="001864D3" w:rsidRPr="002A5AEB" w:rsidRDefault="001864D3" w:rsidP="001864D3">
      <w:pPr>
        <w:ind w:firstLine="708"/>
      </w:pPr>
      <w:r>
        <w:t xml:space="preserve">Como as áreas urbanizadas das bacias de drenagem dos cursos hídricos principais do município são pequenas, é preciso dar atenção a outros usos de ocupação de solo, principalmente quanto ao uso agrícola. Gonçalvez, Nogueira Jr. e Ducatti (2008) citam, como exemplo, um solo com 14 anos de cultivo agrícola, que decresceu a infiltração de 148,3 mm/h numa mata nativa para 6,6mm/h numa área agrícola. Esses dados evidenciam a importância do planejamento do uso e ocupação do solo e o </w:t>
      </w:r>
      <w:r w:rsidRPr="002A5AEB">
        <w:t>restabelecimento de APPs e a criação de APAs no município.</w:t>
      </w:r>
    </w:p>
    <w:p w:rsidR="001864D3" w:rsidRPr="002A5AEB" w:rsidRDefault="001864D3" w:rsidP="001864D3">
      <w:pPr>
        <w:ind w:firstLine="708"/>
      </w:pPr>
      <w:r w:rsidRPr="002A5AEB">
        <w:t>No Produto 3 (Diagnóstico Técnico-Participativo dos Serviços de Saneamento Básico), realizou-se o estudo hidrológico das bacias com o objetivo de determinar, para cada um dos pontos estudados, a vazão máxima para precipitações com períodos de retorno de 10, 50 e 100 anos. A partir do estudo foi possível constatar alguns locais em que possivelmente ocorrerão inundações, porém sem grande influência dos impactos do crescimento urbano</w:t>
      </w:r>
      <w:r w:rsidR="00431211" w:rsidRPr="002A5AEB">
        <w:t xml:space="preserve"> (</w:t>
      </w:r>
      <w:r w:rsidR="00431211" w:rsidRPr="002A5AEB">
        <w:fldChar w:fldCharType="begin"/>
      </w:r>
      <w:r w:rsidR="00431211" w:rsidRPr="002A5AEB">
        <w:instrText xml:space="preserve"> REF _Ref491949542 \h </w:instrText>
      </w:r>
      <w:r w:rsidR="00431211" w:rsidRPr="002A5AEB">
        <w:fldChar w:fldCharType="separate"/>
      </w:r>
      <w:r w:rsidR="004D1D76" w:rsidRPr="002A5AEB">
        <w:t xml:space="preserve">Tabela </w:t>
      </w:r>
      <w:r w:rsidR="004D1D76">
        <w:rPr>
          <w:noProof/>
        </w:rPr>
        <w:t>5</w:t>
      </w:r>
      <w:r w:rsidR="00431211" w:rsidRPr="002A5AEB">
        <w:fldChar w:fldCharType="end"/>
      </w:r>
      <w:r w:rsidR="00431211" w:rsidRPr="002A5AEB">
        <w:t>)</w:t>
      </w:r>
      <w:r w:rsidRPr="002A5AEB">
        <w:t>.</w:t>
      </w:r>
    </w:p>
    <w:p w:rsidR="00431211" w:rsidRPr="002A5AEB" w:rsidRDefault="00431211" w:rsidP="00431211">
      <w:pPr>
        <w:pStyle w:val="Legenda"/>
        <w:rPr>
          <w:lang w:val="pt-BR"/>
        </w:rPr>
      </w:pPr>
      <w:bookmarkStart w:id="189" w:name="_Ref491949542"/>
      <w:bookmarkStart w:id="190" w:name="_Toc497469207"/>
      <w:r w:rsidRPr="002A5AEB">
        <w:t xml:space="preserve">Tabela </w:t>
      </w:r>
      <w:r w:rsidR="00D71C43">
        <w:fldChar w:fldCharType="begin"/>
      </w:r>
      <w:r w:rsidR="00D71C43">
        <w:instrText xml:space="preserve"> SEQ Tabela \* ARABIC </w:instrText>
      </w:r>
      <w:r w:rsidR="00D71C43">
        <w:fldChar w:fldCharType="separate"/>
      </w:r>
      <w:r w:rsidR="004D1D76">
        <w:rPr>
          <w:noProof/>
        </w:rPr>
        <w:t>5</w:t>
      </w:r>
      <w:r w:rsidR="00D71C43">
        <w:rPr>
          <w:noProof/>
        </w:rPr>
        <w:fldChar w:fldCharType="end"/>
      </w:r>
      <w:bookmarkEnd w:id="189"/>
      <w:r w:rsidR="002828C8">
        <w:rPr>
          <w:lang w:val="pt-BR"/>
        </w:rPr>
        <w:t xml:space="preserve"> -</w:t>
      </w:r>
      <w:r w:rsidRPr="002A5AEB">
        <w:rPr>
          <w:lang w:val="pt-BR"/>
        </w:rPr>
        <w:t xml:space="preserve"> Locais passiveis de inundações e seus respectivos períodos de retorno</w:t>
      </w:r>
      <w:bookmarkEnd w:id="190"/>
    </w:p>
    <w:tbl>
      <w:tblPr>
        <w:tblW w:w="4420" w:type="dxa"/>
        <w:jc w:val="center"/>
        <w:tblCellMar>
          <w:left w:w="70" w:type="dxa"/>
          <w:right w:w="70" w:type="dxa"/>
        </w:tblCellMar>
        <w:tblLook w:val="04A0" w:firstRow="1" w:lastRow="0" w:firstColumn="1" w:lastColumn="0" w:noHBand="0" w:noVBand="1"/>
      </w:tblPr>
      <w:tblGrid>
        <w:gridCol w:w="960"/>
        <w:gridCol w:w="1240"/>
        <w:gridCol w:w="1221"/>
        <w:gridCol w:w="999"/>
      </w:tblGrid>
      <w:tr w:rsidR="002D0AB2" w:rsidRPr="002A5AEB" w:rsidTr="00431211">
        <w:trPr>
          <w:trHeight w:val="804"/>
          <w:jc w:val="center"/>
        </w:trPr>
        <w:tc>
          <w:tcPr>
            <w:tcW w:w="960" w:type="dxa"/>
            <w:vMerge w:val="restart"/>
            <w:tcBorders>
              <w:top w:val="single" w:sz="4" w:space="0" w:color="auto"/>
              <w:left w:val="nil"/>
              <w:bottom w:val="single" w:sz="4" w:space="0" w:color="000000"/>
              <w:right w:val="nil"/>
            </w:tcBorders>
            <w:shd w:val="clear" w:color="000000" w:fill="FFFFFF"/>
            <w:noWrap/>
            <w:vAlign w:val="center"/>
            <w:hideMark/>
          </w:tcPr>
          <w:p w:rsidR="00431211" w:rsidRPr="002A5AEB" w:rsidRDefault="00431211" w:rsidP="00431211">
            <w:pPr>
              <w:spacing w:line="240" w:lineRule="auto"/>
              <w:jc w:val="center"/>
              <w:rPr>
                <w:rFonts w:eastAsia="Times New Roman" w:cs="Arial"/>
                <w:b/>
                <w:bCs/>
                <w:sz w:val="22"/>
                <w:lang w:eastAsia="pt-BR"/>
              </w:rPr>
            </w:pPr>
            <w:r w:rsidRPr="002A5AEB">
              <w:rPr>
                <w:rFonts w:eastAsia="Times New Roman" w:cs="Arial"/>
                <w:b/>
                <w:bCs/>
                <w:sz w:val="22"/>
                <w:lang w:eastAsia="pt-BR"/>
              </w:rPr>
              <w:t>Seção</w:t>
            </w:r>
          </w:p>
        </w:tc>
        <w:tc>
          <w:tcPr>
            <w:tcW w:w="1240" w:type="dxa"/>
            <w:vMerge w:val="restart"/>
            <w:tcBorders>
              <w:top w:val="single" w:sz="4" w:space="0" w:color="auto"/>
              <w:left w:val="nil"/>
              <w:bottom w:val="single" w:sz="4" w:space="0" w:color="000000"/>
              <w:right w:val="nil"/>
            </w:tcBorders>
            <w:shd w:val="clear" w:color="000000" w:fill="FFFFFF"/>
            <w:vAlign w:val="center"/>
            <w:hideMark/>
          </w:tcPr>
          <w:p w:rsidR="00431211" w:rsidRPr="002A5AEB" w:rsidRDefault="00431211" w:rsidP="00431211">
            <w:pPr>
              <w:spacing w:line="240" w:lineRule="auto"/>
              <w:jc w:val="center"/>
              <w:rPr>
                <w:rFonts w:eastAsia="Times New Roman" w:cs="Arial"/>
                <w:b/>
                <w:bCs/>
                <w:sz w:val="22"/>
                <w:lang w:eastAsia="pt-BR"/>
              </w:rPr>
            </w:pPr>
            <w:r w:rsidRPr="002A5AEB">
              <w:rPr>
                <w:rFonts w:eastAsia="Times New Roman" w:cs="Arial"/>
                <w:b/>
                <w:bCs/>
                <w:sz w:val="22"/>
                <w:lang w:eastAsia="pt-BR"/>
              </w:rPr>
              <w:t>Período de Retorno (anos)</w:t>
            </w:r>
          </w:p>
        </w:tc>
        <w:tc>
          <w:tcPr>
            <w:tcW w:w="2220" w:type="dxa"/>
            <w:gridSpan w:val="2"/>
            <w:tcBorders>
              <w:top w:val="single" w:sz="4" w:space="0" w:color="auto"/>
              <w:left w:val="nil"/>
              <w:bottom w:val="nil"/>
              <w:right w:val="nil"/>
            </w:tcBorders>
            <w:shd w:val="clear" w:color="auto" w:fill="auto"/>
            <w:vAlign w:val="center"/>
            <w:hideMark/>
          </w:tcPr>
          <w:p w:rsidR="00431211" w:rsidRPr="002A5AEB" w:rsidRDefault="00431211" w:rsidP="00431211">
            <w:pPr>
              <w:spacing w:line="240" w:lineRule="auto"/>
              <w:jc w:val="center"/>
              <w:rPr>
                <w:rFonts w:eastAsia="Times New Roman" w:cs="Arial"/>
                <w:b/>
                <w:bCs/>
                <w:sz w:val="22"/>
                <w:lang w:eastAsia="pt-BR"/>
              </w:rPr>
            </w:pPr>
            <w:r w:rsidRPr="002A5AEB">
              <w:rPr>
                <w:rFonts w:eastAsia="Times New Roman" w:cs="Arial"/>
                <w:b/>
                <w:bCs/>
                <w:sz w:val="22"/>
                <w:lang w:eastAsia="pt-BR"/>
              </w:rPr>
              <w:t>Coordenadas UTM (m)</w:t>
            </w:r>
          </w:p>
        </w:tc>
      </w:tr>
      <w:tr w:rsidR="002D0AB2" w:rsidRPr="002A5AEB" w:rsidTr="00431211">
        <w:trPr>
          <w:trHeight w:val="300"/>
          <w:jc w:val="center"/>
        </w:trPr>
        <w:tc>
          <w:tcPr>
            <w:tcW w:w="960" w:type="dxa"/>
            <w:vMerge/>
            <w:tcBorders>
              <w:top w:val="single" w:sz="4" w:space="0" w:color="auto"/>
              <w:left w:val="nil"/>
              <w:bottom w:val="single" w:sz="4" w:space="0" w:color="000000"/>
              <w:right w:val="nil"/>
            </w:tcBorders>
            <w:vAlign w:val="center"/>
            <w:hideMark/>
          </w:tcPr>
          <w:p w:rsidR="00431211" w:rsidRPr="002A5AEB" w:rsidRDefault="00431211" w:rsidP="00431211">
            <w:pPr>
              <w:spacing w:line="240" w:lineRule="auto"/>
              <w:jc w:val="left"/>
              <w:rPr>
                <w:rFonts w:eastAsia="Times New Roman" w:cs="Arial"/>
                <w:b/>
                <w:bCs/>
                <w:sz w:val="22"/>
                <w:lang w:eastAsia="pt-BR"/>
              </w:rPr>
            </w:pPr>
          </w:p>
        </w:tc>
        <w:tc>
          <w:tcPr>
            <w:tcW w:w="1240" w:type="dxa"/>
            <w:vMerge/>
            <w:tcBorders>
              <w:top w:val="single" w:sz="4" w:space="0" w:color="auto"/>
              <w:left w:val="nil"/>
              <w:bottom w:val="single" w:sz="4" w:space="0" w:color="000000"/>
              <w:right w:val="nil"/>
            </w:tcBorders>
            <w:vAlign w:val="center"/>
            <w:hideMark/>
          </w:tcPr>
          <w:p w:rsidR="00431211" w:rsidRPr="002A5AEB" w:rsidRDefault="00431211" w:rsidP="00431211">
            <w:pPr>
              <w:spacing w:line="240" w:lineRule="auto"/>
              <w:jc w:val="left"/>
              <w:rPr>
                <w:rFonts w:eastAsia="Times New Roman" w:cs="Arial"/>
                <w:b/>
                <w:bCs/>
                <w:sz w:val="22"/>
                <w:lang w:eastAsia="pt-BR"/>
              </w:rPr>
            </w:pPr>
          </w:p>
        </w:tc>
        <w:tc>
          <w:tcPr>
            <w:tcW w:w="1221" w:type="dxa"/>
            <w:tcBorders>
              <w:top w:val="single" w:sz="4" w:space="0" w:color="auto"/>
              <w:left w:val="nil"/>
              <w:bottom w:val="single" w:sz="4" w:space="0" w:color="auto"/>
              <w:right w:val="nil"/>
            </w:tcBorders>
            <w:shd w:val="clear" w:color="auto" w:fill="auto"/>
            <w:noWrap/>
            <w:vAlign w:val="center"/>
            <w:hideMark/>
          </w:tcPr>
          <w:p w:rsidR="00431211" w:rsidRPr="002A5AEB" w:rsidRDefault="00431211" w:rsidP="00431211">
            <w:pPr>
              <w:spacing w:line="240" w:lineRule="auto"/>
              <w:jc w:val="center"/>
              <w:rPr>
                <w:rFonts w:eastAsia="Times New Roman" w:cs="Arial"/>
                <w:b/>
                <w:bCs/>
                <w:sz w:val="22"/>
                <w:lang w:eastAsia="pt-BR"/>
              </w:rPr>
            </w:pPr>
            <w:r w:rsidRPr="002A5AEB">
              <w:rPr>
                <w:rFonts w:eastAsia="Times New Roman" w:cs="Arial"/>
                <w:b/>
                <w:bCs/>
                <w:sz w:val="22"/>
                <w:lang w:eastAsia="pt-BR"/>
              </w:rPr>
              <w:t>N</w:t>
            </w:r>
          </w:p>
        </w:tc>
        <w:tc>
          <w:tcPr>
            <w:tcW w:w="999" w:type="dxa"/>
            <w:tcBorders>
              <w:top w:val="single" w:sz="4" w:space="0" w:color="auto"/>
              <w:left w:val="nil"/>
              <w:bottom w:val="single" w:sz="4" w:space="0" w:color="auto"/>
              <w:right w:val="nil"/>
            </w:tcBorders>
            <w:shd w:val="clear" w:color="auto" w:fill="auto"/>
            <w:noWrap/>
            <w:vAlign w:val="center"/>
            <w:hideMark/>
          </w:tcPr>
          <w:p w:rsidR="00431211" w:rsidRPr="002A5AEB" w:rsidRDefault="00431211" w:rsidP="00431211">
            <w:pPr>
              <w:spacing w:line="240" w:lineRule="auto"/>
              <w:jc w:val="center"/>
              <w:rPr>
                <w:rFonts w:eastAsia="Times New Roman" w:cs="Arial"/>
                <w:b/>
                <w:bCs/>
                <w:sz w:val="22"/>
                <w:lang w:eastAsia="pt-BR"/>
              </w:rPr>
            </w:pPr>
            <w:r w:rsidRPr="002A5AEB">
              <w:rPr>
                <w:rFonts w:eastAsia="Times New Roman" w:cs="Arial"/>
                <w:b/>
                <w:bCs/>
                <w:sz w:val="22"/>
                <w:lang w:eastAsia="pt-BR"/>
              </w:rPr>
              <w:t>E</w:t>
            </w:r>
          </w:p>
        </w:tc>
      </w:tr>
      <w:tr w:rsidR="002D0AB2" w:rsidRPr="002A5AEB" w:rsidTr="00431211">
        <w:trPr>
          <w:trHeight w:val="300"/>
          <w:jc w:val="center"/>
        </w:trPr>
        <w:tc>
          <w:tcPr>
            <w:tcW w:w="960" w:type="dxa"/>
            <w:tcBorders>
              <w:top w:val="nil"/>
              <w:left w:val="nil"/>
              <w:bottom w:val="nil"/>
              <w:right w:val="nil"/>
            </w:tcBorders>
            <w:shd w:val="clear" w:color="000000" w:fill="FFFFFF"/>
            <w:noWrap/>
            <w:vAlign w:val="center"/>
            <w:hideMark/>
          </w:tcPr>
          <w:p w:rsidR="00431211" w:rsidRPr="002A5AEB" w:rsidRDefault="00431211" w:rsidP="00431211">
            <w:pPr>
              <w:spacing w:line="240" w:lineRule="auto"/>
              <w:jc w:val="center"/>
              <w:rPr>
                <w:rFonts w:eastAsia="Times New Roman" w:cs="Arial"/>
                <w:sz w:val="22"/>
                <w:lang w:eastAsia="pt-BR"/>
              </w:rPr>
            </w:pPr>
            <w:r w:rsidRPr="002A5AEB">
              <w:rPr>
                <w:rFonts w:eastAsia="Times New Roman" w:cs="Arial"/>
                <w:sz w:val="22"/>
                <w:lang w:eastAsia="pt-BR"/>
              </w:rPr>
              <w:t>1</w:t>
            </w:r>
          </w:p>
        </w:tc>
        <w:tc>
          <w:tcPr>
            <w:tcW w:w="1240" w:type="dxa"/>
            <w:tcBorders>
              <w:top w:val="nil"/>
              <w:left w:val="nil"/>
              <w:bottom w:val="nil"/>
              <w:right w:val="nil"/>
            </w:tcBorders>
            <w:shd w:val="clear" w:color="000000" w:fill="FFFFFF"/>
            <w:noWrap/>
            <w:vAlign w:val="center"/>
            <w:hideMark/>
          </w:tcPr>
          <w:p w:rsidR="00431211" w:rsidRPr="002A5AEB" w:rsidRDefault="00431211" w:rsidP="00431211">
            <w:pPr>
              <w:spacing w:line="240" w:lineRule="auto"/>
              <w:jc w:val="center"/>
              <w:rPr>
                <w:rFonts w:eastAsia="Times New Roman" w:cs="Arial"/>
                <w:sz w:val="22"/>
                <w:lang w:eastAsia="pt-BR"/>
              </w:rPr>
            </w:pPr>
            <w:r w:rsidRPr="002A5AEB">
              <w:rPr>
                <w:rFonts w:eastAsia="Times New Roman" w:cs="Arial"/>
                <w:sz w:val="22"/>
                <w:lang w:eastAsia="pt-BR"/>
              </w:rPr>
              <w:t>10</w:t>
            </w:r>
          </w:p>
        </w:tc>
        <w:tc>
          <w:tcPr>
            <w:tcW w:w="1221" w:type="dxa"/>
            <w:tcBorders>
              <w:top w:val="nil"/>
              <w:left w:val="nil"/>
              <w:bottom w:val="nil"/>
              <w:right w:val="nil"/>
            </w:tcBorders>
            <w:shd w:val="clear" w:color="000000" w:fill="FFFFFF"/>
            <w:noWrap/>
            <w:vAlign w:val="center"/>
            <w:hideMark/>
          </w:tcPr>
          <w:p w:rsidR="00431211" w:rsidRPr="002A5AEB" w:rsidRDefault="00431211" w:rsidP="00431211">
            <w:pPr>
              <w:spacing w:line="240" w:lineRule="auto"/>
              <w:jc w:val="right"/>
              <w:rPr>
                <w:rFonts w:eastAsia="Times New Roman" w:cs="Arial"/>
                <w:sz w:val="22"/>
                <w:lang w:eastAsia="pt-BR"/>
              </w:rPr>
            </w:pPr>
            <w:r w:rsidRPr="002A5AEB">
              <w:rPr>
                <w:rFonts w:eastAsia="Times New Roman" w:cs="Arial"/>
                <w:sz w:val="22"/>
                <w:lang w:eastAsia="pt-BR"/>
              </w:rPr>
              <w:t>7.804.450</w:t>
            </w:r>
          </w:p>
        </w:tc>
        <w:tc>
          <w:tcPr>
            <w:tcW w:w="999" w:type="dxa"/>
            <w:tcBorders>
              <w:top w:val="nil"/>
              <w:left w:val="nil"/>
              <w:bottom w:val="nil"/>
              <w:right w:val="nil"/>
            </w:tcBorders>
            <w:shd w:val="clear" w:color="000000" w:fill="FFFFFF"/>
            <w:noWrap/>
            <w:vAlign w:val="center"/>
            <w:hideMark/>
          </w:tcPr>
          <w:p w:rsidR="00431211" w:rsidRPr="002A5AEB" w:rsidRDefault="00431211" w:rsidP="00431211">
            <w:pPr>
              <w:spacing w:line="240" w:lineRule="auto"/>
              <w:jc w:val="right"/>
              <w:rPr>
                <w:rFonts w:eastAsia="Times New Roman" w:cs="Arial"/>
                <w:sz w:val="22"/>
                <w:lang w:eastAsia="pt-BR"/>
              </w:rPr>
            </w:pPr>
            <w:r w:rsidRPr="002A5AEB">
              <w:rPr>
                <w:rFonts w:eastAsia="Times New Roman" w:cs="Arial"/>
                <w:sz w:val="22"/>
                <w:lang w:eastAsia="pt-BR"/>
              </w:rPr>
              <w:t>772.036</w:t>
            </w:r>
          </w:p>
        </w:tc>
      </w:tr>
      <w:tr w:rsidR="002D0AB2" w:rsidRPr="002A5AEB" w:rsidTr="00431211">
        <w:trPr>
          <w:trHeight w:val="300"/>
          <w:jc w:val="center"/>
        </w:trPr>
        <w:tc>
          <w:tcPr>
            <w:tcW w:w="960" w:type="dxa"/>
            <w:tcBorders>
              <w:top w:val="nil"/>
              <w:left w:val="nil"/>
              <w:bottom w:val="nil"/>
              <w:right w:val="nil"/>
            </w:tcBorders>
            <w:shd w:val="clear" w:color="000000" w:fill="FFFFFF"/>
            <w:noWrap/>
            <w:vAlign w:val="center"/>
            <w:hideMark/>
          </w:tcPr>
          <w:p w:rsidR="00431211" w:rsidRPr="002A5AEB" w:rsidRDefault="00431211" w:rsidP="00431211">
            <w:pPr>
              <w:spacing w:line="240" w:lineRule="auto"/>
              <w:jc w:val="center"/>
              <w:rPr>
                <w:rFonts w:eastAsia="Times New Roman" w:cs="Arial"/>
                <w:sz w:val="22"/>
                <w:lang w:eastAsia="pt-BR"/>
              </w:rPr>
            </w:pPr>
            <w:r w:rsidRPr="002A5AEB">
              <w:rPr>
                <w:rFonts w:eastAsia="Times New Roman" w:cs="Arial"/>
                <w:sz w:val="22"/>
                <w:lang w:eastAsia="pt-BR"/>
              </w:rPr>
              <w:t>3</w:t>
            </w:r>
          </w:p>
        </w:tc>
        <w:tc>
          <w:tcPr>
            <w:tcW w:w="1240" w:type="dxa"/>
            <w:tcBorders>
              <w:top w:val="nil"/>
              <w:left w:val="nil"/>
              <w:bottom w:val="nil"/>
              <w:right w:val="nil"/>
            </w:tcBorders>
            <w:shd w:val="clear" w:color="000000" w:fill="FFFFFF"/>
            <w:noWrap/>
            <w:vAlign w:val="center"/>
            <w:hideMark/>
          </w:tcPr>
          <w:p w:rsidR="00431211" w:rsidRPr="002A5AEB" w:rsidRDefault="00431211" w:rsidP="00431211">
            <w:pPr>
              <w:spacing w:line="240" w:lineRule="auto"/>
              <w:jc w:val="center"/>
              <w:rPr>
                <w:rFonts w:eastAsia="Times New Roman" w:cs="Arial"/>
                <w:sz w:val="22"/>
                <w:lang w:eastAsia="pt-BR"/>
              </w:rPr>
            </w:pPr>
            <w:r w:rsidRPr="002A5AEB">
              <w:rPr>
                <w:rFonts w:eastAsia="Times New Roman" w:cs="Arial"/>
                <w:sz w:val="22"/>
                <w:lang w:eastAsia="pt-BR"/>
              </w:rPr>
              <w:t>10</w:t>
            </w:r>
          </w:p>
        </w:tc>
        <w:tc>
          <w:tcPr>
            <w:tcW w:w="1221" w:type="dxa"/>
            <w:tcBorders>
              <w:top w:val="nil"/>
              <w:left w:val="nil"/>
              <w:bottom w:val="nil"/>
              <w:right w:val="nil"/>
            </w:tcBorders>
            <w:shd w:val="clear" w:color="000000" w:fill="FFFFFF"/>
            <w:noWrap/>
            <w:vAlign w:val="center"/>
            <w:hideMark/>
          </w:tcPr>
          <w:p w:rsidR="00431211" w:rsidRPr="002A5AEB" w:rsidRDefault="00431211" w:rsidP="00431211">
            <w:pPr>
              <w:spacing w:line="240" w:lineRule="auto"/>
              <w:jc w:val="right"/>
              <w:rPr>
                <w:rFonts w:eastAsia="Times New Roman" w:cs="Arial"/>
                <w:sz w:val="22"/>
                <w:lang w:eastAsia="pt-BR"/>
              </w:rPr>
            </w:pPr>
            <w:r w:rsidRPr="002A5AEB">
              <w:rPr>
                <w:rFonts w:eastAsia="Times New Roman" w:cs="Arial"/>
                <w:sz w:val="22"/>
                <w:lang w:eastAsia="pt-BR"/>
              </w:rPr>
              <w:t>7.805.263</w:t>
            </w:r>
          </w:p>
        </w:tc>
        <w:tc>
          <w:tcPr>
            <w:tcW w:w="999" w:type="dxa"/>
            <w:tcBorders>
              <w:top w:val="nil"/>
              <w:left w:val="nil"/>
              <w:bottom w:val="nil"/>
              <w:right w:val="nil"/>
            </w:tcBorders>
            <w:shd w:val="clear" w:color="000000" w:fill="FFFFFF"/>
            <w:noWrap/>
            <w:vAlign w:val="center"/>
            <w:hideMark/>
          </w:tcPr>
          <w:p w:rsidR="00431211" w:rsidRPr="002A5AEB" w:rsidRDefault="00431211" w:rsidP="00431211">
            <w:pPr>
              <w:spacing w:line="240" w:lineRule="auto"/>
              <w:jc w:val="right"/>
              <w:rPr>
                <w:rFonts w:eastAsia="Times New Roman" w:cs="Arial"/>
                <w:sz w:val="22"/>
                <w:lang w:eastAsia="pt-BR"/>
              </w:rPr>
            </w:pPr>
            <w:r w:rsidRPr="002A5AEB">
              <w:rPr>
                <w:rFonts w:eastAsia="Times New Roman" w:cs="Arial"/>
                <w:sz w:val="22"/>
                <w:lang w:eastAsia="pt-BR"/>
              </w:rPr>
              <w:t>771.721</w:t>
            </w:r>
          </w:p>
        </w:tc>
      </w:tr>
      <w:tr w:rsidR="002D0AB2" w:rsidRPr="002A5AEB" w:rsidTr="00431211">
        <w:trPr>
          <w:trHeight w:val="300"/>
          <w:jc w:val="center"/>
        </w:trPr>
        <w:tc>
          <w:tcPr>
            <w:tcW w:w="960" w:type="dxa"/>
            <w:tcBorders>
              <w:top w:val="nil"/>
              <w:left w:val="nil"/>
              <w:bottom w:val="nil"/>
              <w:right w:val="nil"/>
            </w:tcBorders>
            <w:shd w:val="clear" w:color="000000" w:fill="FFFFFF"/>
            <w:noWrap/>
            <w:vAlign w:val="center"/>
            <w:hideMark/>
          </w:tcPr>
          <w:p w:rsidR="00431211" w:rsidRPr="002A5AEB" w:rsidRDefault="00431211" w:rsidP="00431211">
            <w:pPr>
              <w:spacing w:line="240" w:lineRule="auto"/>
              <w:jc w:val="center"/>
              <w:rPr>
                <w:rFonts w:eastAsia="Times New Roman" w:cs="Arial"/>
                <w:sz w:val="22"/>
                <w:lang w:eastAsia="pt-BR"/>
              </w:rPr>
            </w:pPr>
            <w:r w:rsidRPr="002A5AEB">
              <w:rPr>
                <w:rFonts w:eastAsia="Times New Roman" w:cs="Arial"/>
                <w:sz w:val="22"/>
                <w:lang w:eastAsia="pt-BR"/>
              </w:rPr>
              <w:t>6</w:t>
            </w:r>
          </w:p>
        </w:tc>
        <w:tc>
          <w:tcPr>
            <w:tcW w:w="1240" w:type="dxa"/>
            <w:tcBorders>
              <w:top w:val="nil"/>
              <w:left w:val="nil"/>
              <w:bottom w:val="nil"/>
              <w:right w:val="nil"/>
            </w:tcBorders>
            <w:shd w:val="clear" w:color="000000" w:fill="FFFFFF"/>
            <w:noWrap/>
            <w:vAlign w:val="center"/>
            <w:hideMark/>
          </w:tcPr>
          <w:p w:rsidR="00431211" w:rsidRPr="002A5AEB" w:rsidRDefault="00431211" w:rsidP="00431211">
            <w:pPr>
              <w:spacing w:line="240" w:lineRule="auto"/>
              <w:jc w:val="center"/>
              <w:rPr>
                <w:rFonts w:eastAsia="Times New Roman" w:cs="Arial"/>
                <w:sz w:val="22"/>
                <w:lang w:eastAsia="pt-BR"/>
              </w:rPr>
            </w:pPr>
            <w:r w:rsidRPr="002A5AEB">
              <w:rPr>
                <w:rFonts w:eastAsia="Times New Roman" w:cs="Arial"/>
                <w:sz w:val="22"/>
                <w:lang w:eastAsia="pt-BR"/>
              </w:rPr>
              <w:t>10</w:t>
            </w:r>
          </w:p>
        </w:tc>
        <w:tc>
          <w:tcPr>
            <w:tcW w:w="1221" w:type="dxa"/>
            <w:tcBorders>
              <w:top w:val="nil"/>
              <w:left w:val="nil"/>
              <w:bottom w:val="nil"/>
              <w:right w:val="nil"/>
            </w:tcBorders>
            <w:shd w:val="clear" w:color="000000" w:fill="FFFFFF"/>
            <w:noWrap/>
            <w:vAlign w:val="center"/>
            <w:hideMark/>
          </w:tcPr>
          <w:p w:rsidR="00431211" w:rsidRPr="002A5AEB" w:rsidRDefault="00431211" w:rsidP="00431211">
            <w:pPr>
              <w:spacing w:line="240" w:lineRule="auto"/>
              <w:jc w:val="right"/>
              <w:rPr>
                <w:rFonts w:eastAsia="Times New Roman" w:cs="Arial"/>
                <w:sz w:val="22"/>
                <w:lang w:eastAsia="pt-BR"/>
              </w:rPr>
            </w:pPr>
            <w:r w:rsidRPr="002A5AEB">
              <w:rPr>
                <w:rFonts w:eastAsia="Times New Roman" w:cs="Arial"/>
                <w:sz w:val="22"/>
                <w:lang w:eastAsia="pt-BR"/>
              </w:rPr>
              <w:t>7.804.754</w:t>
            </w:r>
          </w:p>
        </w:tc>
        <w:tc>
          <w:tcPr>
            <w:tcW w:w="999" w:type="dxa"/>
            <w:tcBorders>
              <w:top w:val="nil"/>
              <w:left w:val="nil"/>
              <w:bottom w:val="nil"/>
              <w:right w:val="nil"/>
            </w:tcBorders>
            <w:shd w:val="clear" w:color="000000" w:fill="FFFFFF"/>
            <w:noWrap/>
            <w:vAlign w:val="center"/>
            <w:hideMark/>
          </w:tcPr>
          <w:p w:rsidR="00431211" w:rsidRPr="002A5AEB" w:rsidRDefault="00431211" w:rsidP="00431211">
            <w:pPr>
              <w:spacing w:line="240" w:lineRule="auto"/>
              <w:jc w:val="right"/>
              <w:rPr>
                <w:rFonts w:eastAsia="Times New Roman" w:cs="Arial"/>
                <w:sz w:val="22"/>
                <w:lang w:eastAsia="pt-BR"/>
              </w:rPr>
            </w:pPr>
            <w:r w:rsidRPr="002A5AEB">
              <w:rPr>
                <w:rFonts w:eastAsia="Times New Roman" w:cs="Arial"/>
                <w:sz w:val="22"/>
                <w:lang w:eastAsia="pt-BR"/>
              </w:rPr>
              <w:t>772.627</w:t>
            </w:r>
          </w:p>
        </w:tc>
      </w:tr>
      <w:tr w:rsidR="002D0AB2" w:rsidRPr="002A5AEB" w:rsidTr="00431211">
        <w:trPr>
          <w:trHeight w:val="300"/>
          <w:jc w:val="center"/>
        </w:trPr>
        <w:tc>
          <w:tcPr>
            <w:tcW w:w="960" w:type="dxa"/>
            <w:tcBorders>
              <w:top w:val="nil"/>
              <w:left w:val="nil"/>
              <w:bottom w:val="single" w:sz="4" w:space="0" w:color="auto"/>
              <w:right w:val="nil"/>
            </w:tcBorders>
            <w:shd w:val="clear" w:color="000000" w:fill="FFFFFF"/>
            <w:noWrap/>
            <w:vAlign w:val="center"/>
            <w:hideMark/>
          </w:tcPr>
          <w:p w:rsidR="00431211" w:rsidRPr="002A5AEB" w:rsidRDefault="00431211" w:rsidP="00431211">
            <w:pPr>
              <w:spacing w:line="240" w:lineRule="auto"/>
              <w:jc w:val="center"/>
              <w:rPr>
                <w:rFonts w:eastAsia="Times New Roman" w:cs="Arial"/>
                <w:sz w:val="22"/>
                <w:lang w:eastAsia="pt-BR"/>
              </w:rPr>
            </w:pPr>
            <w:r w:rsidRPr="002A5AEB">
              <w:rPr>
                <w:rFonts w:eastAsia="Times New Roman" w:cs="Arial"/>
                <w:sz w:val="22"/>
                <w:lang w:eastAsia="pt-BR"/>
              </w:rPr>
              <w:t>8</w:t>
            </w:r>
          </w:p>
        </w:tc>
        <w:tc>
          <w:tcPr>
            <w:tcW w:w="1240" w:type="dxa"/>
            <w:tcBorders>
              <w:top w:val="nil"/>
              <w:left w:val="nil"/>
              <w:bottom w:val="single" w:sz="4" w:space="0" w:color="auto"/>
              <w:right w:val="nil"/>
            </w:tcBorders>
            <w:shd w:val="clear" w:color="000000" w:fill="FFFFFF"/>
            <w:noWrap/>
            <w:vAlign w:val="center"/>
            <w:hideMark/>
          </w:tcPr>
          <w:p w:rsidR="00431211" w:rsidRPr="002A5AEB" w:rsidRDefault="00431211" w:rsidP="00431211">
            <w:pPr>
              <w:spacing w:line="240" w:lineRule="auto"/>
              <w:jc w:val="center"/>
              <w:rPr>
                <w:rFonts w:eastAsia="Times New Roman" w:cs="Arial"/>
                <w:sz w:val="22"/>
                <w:lang w:eastAsia="pt-BR"/>
              </w:rPr>
            </w:pPr>
            <w:r w:rsidRPr="002A5AEB">
              <w:rPr>
                <w:rFonts w:eastAsia="Times New Roman" w:cs="Arial"/>
                <w:sz w:val="22"/>
                <w:lang w:eastAsia="pt-BR"/>
              </w:rPr>
              <w:t>10</w:t>
            </w:r>
          </w:p>
        </w:tc>
        <w:tc>
          <w:tcPr>
            <w:tcW w:w="1221" w:type="dxa"/>
            <w:tcBorders>
              <w:top w:val="nil"/>
              <w:left w:val="nil"/>
              <w:bottom w:val="single" w:sz="4" w:space="0" w:color="auto"/>
              <w:right w:val="nil"/>
            </w:tcBorders>
            <w:shd w:val="clear" w:color="000000" w:fill="FFFFFF"/>
            <w:noWrap/>
            <w:vAlign w:val="center"/>
            <w:hideMark/>
          </w:tcPr>
          <w:p w:rsidR="00431211" w:rsidRPr="002A5AEB" w:rsidRDefault="00431211" w:rsidP="00431211">
            <w:pPr>
              <w:spacing w:line="240" w:lineRule="auto"/>
              <w:jc w:val="right"/>
              <w:rPr>
                <w:rFonts w:eastAsia="Times New Roman" w:cs="Arial"/>
                <w:sz w:val="22"/>
                <w:lang w:eastAsia="pt-BR"/>
              </w:rPr>
            </w:pPr>
            <w:r w:rsidRPr="002A5AEB">
              <w:rPr>
                <w:rFonts w:eastAsia="Times New Roman" w:cs="Arial"/>
                <w:sz w:val="22"/>
                <w:lang w:eastAsia="pt-BR"/>
              </w:rPr>
              <w:t>7.804.921</w:t>
            </w:r>
          </w:p>
        </w:tc>
        <w:tc>
          <w:tcPr>
            <w:tcW w:w="999" w:type="dxa"/>
            <w:tcBorders>
              <w:top w:val="nil"/>
              <w:left w:val="nil"/>
              <w:bottom w:val="single" w:sz="4" w:space="0" w:color="auto"/>
              <w:right w:val="nil"/>
            </w:tcBorders>
            <w:shd w:val="clear" w:color="000000" w:fill="FFFFFF"/>
            <w:noWrap/>
            <w:vAlign w:val="center"/>
            <w:hideMark/>
          </w:tcPr>
          <w:p w:rsidR="00431211" w:rsidRPr="002A5AEB" w:rsidRDefault="00431211" w:rsidP="00431211">
            <w:pPr>
              <w:spacing w:line="240" w:lineRule="auto"/>
              <w:jc w:val="right"/>
              <w:rPr>
                <w:rFonts w:eastAsia="Times New Roman" w:cs="Arial"/>
                <w:sz w:val="22"/>
                <w:lang w:eastAsia="pt-BR"/>
              </w:rPr>
            </w:pPr>
            <w:r w:rsidRPr="002A5AEB">
              <w:rPr>
                <w:rFonts w:eastAsia="Times New Roman" w:cs="Arial"/>
                <w:sz w:val="22"/>
                <w:lang w:eastAsia="pt-BR"/>
              </w:rPr>
              <w:t>772.625</w:t>
            </w:r>
          </w:p>
        </w:tc>
      </w:tr>
    </w:tbl>
    <w:p w:rsidR="00431211" w:rsidRPr="002A5AEB" w:rsidRDefault="00431211" w:rsidP="00431211">
      <w:pPr>
        <w:pStyle w:val="Fonte"/>
      </w:pPr>
      <w:r w:rsidRPr="002A5AEB">
        <w:t>Fonte: SHS, 2017.</w:t>
      </w:r>
    </w:p>
    <w:p w:rsidR="001864D3" w:rsidRDefault="001864D3" w:rsidP="001864D3">
      <w:pPr>
        <w:ind w:firstLine="708"/>
        <w:rPr>
          <w:color w:val="000000"/>
        </w:rPr>
      </w:pPr>
      <w:r>
        <w:rPr>
          <w:color w:val="000000"/>
        </w:rPr>
        <w:lastRenderedPageBreak/>
        <w:t>Outro fator a ser considerado nos cenários futuros são as ações do PMSB (Produto 5), que preveem esforços conjuntos na recuperação e conservação de APPs, áreas críticas e cursos hídricos, que possivelmente trarão influências positivas na reservação e infiltração, impactando diretamente os picos e frequências de vazões máximas.</w:t>
      </w:r>
    </w:p>
    <w:p w:rsidR="001864D3" w:rsidRDefault="001864D3" w:rsidP="001864D3">
      <w:pPr>
        <w:ind w:firstLine="708"/>
        <w:rPr>
          <w:color w:val="000000"/>
        </w:rPr>
      </w:pPr>
      <w:r>
        <w:rPr>
          <w:color w:val="000000"/>
        </w:rPr>
        <w:t xml:space="preserve">Segundo a Constituição Federal, art. 30, compete aos municípios: </w:t>
      </w:r>
      <w:r>
        <w:rPr>
          <w:color w:val="000000"/>
          <w:shd w:val="clear" w:color="auto" w:fill="FFFFFF"/>
        </w:rPr>
        <w:t>“</w:t>
      </w:r>
      <w:r>
        <w:rPr>
          <w:i/>
          <w:iCs/>
          <w:color w:val="000000"/>
          <w:shd w:val="clear" w:color="auto" w:fill="FFFFFF"/>
        </w:rPr>
        <w:t>promover, no que couber, adequado ordenamento territorial, mediante planejamento e controle do uso, do parcelamento e da ocupação do solo urbano</w:t>
      </w:r>
      <w:r>
        <w:rPr>
          <w:color w:val="000000"/>
          <w:shd w:val="clear" w:color="auto" w:fill="FFFFFF"/>
        </w:rPr>
        <w:t>”.</w:t>
      </w:r>
    </w:p>
    <w:p w:rsidR="001864D3" w:rsidRPr="00014D00" w:rsidRDefault="001864D3" w:rsidP="001864D3">
      <w:pPr>
        <w:ind w:firstLine="708"/>
      </w:pPr>
      <w:r>
        <w:rPr>
          <w:color w:val="000000"/>
        </w:rPr>
        <w:t>O m</w:t>
      </w:r>
      <w:r w:rsidRPr="00014D00">
        <w:t>unicípio, então, precisa lançar mão de alguns recursos, visando atender ao que lhe compete. Entre esses recursos estão:</w:t>
      </w:r>
    </w:p>
    <w:p w:rsidR="00014D00" w:rsidRPr="00014D00" w:rsidRDefault="00014D00" w:rsidP="00A87269">
      <w:pPr>
        <w:pStyle w:val="PargrafodaLista"/>
        <w:numPr>
          <w:ilvl w:val="0"/>
          <w:numId w:val="51"/>
        </w:numPr>
        <w:spacing w:before="120" w:after="120"/>
        <w:ind w:left="1423" w:hanging="357"/>
      </w:pPr>
      <w:r w:rsidRPr="00014D00">
        <w:t>Plano Diretor de Desenvolvimento Urbano.</w:t>
      </w:r>
    </w:p>
    <w:p w:rsidR="00014D00" w:rsidRPr="00014D00" w:rsidRDefault="00014D00" w:rsidP="00A87269">
      <w:pPr>
        <w:pStyle w:val="PargrafodaLista"/>
        <w:numPr>
          <w:ilvl w:val="0"/>
          <w:numId w:val="51"/>
        </w:numPr>
        <w:spacing w:before="120" w:after="120"/>
        <w:ind w:left="1423" w:hanging="357"/>
      </w:pPr>
      <w:r w:rsidRPr="00014D00">
        <w:t>Lei de Uso e Ocupação do Solo.</w:t>
      </w:r>
    </w:p>
    <w:p w:rsidR="00014D00" w:rsidRPr="00014D00" w:rsidRDefault="00014D00" w:rsidP="00A87269">
      <w:pPr>
        <w:pStyle w:val="PargrafodaLista"/>
        <w:numPr>
          <w:ilvl w:val="0"/>
          <w:numId w:val="51"/>
        </w:numPr>
        <w:spacing w:before="120" w:after="120"/>
        <w:ind w:left="1423" w:hanging="357"/>
      </w:pPr>
      <w:r w:rsidRPr="00014D00">
        <w:t>Lei do Parcelamento do Solo.</w:t>
      </w:r>
    </w:p>
    <w:p w:rsidR="00014D00" w:rsidRPr="00014D00" w:rsidRDefault="00014D00" w:rsidP="00A87269">
      <w:pPr>
        <w:pStyle w:val="PargrafodaLista"/>
        <w:numPr>
          <w:ilvl w:val="0"/>
          <w:numId w:val="51"/>
        </w:numPr>
        <w:spacing w:before="120" w:after="120"/>
        <w:ind w:left="1423" w:hanging="357"/>
      </w:pPr>
      <w:r w:rsidRPr="00014D00">
        <w:t>Lei Orgânica.</w:t>
      </w:r>
    </w:p>
    <w:p w:rsidR="00014D00" w:rsidRPr="00014D00" w:rsidRDefault="00014D00" w:rsidP="00A87269">
      <w:pPr>
        <w:pStyle w:val="PargrafodaLista"/>
        <w:numPr>
          <w:ilvl w:val="0"/>
          <w:numId w:val="51"/>
        </w:numPr>
        <w:spacing w:before="120" w:after="120"/>
        <w:ind w:left="1423" w:hanging="357"/>
      </w:pPr>
      <w:r w:rsidRPr="00014D00">
        <w:t>Plano de Proteção Ambiental.</w:t>
      </w:r>
    </w:p>
    <w:p w:rsidR="00014D00" w:rsidRPr="00014D00" w:rsidRDefault="00014D00" w:rsidP="00A87269">
      <w:pPr>
        <w:pStyle w:val="PargrafodaLista"/>
        <w:numPr>
          <w:ilvl w:val="0"/>
          <w:numId w:val="51"/>
        </w:numPr>
        <w:spacing w:before="120" w:after="120"/>
        <w:ind w:left="1423" w:hanging="357"/>
      </w:pPr>
      <w:r w:rsidRPr="00014D00">
        <w:t>Plano de Gestão de Bacias Hidrográficas.</w:t>
      </w:r>
    </w:p>
    <w:p w:rsidR="00014D00" w:rsidRPr="00014D00" w:rsidRDefault="00014D00" w:rsidP="00A87269">
      <w:pPr>
        <w:pStyle w:val="PargrafodaLista"/>
        <w:numPr>
          <w:ilvl w:val="0"/>
          <w:numId w:val="51"/>
        </w:numPr>
        <w:spacing w:before="120" w:after="120"/>
        <w:ind w:left="1423" w:hanging="357"/>
      </w:pPr>
      <w:r w:rsidRPr="00014D00">
        <w:t>Código de Obras.</w:t>
      </w:r>
    </w:p>
    <w:p w:rsidR="00014D00" w:rsidRPr="00014D00" w:rsidRDefault="00014D00" w:rsidP="00A87269">
      <w:pPr>
        <w:pStyle w:val="PargrafodaLista"/>
        <w:numPr>
          <w:ilvl w:val="0"/>
          <w:numId w:val="51"/>
        </w:numPr>
        <w:spacing w:before="120" w:after="120"/>
        <w:ind w:left="1423" w:hanging="357"/>
      </w:pPr>
      <w:r w:rsidRPr="00014D00">
        <w:t>Código de Postura.</w:t>
      </w:r>
    </w:p>
    <w:p w:rsidR="00014D00" w:rsidRPr="00014D00" w:rsidRDefault="00014D00" w:rsidP="00A87269">
      <w:pPr>
        <w:pStyle w:val="PargrafodaLista"/>
        <w:numPr>
          <w:ilvl w:val="0"/>
          <w:numId w:val="51"/>
        </w:numPr>
        <w:spacing w:before="120" w:after="120"/>
        <w:ind w:left="1423" w:hanging="357"/>
      </w:pPr>
      <w:r w:rsidRPr="00014D00">
        <w:t>Lei do Sistema Viário;</w:t>
      </w:r>
    </w:p>
    <w:p w:rsidR="00014D00" w:rsidRPr="00014D00" w:rsidRDefault="00014D00" w:rsidP="00A87269">
      <w:pPr>
        <w:pStyle w:val="PargrafodaLista"/>
        <w:numPr>
          <w:ilvl w:val="0"/>
          <w:numId w:val="51"/>
        </w:numPr>
        <w:spacing w:before="120" w:after="120"/>
        <w:ind w:left="1423" w:hanging="357"/>
      </w:pPr>
      <w:r w:rsidRPr="00014D00">
        <w:t>Lei do ICMS ecológico.</w:t>
      </w:r>
    </w:p>
    <w:p w:rsidR="00014D00" w:rsidRPr="00014D00" w:rsidRDefault="00014D00" w:rsidP="00A87269">
      <w:pPr>
        <w:pStyle w:val="PargrafodaLista"/>
        <w:numPr>
          <w:ilvl w:val="0"/>
          <w:numId w:val="51"/>
        </w:numPr>
        <w:spacing w:before="120" w:after="120"/>
        <w:ind w:left="1423" w:hanging="357"/>
      </w:pPr>
      <w:r w:rsidRPr="00014D00">
        <w:t>Plano Diretor de Drenagem.</w:t>
      </w:r>
    </w:p>
    <w:p w:rsidR="001864D3" w:rsidRDefault="001864D3" w:rsidP="001864D3">
      <w:pPr>
        <w:ind w:firstLine="708"/>
        <w:rPr>
          <w:color w:val="000000"/>
        </w:rPr>
      </w:pPr>
      <w:r>
        <w:rPr>
          <w:color w:val="000000"/>
        </w:rPr>
        <w:t>Na prática, os recursos citados acima, trarão impactos positivos nas projeções de crescimento urbano no que se refere à gestão das águas pluviais, em especial o Plano Diretor de Drenagem, que aprofunda as questões e impactos relacionados à drenagem urbana.</w:t>
      </w:r>
    </w:p>
    <w:p w:rsidR="001864D3" w:rsidRDefault="001864D3" w:rsidP="002828C8">
      <w:pPr>
        <w:pStyle w:val="Ttulo3"/>
      </w:pPr>
      <w:bookmarkStart w:id="191" w:name="_Toc483818680"/>
      <w:bookmarkStart w:id="192" w:name="_Toc497469005"/>
      <w:r>
        <w:t>Medidas de controle de erosão e assoreamento</w:t>
      </w:r>
      <w:bookmarkEnd w:id="191"/>
      <w:bookmarkEnd w:id="192"/>
    </w:p>
    <w:p w:rsidR="001864D3" w:rsidRDefault="001864D3" w:rsidP="001864D3">
      <w:pPr>
        <w:ind w:firstLine="708"/>
        <w:rPr>
          <w:rFonts w:cs="Arial"/>
        </w:rPr>
      </w:pPr>
      <w:r>
        <w:rPr>
          <w:rFonts w:cs="Arial"/>
          <w:lang w:eastAsia="pt-BR"/>
        </w:rPr>
        <w:t xml:space="preserve">São comuns processos erosivos superficiais, por vezes intensos e localizados, devido principalmente às deficiências de microdrenagem, e por vezes não tão intensos e localizados, ou seja, difusos, que resultam em grandes montantes de aporte sólido aos corpos d’água receptores, decorrentes da presença de grandes áreas de </w:t>
      </w:r>
      <w:r>
        <w:rPr>
          <w:rFonts w:cs="Arial"/>
          <w:lang w:eastAsia="pt-BR"/>
        </w:rPr>
        <w:lastRenderedPageBreak/>
        <w:t xml:space="preserve">exposição direta aos agentes de erosão. Isso acarreta aumento da frequência de enchentes e entupimentos de condutos e canais por sedimentos, assim como a degradação da qualidade da água. </w:t>
      </w:r>
      <w:r>
        <w:rPr>
          <w:rFonts w:cs="Arial"/>
        </w:rPr>
        <w:t>Dentro desse contexto, o controle da erosão urbana é fundamental tanto na manutenção da capacidade de escoamento do sistema de drenagem como na qualidade ambiental.</w:t>
      </w:r>
    </w:p>
    <w:p w:rsidR="001864D3" w:rsidRPr="00E358D9" w:rsidRDefault="001864D3" w:rsidP="001864D3">
      <w:pPr>
        <w:ind w:firstLine="708"/>
        <w:rPr>
          <w:rFonts w:cs="Arial"/>
        </w:rPr>
      </w:pPr>
      <w:r>
        <w:rPr>
          <w:rFonts w:cs="Arial"/>
        </w:rPr>
        <w:t xml:space="preserve">O controle da erosão urbana pode ser efetuado através de medidas não estruturais, como o planejamento adequado do uso e ocupação do solo no município, como </w:t>
      </w:r>
      <w:r w:rsidRPr="00E358D9">
        <w:rPr>
          <w:rFonts w:cs="Arial"/>
        </w:rPr>
        <w:t>também através de técnicas estruturais de controle. O planejamento para prevenção da erosão urbana consiste basicamente de um plano de ordenamento do assentamento urbano, que estabelece as normas básicas para evitar problemas futuros, e planejar situações que favorecem o desencadeamento do processo erosivo e, no caso de espaços já ocupados, reduzir ou eliminar os possíveis efeitos negativos dessa ocupação.</w:t>
      </w:r>
    </w:p>
    <w:p w:rsidR="001864D3" w:rsidRPr="00E358D9" w:rsidRDefault="001864D3" w:rsidP="001864D3">
      <w:pPr>
        <w:ind w:firstLine="708"/>
        <w:rPr>
          <w:rFonts w:cs="Arial"/>
        </w:rPr>
      </w:pPr>
      <w:r w:rsidRPr="00E358D9">
        <w:rPr>
          <w:rFonts w:cs="Arial"/>
        </w:rPr>
        <w:t xml:space="preserve">No diagnóstico do sistema de drenagem urbana de Córrego Novo, foi constatado que, devido ao relevo local e ao uso e ocupação do solo, processos erosivos são comuns na zona urbana. A consequência disso é um grande aporte de sedimentos para a rede de drenagem, podendo causar ou agravar episódios de inundações. Esse processo pode se </w:t>
      </w:r>
      <w:r w:rsidR="00E358D9" w:rsidRPr="00E358D9">
        <w:rPr>
          <w:rFonts w:cs="Arial"/>
        </w:rPr>
        <w:t>intensificar</w:t>
      </w:r>
      <w:r w:rsidRPr="00E358D9">
        <w:rPr>
          <w:rFonts w:cs="Arial"/>
        </w:rPr>
        <w:t xml:space="preserve"> com </w:t>
      </w:r>
      <w:r w:rsidR="00E358D9" w:rsidRPr="00E358D9">
        <w:rPr>
          <w:rFonts w:cs="Arial"/>
        </w:rPr>
        <w:t xml:space="preserve">o lançamento inadequado </w:t>
      </w:r>
      <w:r w:rsidRPr="00E358D9">
        <w:rPr>
          <w:rFonts w:cs="Arial"/>
        </w:rPr>
        <w:t>de resíduos sólidos urbanos nos cursos hídricos. Além disso, há histórico de escorregamentos na sede, o que coloca em risco a segurança da população e torna ainda mais imperativa a adoção de medidas de controle de erosão.</w:t>
      </w:r>
    </w:p>
    <w:p w:rsidR="001864D3" w:rsidRDefault="001864D3" w:rsidP="001864D3">
      <w:pPr>
        <w:ind w:firstLine="708"/>
        <w:rPr>
          <w:rFonts w:cs="Arial"/>
        </w:rPr>
      </w:pPr>
      <w:r>
        <w:rPr>
          <w:rFonts w:cs="Arial"/>
        </w:rPr>
        <w:t>Neste contexto, é importante a recuperação das áreas degradadas por erosão e/ou escorregamento através de medidas mecânicas, como o retaludamento; estruturais, como o aterramento com obras hidráulicas; ecológicas, como a revegetação; ou ainda de bioengenharia.</w:t>
      </w:r>
    </w:p>
    <w:p w:rsidR="001864D3" w:rsidRDefault="001864D3" w:rsidP="001864D3">
      <w:pPr>
        <w:ind w:firstLine="708"/>
        <w:rPr>
          <w:rFonts w:cs="Arial"/>
        </w:rPr>
      </w:pPr>
      <w:r>
        <w:rPr>
          <w:rFonts w:cs="Arial"/>
        </w:rPr>
        <w:t>Da mesma maneira, é fundamental a adoção de medidas visando à prevenção da ocorrência de erosão e escorregamentos. Neste sentido, recomenda-se a revegetação de áreas desmatadas, especialmente de APPs (Áreas de Preservação Permanente); a instalação de dissipadores de energia, principalmente nos pontos de lançamento de drenagem; entre outras medidas que visem diminuir a força erosiva das águas pluviais ou ainda reduzir o escoamento superficial, aumentando a infiltração no solo.</w:t>
      </w:r>
    </w:p>
    <w:p w:rsidR="001864D3" w:rsidRDefault="001864D3" w:rsidP="001864D3">
      <w:pPr>
        <w:ind w:firstLine="708"/>
        <w:rPr>
          <w:rFonts w:cs="Arial"/>
        </w:rPr>
      </w:pPr>
      <w:r>
        <w:rPr>
          <w:rFonts w:cs="Arial"/>
        </w:rPr>
        <w:lastRenderedPageBreak/>
        <w:t>Ainda com relação aos escorregamentos, propõe-se a remoção dos moradores das áreas de risco, a criação de políticas que inibam a ocupação dessas regiões, a implementação de programas de conscientização ambiental em relação ao risco de escorregamentos e, por fim, a instalação de pluviômetros com a função de monitoramento e alerta em pontos estratégicos do município.</w:t>
      </w:r>
    </w:p>
    <w:p w:rsidR="001864D3" w:rsidRDefault="001864D3" w:rsidP="001864D3">
      <w:pPr>
        <w:ind w:firstLine="708"/>
        <w:rPr>
          <w:rFonts w:cs="Arial"/>
        </w:rPr>
      </w:pPr>
      <w:r>
        <w:rPr>
          <w:rFonts w:cs="Arial"/>
        </w:rPr>
        <w:t>É importante que todas as medidas citadas sejam tomadas juntamente ao planejamento do uso e da ocupação do solo do município, que será discutido mais detalhadamente adiante.</w:t>
      </w:r>
    </w:p>
    <w:p w:rsidR="004D1D76" w:rsidRPr="00BB1A28" w:rsidRDefault="001864D3" w:rsidP="005441E6">
      <w:pPr>
        <w:ind w:firstLine="708"/>
        <w:rPr>
          <w:rFonts w:cs="Arial"/>
        </w:rPr>
      </w:pPr>
      <w:r>
        <w:rPr>
          <w:rFonts w:cs="Arial"/>
        </w:rPr>
        <w:t xml:space="preserve">Existem diversas técnicas para controle de erosão, tanto urbana quanto rural. Segundo Rotta (2012), essas podem ser utilizadas para diferentes objetivos, tanto para prevenção como para controle, mitigação e/ou recuperação de áreas afetadas pela erosão acelerada. O </w:t>
      </w:r>
      <w:r>
        <w:rPr>
          <w:rFonts w:cs="Arial"/>
        </w:rPr>
        <w:fldChar w:fldCharType="begin"/>
      </w:r>
      <w:r>
        <w:rPr>
          <w:rFonts w:cs="Arial"/>
        </w:rPr>
        <w:instrText xml:space="preserve"> REF _Ref433811269 \h  \* MERGEFORMAT </w:instrText>
      </w:r>
      <w:r>
        <w:rPr>
          <w:rFonts w:cs="Arial"/>
        </w:rPr>
      </w:r>
      <w:r>
        <w:rPr>
          <w:rFonts w:cs="Arial"/>
        </w:rPr>
        <w:fldChar w:fldCharType="separate"/>
      </w:r>
      <w:r w:rsidR="004D1D76" w:rsidRPr="00BB1A28">
        <w:rPr>
          <w:rFonts w:cs="Arial"/>
        </w:rPr>
        <w:t xml:space="preserve">Segundo </w:t>
      </w:r>
      <w:r w:rsidR="004D1D76" w:rsidRPr="00BB1A28">
        <w:rPr>
          <w:rFonts w:cs="Arial"/>
          <w:noProof/>
        </w:rPr>
        <w:t>Batista</w:t>
      </w:r>
      <w:r w:rsidR="004D1D76" w:rsidRPr="00BB1A28">
        <w:rPr>
          <w:rFonts w:cs="Arial"/>
        </w:rPr>
        <w:t>, Nascimento e Barraud (2005), o controle de assoreamento também pode ser feito em bacias de detenções, dotando-as de estruturas de pré-tratamento (caixas de areia e decantadores), aplicando-as na conservação dos cursos hídricos.</w:t>
      </w:r>
    </w:p>
    <w:p w:rsidR="001864D3" w:rsidRDefault="004D1D76" w:rsidP="001864D3">
      <w:pPr>
        <w:ind w:firstLine="708"/>
        <w:rPr>
          <w:rFonts w:cs="Arial"/>
        </w:rPr>
      </w:pPr>
      <w:r>
        <w:t xml:space="preserve">Quadro </w:t>
      </w:r>
      <w:r>
        <w:rPr>
          <w:noProof/>
        </w:rPr>
        <w:t>21</w:t>
      </w:r>
      <w:r w:rsidR="001864D3">
        <w:rPr>
          <w:rFonts w:cs="Arial"/>
        </w:rPr>
        <w:fldChar w:fldCharType="end"/>
      </w:r>
      <w:r w:rsidR="001864D3">
        <w:rPr>
          <w:rFonts w:cs="Arial"/>
        </w:rPr>
        <w:t xml:space="preserve"> agrupa as técnicas mais utilizadas em revisão da literatura especializada feita por Rotta (2012).</w:t>
      </w:r>
    </w:p>
    <w:p w:rsidR="005441E6" w:rsidRPr="00BB1A28" w:rsidRDefault="005441E6" w:rsidP="005441E6">
      <w:pPr>
        <w:ind w:firstLine="708"/>
        <w:rPr>
          <w:rFonts w:cs="Arial"/>
        </w:rPr>
      </w:pPr>
      <w:bookmarkStart w:id="193" w:name="_Ref433811269"/>
      <w:bookmarkStart w:id="194" w:name="_Toc447028997"/>
      <w:r w:rsidRPr="00BB1A28">
        <w:rPr>
          <w:rFonts w:cs="Arial"/>
        </w:rPr>
        <w:t>Segundo Batista, Nascimento e Barraud (2005), o controle de assoreamento também pode ser feito em bacias de detenções, dotando-as de estruturas de pré-tratamento (caixas de areia e decantadores), aplicando-as na conservação dos cursos hídricos.</w:t>
      </w:r>
    </w:p>
    <w:p w:rsidR="001864D3" w:rsidRDefault="001864D3" w:rsidP="001864D3">
      <w:pPr>
        <w:pStyle w:val="Legenda"/>
      </w:pPr>
      <w:bookmarkStart w:id="195" w:name="_Toc497469142"/>
      <w:r>
        <w:t xml:space="preserve">Quadro </w:t>
      </w:r>
      <w:r w:rsidR="00D71C43">
        <w:fldChar w:fldCharType="begin"/>
      </w:r>
      <w:r w:rsidR="00D71C43">
        <w:instrText xml:space="preserve"> SEQ Quadro \* ARABIC </w:instrText>
      </w:r>
      <w:r w:rsidR="00D71C43">
        <w:fldChar w:fldCharType="separate"/>
      </w:r>
      <w:r w:rsidR="004D1D76">
        <w:rPr>
          <w:noProof/>
        </w:rPr>
        <w:t>21</w:t>
      </w:r>
      <w:r w:rsidR="00D71C43">
        <w:rPr>
          <w:noProof/>
        </w:rPr>
        <w:fldChar w:fldCharType="end"/>
      </w:r>
      <w:bookmarkEnd w:id="193"/>
      <w:r>
        <w:t xml:space="preserve"> </w:t>
      </w:r>
      <w:r>
        <w:rPr>
          <w:lang w:val="pt-BR"/>
        </w:rPr>
        <w:t>-</w:t>
      </w:r>
      <w:r>
        <w:t xml:space="preserve"> Medidas para prevenção, controle, mitigação e/ou recuperação que podem ser usadas para áreas degradadas por processos erosivos.</w:t>
      </w:r>
      <w:bookmarkEnd w:id="194"/>
      <w:bookmarkEnd w:id="195"/>
      <w:r>
        <w:t xml:space="preserve"> </w:t>
      </w:r>
    </w:p>
    <w:tbl>
      <w:tblPr>
        <w:tblW w:w="8640" w:type="dxa"/>
        <w:jc w:val="center"/>
        <w:tblCellMar>
          <w:left w:w="70" w:type="dxa"/>
          <w:right w:w="70" w:type="dxa"/>
        </w:tblCellMar>
        <w:tblLook w:val="04A0" w:firstRow="1" w:lastRow="0" w:firstColumn="1" w:lastColumn="0" w:noHBand="0" w:noVBand="1"/>
      </w:tblPr>
      <w:tblGrid>
        <w:gridCol w:w="359"/>
        <w:gridCol w:w="359"/>
        <w:gridCol w:w="4060"/>
        <w:gridCol w:w="1001"/>
        <w:gridCol w:w="821"/>
        <w:gridCol w:w="911"/>
        <w:gridCol w:w="1225"/>
      </w:tblGrid>
      <w:tr w:rsidR="001864D3" w:rsidTr="001864D3">
        <w:trPr>
          <w:trHeight w:val="315"/>
          <w:tblHeader/>
          <w:jc w:val="center"/>
        </w:trPr>
        <w:tc>
          <w:tcPr>
            <w:tcW w:w="340" w:type="dxa"/>
            <w:noWrap/>
            <w:vAlign w:val="bottom"/>
            <w:hideMark/>
          </w:tcPr>
          <w:p w:rsidR="001864D3" w:rsidRDefault="001864D3">
            <w:pPr>
              <w:spacing w:after="200" w:line="276" w:lineRule="auto"/>
              <w:jc w:val="left"/>
              <w:rPr>
                <w:rFonts w:asciiTheme="minorHAnsi" w:eastAsiaTheme="minorHAnsi" w:hAnsiTheme="minorHAnsi"/>
                <w:sz w:val="22"/>
              </w:rPr>
            </w:pPr>
          </w:p>
        </w:tc>
        <w:tc>
          <w:tcPr>
            <w:tcW w:w="340" w:type="dxa"/>
            <w:noWrap/>
            <w:vAlign w:val="bottom"/>
            <w:hideMark/>
          </w:tcPr>
          <w:p w:rsidR="001864D3" w:rsidRDefault="001864D3">
            <w:pPr>
              <w:spacing w:after="200" w:line="276" w:lineRule="auto"/>
              <w:jc w:val="left"/>
              <w:rPr>
                <w:rFonts w:asciiTheme="minorHAnsi" w:eastAsiaTheme="minorHAnsi" w:hAnsiTheme="minorHAnsi"/>
                <w:sz w:val="22"/>
              </w:rPr>
            </w:pPr>
          </w:p>
        </w:tc>
        <w:tc>
          <w:tcPr>
            <w:tcW w:w="4060" w:type="dxa"/>
            <w:noWrap/>
            <w:vAlign w:val="bottom"/>
            <w:hideMark/>
          </w:tcPr>
          <w:p w:rsidR="001864D3" w:rsidRDefault="001864D3">
            <w:pPr>
              <w:spacing w:after="200" w:line="276" w:lineRule="auto"/>
              <w:jc w:val="left"/>
              <w:rPr>
                <w:rFonts w:asciiTheme="minorHAnsi" w:eastAsiaTheme="minorHAnsi" w:hAnsiTheme="minorHAnsi"/>
                <w:sz w:val="22"/>
              </w:rPr>
            </w:pPr>
          </w:p>
        </w:tc>
        <w:tc>
          <w:tcPr>
            <w:tcW w:w="3900" w:type="dxa"/>
            <w:gridSpan w:val="4"/>
            <w:tcBorders>
              <w:top w:val="single" w:sz="8" w:space="0" w:color="auto"/>
              <w:left w:val="single" w:sz="8" w:space="0" w:color="auto"/>
              <w:bottom w:val="single" w:sz="8" w:space="0" w:color="auto"/>
              <w:right w:val="single" w:sz="8" w:space="0" w:color="000000"/>
            </w:tcBorders>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Objetivo das medidas</w:t>
            </w:r>
          </w:p>
        </w:tc>
      </w:tr>
      <w:tr w:rsidR="001864D3" w:rsidTr="001864D3">
        <w:trPr>
          <w:trHeight w:val="315"/>
          <w:tblHeader/>
          <w:jc w:val="center"/>
        </w:trPr>
        <w:tc>
          <w:tcPr>
            <w:tcW w:w="340" w:type="dxa"/>
            <w:noWrap/>
            <w:vAlign w:val="bottom"/>
            <w:hideMark/>
          </w:tcPr>
          <w:p w:rsidR="001864D3" w:rsidRDefault="001864D3">
            <w:pPr>
              <w:spacing w:line="276" w:lineRule="auto"/>
              <w:jc w:val="left"/>
              <w:rPr>
                <w:rFonts w:asciiTheme="minorHAnsi" w:eastAsiaTheme="minorHAnsi" w:hAnsiTheme="minorHAnsi"/>
                <w:sz w:val="22"/>
              </w:rPr>
            </w:pPr>
          </w:p>
        </w:tc>
        <w:tc>
          <w:tcPr>
            <w:tcW w:w="340" w:type="dxa"/>
            <w:noWrap/>
            <w:vAlign w:val="bottom"/>
            <w:hideMark/>
          </w:tcPr>
          <w:p w:rsidR="001864D3" w:rsidRDefault="001864D3">
            <w:pPr>
              <w:spacing w:line="276" w:lineRule="auto"/>
              <w:jc w:val="left"/>
              <w:rPr>
                <w:rFonts w:asciiTheme="minorHAnsi" w:eastAsiaTheme="minorHAnsi" w:hAnsiTheme="minorHAnsi"/>
                <w:sz w:val="22"/>
              </w:rPr>
            </w:pPr>
          </w:p>
        </w:tc>
        <w:tc>
          <w:tcPr>
            <w:tcW w:w="4060" w:type="dxa"/>
            <w:tcBorders>
              <w:top w:val="single" w:sz="8" w:space="0" w:color="auto"/>
              <w:left w:val="single" w:sz="8" w:space="0" w:color="auto"/>
              <w:bottom w:val="single" w:sz="8" w:space="0" w:color="auto"/>
              <w:right w:val="single" w:sz="8" w:space="0" w:color="auto"/>
            </w:tcBorders>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Medidas</w:t>
            </w:r>
          </w:p>
        </w:tc>
        <w:tc>
          <w:tcPr>
            <w:tcW w:w="992" w:type="dxa"/>
            <w:tcBorders>
              <w:top w:val="nil"/>
              <w:left w:val="nil"/>
              <w:bottom w:val="single" w:sz="8" w:space="0" w:color="auto"/>
              <w:right w:val="single" w:sz="8" w:space="0" w:color="auto"/>
            </w:tcBorders>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Prevenção</w:t>
            </w:r>
          </w:p>
        </w:tc>
        <w:tc>
          <w:tcPr>
            <w:tcW w:w="791" w:type="dxa"/>
            <w:tcBorders>
              <w:top w:val="nil"/>
              <w:left w:val="nil"/>
              <w:bottom w:val="single" w:sz="8" w:space="0" w:color="auto"/>
              <w:right w:val="single" w:sz="8" w:space="0" w:color="auto"/>
            </w:tcBorders>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Controle</w:t>
            </w:r>
          </w:p>
        </w:tc>
        <w:tc>
          <w:tcPr>
            <w:tcW w:w="892" w:type="dxa"/>
            <w:tcBorders>
              <w:top w:val="nil"/>
              <w:left w:val="nil"/>
              <w:bottom w:val="single" w:sz="8" w:space="0" w:color="auto"/>
              <w:right w:val="single" w:sz="8" w:space="0" w:color="auto"/>
            </w:tcBorders>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Mitigação</w:t>
            </w:r>
          </w:p>
        </w:tc>
        <w:tc>
          <w:tcPr>
            <w:tcW w:w="1225" w:type="dxa"/>
            <w:tcBorders>
              <w:top w:val="nil"/>
              <w:left w:val="nil"/>
              <w:bottom w:val="single" w:sz="8" w:space="0" w:color="auto"/>
              <w:right w:val="single" w:sz="8" w:space="0" w:color="auto"/>
            </w:tcBorders>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Recuperação</w:t>
            </w:r>
          </w:p>
        </w:tc>
      </w:tr>
      <w:tr w:rsidR="001864D3" w:rsidTr="001864D3">
        <w:trPr>
          <w:trHeight w:val="300"/>
          <w:jc w:val="center"/>
        </w:trPr>
        <w:tc>
          <w:tcPr>
            <w:tcW w:w="680" w:type="dxa"/>
            <w:gridSpan w:val="2"/>
            <w:vMerge w:val="restart"/>
            <w:tcBorders>
              <w:top w:val="single" w:sz="8" w:space="0" w:color="auto"/>
              <w:left w:val="single" w:sz="8" w:space="0" w:color="auto"/>
              <w:bottom w:val="single" w:sz="8" w:space="0" w:color="000000"/>
              <w:right w:val="single" w:sz="8" w:space="0" w:color="000000"/>
            </w:tcBorders>
            <w:noWrap/>
            <w:textDirection w:val="btLr"/>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Ecológicas</w:t>
            </w:r>
          </w:p>
        </w:tc>
        <w:tc>
          <w:tcPr>
            <w:tcW w:w="4060" w:type="dxa"/>
            <w:tcBorders>
              <w:top w:val="nil"/>
              <w:left w:val="nil"/>
              <w:bottom w:val="nil"/>
              <w:right w:val="single" w:sz="8" w:space="0" w:color="auto"/>
            </w:tcBorders>
            <w:noWrap/>
            <w:vAlign w:val="center"/>
            <w:hideMark/>
          </w:tcPr>
          <w:p w:rsidR="001864D3" w:rsidRDefault="001864D3">
            <w:pPr>
              <w:spacing w:line="240" w:lineRule="auto"/>
              <w:jc w:val="left"/>
              <w:rPr>
                <w:rFonts w:eastAsia="Times New Roman" w:cs="Arial"/>
                <w:color w:val="000000"/>
                <w:sz w:val="20"/>
                <w:szCs w:val="20"/>
                <w:lang w:eastAsia="pt-BR"/>
              </w:rPr>
            </w:pPr>
            <w:r>
              <w:rPr>
                <w:rFonts w:eastAsia="Times New Roman" w:cs="Arial"/>
                <w:color w:val="000000"/>
                <w:sz w:val="20"/>
                <w:szCs w:val="20"/>
                <w:lang w:eastAsia="pt-BR"/>
              </w:rPr>
              <w:t>Revegetação</w:t>
            </w:r>
          </w:p>
        </w:tc>
        <w:tc>
          <w:tcPr>
            <w:tcW w:w="992"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791"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892"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r>
      <w:tr w:rsidR="001864D3" w:rsidTr="001864D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rsidR="001864D3" w:rsidRDefault="001864D3">
            <w:pPr>
              <w:spacing w:line="240" w:lineRule="auto"/>
              <w:jc w:val="left"/>
              <w:rPr>
                <w:rFonts w:eastAsia="Times New Roman" w:cs="Arial"/>
                <w:color w:val="000000"/>
                <w:sz w:val="20"/>
                <w:szCs w:val="20"/>
                <w:lang w:eastAsia="pt-BR"/>
              </w:rPr>
            </w:pPr>
          </w:p>
        </w:tc>
        <w:tc>
          <w:tcPr>
            <w:tcW w:w="4060" w:type="dxa"/>
            <w:tcBorders>
              <w:top w:val="nil"/>
              <w:left w:val="nil"/>
              <w:bottom w:val="nil"/>
              <w:right w:val="single" w:sz="8" w:space="0" w:color="auto"/>
            </w:tcBorders>
            <w:noWrap/>
            <w:vAlign w:val="center"/>
            <w:hideMark/>
          </w:tcPr>
          <w:p w:rsidR="001864D3" w:rsidRDefault="001864D3">
            <w:pPr>
              <w:spacing w:line="240" w:lineRule="auto"/>
              <w:jc w:val="left"/>
              <w:rPr>
                <w:rFonts w:eastAsia="Times New Roman" w:cs="Arial"/>
                <w:color w:val="000000"/>
                <w:sz w:val="20"/>
                <w:szCs w:val="20"/>
                <w:lang w:eastAsia="pt-BR"/>
              </w:rPr>
            </w:pPr>
            <w:r>
              <w:rPr>
                <w:rFonts w:eastAsia="Times New Roman" w:cs="Arial"/>
                <w:color w:val="000000"/>
                <w:sz w:val="20"/>
                <w:szCs w:val="20"/>
                <w:lang w:eastAsia="pt-BR"/>
              </w:rPr>
              <w:t>Pastagem</w:t>
            </w:r>
          </w:p>
        </w:tc>
        <w:tc>
          <w:tcPr>
            <w:tcW w:w="992"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791"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892"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r>
      <w:tr w:rsidR="001864D3" w:rsidTr="001864D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rsidR="001864D3" w:rsidRDefault="001864D3">
            <w:pPr>
              <w:spacing w:line="240" w:lineRule="auto"/>
              <w:jc w:val="left"/>
              <w:rPr>
                <w:rFonts w:eastAsia="Times New Roman" w:cs="Arial"/>
                <w:color w:val="000000"/>
                <w:sz w:val="20"/>
                <w:szCs w:val="20"/>
                <w:lang w:eastAsia="pt-BR"/>
              </w:rPr>
            </w:pPr>
          </w:p>
        </w:tc>
        <w:tc>
          <w:tcPr>
            <w:tcW w:w="4060" w:type="dxa"/>
            <w:tcBorders>
              <w:top w:val="nil"/>
              <w:left w:val="nil"/>
              <w:bottom w:val="nil"/>
              <w:right w:val="single" w:sz="8" w:space="0" w:color="auto"/>
            </w:tcBorders>
            <w:noWrap/>
            <w:vAlign w:val="center"/>
            <w:hideMark/>
          </w:tcPr>
          <w:p w:rsidR="001864D3" w:rsidRDefault="001864D3">
            <w:pPr>
              <w:spacing w:line="240" w:lineRule="auto"/>
              <w:jc w:val="left"/>
              <w:rPr>
                <w:rFonts w:eastAsia="Times New Roman" w:cs="Arial"/>
                <w:color w:val="000000"/>
                <w:sz w:val="20"/>
                <w:szCs w:val="20"/>
                <w:lang w:eastAsia="pt-BR"/>
              </w:rPr>
            </w:pPr>
            <w:r>
              <w:rPr>
                <w:rFonts w:eastAsia="Times New Roman" w:cs="Arial"/>
                <w:color w:val="000000"/>
                <w:sz w:val="20"/>
                <w:szCs w:val="20"/>
                <w:lang w:eastAsia="pt-BR"/>
              </w:rPr>
              <w:t>Faixa ripariana</w:t>
            </w:r>
          </w:p>
        </w:tc>
        <w:tc>
          <w:tcPr>
            <w:tcW w:w="992"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791"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892"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r>
      <w:tr w:rsidR="001864D3" w:rsidTr="001864D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rsidR="001864D3" w:rsidRDefault="001864D3">
            <w:pPr>
              <w:spacing w:line="240" w:lineRule="auto"/>
              <w:jc w:val="left"/>
              <w:rPr>
                <w:rFonts w:eastAsia="Times New Roman" w:cs="Arial"/>
                <w:color w:val="000000"/>
                <w:sz w:val="20"/>
                <w:szCs w:val="20"/>
                <w:lang w:eastAsia="pt-BR"/>
              </w:rPr>
            </w:pPr>
          </w:p>
        </w:tc>
        <w:tc>
          <w:tcPr>
            <w:tcW w:w="4060" w:type="dxa"/>
            <w:tcBorders>
              <w:top w:val="nil"/>
              <w:left w:val="nil"/>
              <w:bottom w:val="nil"/>
              <w:right w:val="single" w:sz="8" w:space="0" w:color="auto"/>
            </w:tcBorders>
            <w:noWrap/>
            <w:vAlign w:val="center"/>
            <w:hideMark/>
          </w:tcPr>
          <w:p w:rsidR="001864D3" w:rsidRDefault="001864D3">
            <w:pPr>
              <w:spacing w:line="240" w:lineRule="auto"/>
              <w:jc w:val="left"/>
              <w:rPr>
                <w:rFonts w:eastAsia="Times New Roman" w:cs="Arial"/>
                <w:color w:val="000000"/>
                <w:sz w:val="20"/>
                <w:szCs w:val="20"/>
                <w:lang w:eastAsia="pt-BR"/>
              </w:rPr>
            </w:pPr>
            <w:r>
              <w:rPr>
                <w:rFonts w:eastAsia="Times New Roman" w:cs="Arial"/>
                <w:color w:val="000000"/>
                <w:sz w:val="20"/>
                <w:szCs w:val="20"/>
                <w:lang w:eastAsia="pt-BR"/>
              </w:rPr>
              <w:t>Zonas de buffer</w:t>
            </w:r>
          </w:p>
        </w:tc>
        <w:tc>
          <w:tcPr>
            <w:tcW w:w="992"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791"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892"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r>
      <w:tr w:rsidR="001864D3" w:rsidTr="001864D3">
        <w:trPr>
          <w:trHeight w:val="315"/>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rsidR="001864D3" w:rsidRDefault="001864D3">
            <w:pPr>
              <w:spacing w:line="240" w:lineRule="auto"/>
              <w:jc w:val="left"/>
              <w:rPr>
                <w:rFonts w:eastAsia="Times New Roman" w:cs="Arial"/>
                <w:color w:val="000000"/>
                <w:sz w:val="20"/>
                <w:szCs w:val="20"/>
                <w:lang w:eastAsia="pt-BR"/>
              </w:rPr>
            </w:pPr>
          </w:p>
        </w:tc>
        <w:tc>
          <w:tcPr>
            <w:tcW w:w="4060" w:type="dxa"/>
            <w:tcBorders>
              <w:top w:val="nil"/>
              <w:left w:val="nil"/>
              <w:bottom w:val="single" w:sz="8" w:space="0" w:color="auto"/>
              <w:right w:val="single" w:sz="8" w:space="0" w:color="auto"/>
            </w:tcBorders>
            <w:noWrap/>
            <w:vAlign w:val="center"/>
            <w:hideMark/>
          </w:tcPr>
          <w:p w:rsidR="001864D3" w:rsidRDefault="001864D3">
            <w:pPr>
              <w:spacing w:line="240" w:lineRule="auto"/>
              <w:jc w:val="left"/>
              <w:rPr>
                <w:rFonts w:eastAsia="Times New Roman" w:cs="Arial"/>
                <w:color w:val="000000"/>
                <w:sz w:val="20"/>
                <w:szCs w:val="20"/>
                <w:lang w:eastAsia="pt-BR"/>
              </w:rPr>
            </w:pPr>
            <w:r>
              <w:rPr>
                <w:rFonts w:eastAsia="Times New Roman" w:cs="Arial"/>
                <w:color w:val="000000"/>
                <w:sz w:val="20"/>
                <w:szCs w:val="20"/>
                <w:lang w:eastAsia="pt-BR"/>
              </w:rPr>
              <w:t>Barreira de galhos (brush barrier)</w:t>
            </w:r>
          </w:p>
        </w:tc>
        <w:tc>
          <w:tcPr>
            <w:tcW w:w="992" w:type="dxa"/>
            <w:tcBorders>
              <w:top w:val="nil"/>
              <w:left w:val="nil"/>
              <w:bottom w:val="single" w:sz="8" w:space="0" w:color="auto"/>
              <w:right w:val="nil"/>
            </w:tcBorders>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791" w:type="dxa"/>
            <w:tcBorders>
              <w:top w:val="nil"/>
              <w:left w:val="nil"/>
              <w:bottom w:val="single" w:sz="8" w:space="0" w:color="auto"/>
              <w:right w:val="nil"/>
            </w:tcBorders>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892" w:type="dxa"/>
            <w:tcBorders>
              <w:top w:val="nil"/>
              <w:left w:val="nil"/>
              <w:bottom w:val="single" w:sz="8" w:space="0" w:color="auto"/>
              <w:right w:val="nil"/>
            </w:tcBorders>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1225" w:type="dxa"/>
            <w:tcBorders>
              <w:top w:val="nil"/>
              <w:left w:val="nil"/>
              <w:bottom w:val="single" w:sz="8" w:space="0" w:color="auto"/>
              <w:right w:val="single" w:sz="8" w:space="0" w:color="auto"/>
            </w:tcBorders>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 </w:t>
            </w:r>
          </w:p>
        </w:tc>
      </w:tr>
      <w:tr w:rsidR="001864D3" w:rsidTr="001864D3">
        <w:trPr>
          <w:trHeight w:val="300"/>
          <w:jc w:val="center"/>
        </w:trPr>
        <w:tc>
          <w:tcPr>
            <w:tcW w:w="680" w:type="dxa"/>
            <w:gridSpan w:val="2"/>
            <w:vMerge w:val="restart"/>
            <w:tcBorders>
              <w:top w:val="single" w:sz="8" w:space="0" w:color="auto"/>
              <w:left w:val="single" w:sz="8" w:space="0" w:color="auto"/>
              <w:bottom w:val="single" w:sz="8" w:space="0" w:color="000000"/>
              <w:right w:val="single" w:sz="8" w:space="0" w:color="000000"/>
            </w:tcBorders>
            <w:noWrap/>
            <w:textDirection w:val="btLr"/>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Agrícolas</w:t>
            </w:r>
          </w:p>
        </w:tc>
        <w:tc>
          <w:tcPr>
            <w:tcW w:w="4060" w:type="dxa"/>
            <w:tcBorders>
              <w:top w:val="nil"/>
              <w:left w:val="nil"/>
              <w:bottom w:val="nil"/>
              <w:right w:val="single" w:sz="8" w:space="0" w:color="auto"/>
            </w:tcBorders>
            <w:noWrap/>
            <w:vAlign w:val="center"/>
            <w:hideMark/>
          </w:tcPr>
          <w:p w:rsidR="001864D3" w:rsidRDefault="001864D3">
            <w:pPr>
              <w:spacing w:line="240" w:lineRule="auto"/>
              <w:jc w:val="left"/>
              <w:rPr>
                <w:rFonts w:eastAsia="Times New Roman" w:cs="Arial"/>
                <w:color w:val="000000"/>
                <w:sz w:val="20"/>
                <w:szCs w:val="20"/>
                <w:lang w:eastAsia="pt-BR"/>
              </w:rPr>
            </w:pPr>
            <w:r>
              <w:rPr>
                <w:rFonts w:eastAsia="Times New Roman" w:cs="Arial"/>
                <w:color w:val="000000"/>
                <w:sz w:val="20"/>
                <w:szCs w:val="20"/>
                <w:lang w:eastAsia="pt-BR"/>
              </w:rPr>
              <w:t>Plantas de cobertura</w:t>
            </w:r>
          </w:p>
        </w:tc>
        <w:tc>
          <w:tcPr>
            <w:tcW w:w="992"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791"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892"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 </w:t>
            </w:r>
          </w:p>
        </w:tc>
      </w:tr>
      <w:tr w:rsidR="001864D3" w:rsidTr="001864D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rsidR="001864D3" w:rsidRDefault="001864D3">
            <w:pPr>
              <w:spacing w:line="240" w:lineRule="auto"/>
              <w:jc w:val="left"/>
              <w:rPr>
                <w:rFonts w:eastAsia="Times New Roman" w:cs="Arial"/>
                <w:color w:val="000000"/>
                <w:sz w:val="20"/>
                <w:szCs w:val="20"/>
                <w:lang w:eastAsia="pt-BR"/>
              </w:rPr>
            </w:pPr>
          </w:p>
        </w:tc>
        <w:tc>
          <w:tcPr>
            <w:tcW w:w="4060" w:type="dxa"/>
            <w:tcBorders>
              <w:top w:val="nil"/>
              <w:left w:val="nil"/>
              <w:bottom w:val="nil"/>
              <w:right w:val="single" w:sz="8" w:space="0" w:color="auto"/>
            </w:tcBorders>
            <w:noWrap/>
            <w:vAlign w:val="center"/>
            <w:hideMark/>
          </w:tcPr>
          <w:p w:rsidR="001864D3" w:rsidRDefault="001864D3">
            <w:pPr>
              <w:spacing w:line="240" w:lineRule="auto"/>
              <w:jc w:val="left"/>
              <w:rPr>
                <w:rFonts w:eastAsia="Times New Roman" w:cs="Arial"/>
                <w:color w:val="000000"/>
                <w:sz w:val="20"/>
                <w:szCs w:val="20"/>
                <w:lang w:eastAsia="pt-BR"/>
              </w:rPr>
            </w:pPr>
            <w:r>
              <w:rPr>
                <w:rFonts w:eastAsia="Times New Roman" w:cs="Arial"/>
                <w:color w:val="000000"/>
                <w:sz w:val="20"/>
                <w:szCs w:val="20"/>
                <w:lang w:eastAsia="pt-BR"/>
              </w:rPr>
              <w:t>Culturas em faixa</w:t>
            </w:r>
          </w:p>
        </w:tc>
        <w:tc>
          <w:tcPr>
            <w:tcW w:w="992"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791"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892"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 </w:t>
            </w:r>
          </w:p>
        </w:tc>
      </w:tr>
      <w:tr w:rsidR="001864D3" w:rsidTr="001864D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rsidR="001864D3" w:rsidRDefault="001864D3">
            <w:pPr>
              <w:spacing w:line="240" w:lineRule="auto"/>
              <w:jc w:val="left"/>
              <w:rPr>
                <w:rFonts w:eastAsia="Times New Roman" w:cs="Arial"/>
                <w:color w:val="000000"/>
                <w:sz w:val="20"/>
                <w:szCs w:val="20"/>
                <w:lang w:eastAsia="pt-BR"/>
              </w:rPr>
            </w:pPr>
          </w:p>
        </w:tc>
        <w:tc>
          <w:tcPr>
            <w:tcW w:w="4060" w:type="dxa"/>
            <w:tcBorders>
              <w:top w:val="nil"/>
              <w:left w:val="nil"/>
              <w:bottom w:val="nil"/>
              <w:right w:val="single" w:sz="8" w:space="0" w:color="auto"/>
            </w:tcBorders>
            <w:noWrap/>
            <w:vAlign w:val="center"/>
            <w:hideMark/>
          </w:tcPr>
          <w:p w:rsidR="001864D3" w:rsidRDefault="001864D3">
            <w:pPr>
              <w:spacing w:line="240" w:lineRule="auto"/>
              <w:jc w:val="left"/>
              <w:rPr>
                <w:rFonts w:eastAsia="Times New Roman" w:cs="Arial"/>
                <w:color w:val="000000"/>
                <w:sz w:val="20"/>
                <w:szCs w:val="20"/>
                <w:lang w:eastAsia="pt-BR"/>
              </w:rPr>
            </w:pPr>
            <w:r>
              <w:rPr>
                <w:rFonts w:eastAsia="Times New Roman" w:cs="Arial"/>
                <w:color w:val="000000"/>
                <w:sz w:val="20"/>
                <w:szCs w:val="20"/>
                <w:lang w:eastAsia="pt-BR"/>
              </w:rPr>
              <w:t>Cordões de vegetação permanente</w:t>
            </w:r>
          </w:p>
        </w:tc>
        <w:tc>
          <w:tcPr>
            <w:tcW w:w="992"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791"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892"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 </w:t>
            </w:r>
          </w:p>
        </w:tc>
      </w:tr>
      <w:tr w:rsidR="001864D3" w:rsidTr="001864D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rsidR="001864D3" w:rsidRDefault="001864D3">
            <w:pPr>
              <w:spacing w:line="240" w:lineRule="auto"/>
              <w:jc w:val="left"/>
              <w:rPr>
                <w:rFonts w:eastAsia="Times New Roman" w:cs="Arial"/>
                <w:color w:val="000000"/>
                <w:sz w:val="20"/>
                <w:szCs w:val="20"/>
                <w:lang w:eastAsia="pt-BR"/>
              </w:rPr>
            </w:pPr>
          </w:p>
        </w:tc>
        <w:tc>
          <w:tcPr>
            <w:tcW w:w="4060" w:type="dxa"/>
            <w:tcBorders>
              <w:top w:val="nil"/>
              <w:left w:val="nil"/>
              <w:bottom w:val="nil"/>
              <w:right w:val="single" w:sz="8" w:space="0" w:color="auto"/>
            </w:tcBorders>
            <w:noWrap/>
            <w:vAlign w:val="center"/>
            <w:hideMark/>
          </w:tcPr>
          <w:p w:rsidR="001864D3" w:rsidRDefault="001864D3">
            <w:pPr>
              <w:spacing w:line="240" w:lineRule="auto"/>
              <w:jc w:val="left"/>
              <w:rPr>
                <w:rFonts w:eastAsia="Times New Roman" w:cs="Arial"/>
                <w:color w:val="000000"/>
                <w:sz w:val="20"/>
                <w:szCs w:val="20"/>
                <w:lang w:eastAsia="pt-BR"/>
              </w:rPr>
            </w:pPr>
            <w:r>
              <w:rPr>
                <w:rFonts w:eastAsia="Times New Roman" w:cs="Arial"/>
                <w:color w:val="000000"/>
                <w:sz w:val="20"/>
                <w:szCs w:val="20"/>
                <w:lang w:eastAsia="pt-BR"/>
              </w:rPr>
              <w:t>Faixas de bordadura</w:t>
            </w:r>
          </w:p>
        </w:tc>
        <w:tc>
          <w:tcPr>
            <w:tcW w:w="992"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791"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892"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 </w:t>
            </w:r>
          </w:p>
        </w:tc>
      </w:tr>
      <w:tr w:rsidR="001864D3" w:rsidTr="001864D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rsidR="001864D3" w:rsidRDefault="001864D3">
            <w:pPr>
              <w:spacing w:line="240" w:lineRule="auto"/>
              <w:jc w:val="left"/>
              <w:rPr>
                <w:rFonts w:eastAsia="Times New Roman" w:cs="Arial"/>
                <w:color w:val="000000"/>
                <w:sz w:val="20"/>
                <w:szCs w:val="20"/>
                <w:lang w:eastAsia="pt-BR"/>
              </w:rPr>
            </w:pPr>
          </w:p>
        </w:tc>
        <w:tc>
          <w:tcPr>
            <w:tcW w:w="4060" w:type="dxa"/>
            <w:tcBorders>
              <w:top w:val="nil"/>
              <w:left w:val="nil"/>
              <w:bottom w:val="nil"/>
              <w:right w:val="single" w:sz="8" w:space="0" w:color="auto"/>
            </w:tcBorders>
            <w:noWrap/>
            <w:vAlign w:val="center"/>
            <w:hideMark/>
          </w:tcPr>
          <w:p w:rsidR="001864D3" w:rsidRDefault="001864D3">
            <w:pPr>
              <w:spacing w:line="240" w:lineRule="auto"/>
              <w:jc w:val="left"/>
              <w:rPr>
                <w:rFonts w:eastAsia="Times New Roman" w:cs="Arial"/>
                <w:color w:val="000000"/>
                <w:sz w:val="20"/>
                <w:szCs w:val="20"/>
                <w:lang w:eastAsia="pt-BR"/>
              </w:rPr>
            </w:pPr>
            <w:r>
              <w:rPr>
                <w:rFonts w:eastAsia="Times New Roman" w:cs="Arial"/>
                <w:color w:val="000000"/>
                <w:sz w:val="20"/>
                <w:szCs w:val="20"/>
                <w:lang w:eastAsia="pt-BR"/>
              </w:rPr>
              <w:t>Alternância de capinas</w:t>
            </w:r>
          </w:p>
        </w:tc>
        <w:tc>
          <w:tcPr>
            <w:tcW w:w="992"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791"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892"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 </w:t>
            </w:r>
          </w:p>
        </w:tc>
      </w:tr>
      <w:tr w:rsidR="001864D3" w:rsidTr="001864D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rsidR="001864D3" w:rsidRDefault="001864D3">
            <w:pPr>
              <w:spacing w:line="240" w:lineRule="auto"/>
              <w:jc w:val="left"/>
              <w:rPr>
                <w:rFonts w:eastAsia="Times New Roman" w:cs="Arial"/>
                <w:color w:val="000000"/>
                <w:sz w:val="20"/>
                <w:szCs w:val="20"/>
                <w:lang w:eastAsia="pt-BR"/>
              </w:rPr>
            </w:pPr>
          </w:p>
        </w:tc>
        <w:tc>
          <w:tcPr>
            <w:tcW w:w="4060" w:type="dxa"/>
            <w:tcBorders>
              <w:top w:val="nil"/>
              <w:left w:val="nil"/>
              <w:bottom w:val="nil"/>
              <w:right w:val="single" w:sz="8" w:space="0" w:color="auto"/>
            </w:tcBorders>
            <w:noWrap/>
            <w:vAlign w:val="center"/>
            <w:hideMark/>
          </w:tcPr>
          <w:p w:rsidR="001864D3" w:rsidRDefault="001864D3">
            <w:pPr>
              <w:spacing w:line="240" w:lineRule="auto"/>
              <w:jc w:val="left"/>
              <w:rPr>
                <w:rFonts w:eastAsia="Times New Roman" w:cs="Arial"/>
                <w:color w:val="000000"/>
                <w:sz w:val="20"/>
                <w:szCs w:val="20"/>
                <w:lang w:eastAsia="pt-BR"/>
              </w:rPr>
            </w:pPr>
            <w:r>
              <w:rPr>
                <w:rFonts w:eastAsia="Times New Roman" w:cs="Arial"/>
                <w:color w:val="000000"/>
                <w:sz w:val="20"/>
                <w:szCs w:val="20"/>
                <w:lang w:eastAsia="pt-BR"/>
              </w:rPr>
              <w:t>Ceifa do mato</w:t>
            </w:r>
          </w:p>
        </w:tc>
        <w:tc>
          <w:tcPr>
            <w:tcW w:w="992"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791"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892"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 </w:t>
            </w:r>
          </w:p>
        </w:tc>
      </w:tr>
      <w:tr w:rsidR="001864D3" w:rsidTr="001864D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rsidR="001864D3" w:rsidRDefault="001864D3">
            <w:pPr>
              <w:spacing w:line="240" w:lineRule="auto"/>
              <w:jc w:val="left"/>
              <w:rPr>
                <w:rFonts w:eastAsia="Times New Roman" w:cs="Arial"/>
                <w:color w:val="000000"/>
                <w:sz w:val="20"/>
                <w:szCs w:val="20"/>
                <w:lang w:eastAsia="pt-BR"/>
              </w:rPr>
            </w:pPr>
          </w:p>
        </w:tc>
        <w:tc>
          <w:tcPr>
            <w:tcW w:w="4060" w:type="dxa"/>
            <w:tcBorders>
              <w:top w:val="nil"/>
              <w:left w:val="nil"/>
              <w:bottom w:val="nil"/>
              <w:right w:val="single" w:sz="8" w:space="0" w:color="auto"/>
            </w:tcBorders>
            <w:noWrap/>
            <w:vAlign w:val="center"/>
            <w:hideMark/>
          </w:tcPr>
          <w:p w:rsidR="001864D3" w:rsidRDefault="001864D3">
            <w:pPr>
              <w:spacing w:line="240" w:lineRule="auto"/>
              <w:jc w:val="left"/>
              <w:rPr>
                <w:rFonts w:eastAsia="Times New Roman" w:cs="Arial"/>
                <w:color w:val="000000"/>
                <w:sz w:val="20"/>
                <w:szCs w:val="20"/>
                <w:lang w:eastAsia="pt-BR"/>
              </w:rPr>
            </w:pPr>
            <w:r>
              <w:rPr>
                <w:rFonts w:eastAsia="Times New Roman" w:cs="Arial"/>
                <w:color w:val="000000"/>
                <w:sz w:val="20"/>
                <w:szCs w:val="20"/>
                <w:lang w:eastAsia="pt-BR"/>
              </w:rPr>
              <w:t>Cobertura morta</w:t>
            </w:r>
          </w:p>
        </w:tc>
        <w:tc>
          <w:tcPr>
            <w:tcW w:w="992"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791"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892"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 </w:t>
            </w:r>
          </w:p>
        </w:tc>
      </w:tr>
      <w:tr w:rsidR="001864D3" w:rsidTr="001864D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rsidR="001864D3" w:rsidRDefault="001864D3">
            <w:pPr>
              <w:spacing w:line="240" w:lineRule="auto"/>
              <w:jc w:val="left"/>
              <w:rPr>
                <w:rFonts w:eastAsia="Times New Roman" w:cs="Arial"/>
                <w:color w:val="000000"/>
                <w:sz w:val="20"/>
                <w:szCs w:val="20"/>
                <w:lang w:eastAsia="pt-BR"/>
              </w:rPr>
            </w:pPr>
          </w:p>
        </w:tc>
        <w:tc>
          <w:tcPr>
            <w:tcW w:w="4060" w:type="dxa"/>
            <w:tcBorders>
              <w:top w:val="nil"/>
              <w:left w:val="nil"/>
              <w:bottom w:val="nil"/>
              <w:right w:val="single" w:sz="8" w:space="0" w:color="auto"/>
            </w:tcBorders>
            <w:noWrap/>
            <w:vAlign w:val="center"/>
            <w:hideMark/>
          </w:tcPr>
          <w:p w:rsidR="001864D3" w:rsidRDefault="001864D3">
            <w:pPr>
              <w:spacing w:line="240" w:lineRule="auto"/>
              <w:jc w:val="left"/>
              <w:rPr>
                <w:rFonts w:eastAsia="Times New Roman" w:cs="Arial"/>
                <w:color w:val="000000"/>
                <w:sz w:val="20"/>
                <w:szCs w:val="20"/>
                <w:lang w:eastAsia="pt-BR"/>
              </w:rPr>
            </w:pPr>
            <w:r>
              <w:rPr>
                <w:rFonts w:eastAsia="Times New Roman" w:cs="Arial"/>
                <w:color w:val="000000"/>
                <w:sz w:val="20"/>
                <w:szCs w:val="20"/>
                <w:lang w:eastAsia="pt-BR"/>
              </w:rPr>
              <w:t>Controle do fogo</w:t>
            </w:r>
          </w:p>
        </w:tc>
        <w:tc>
          <w:tcPr>
            <w:tcW w:w="992"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791" w:type="dxa"/>
            <w:noWrap/>
            <w:vAlign w:val="center"/>
            <w:hideMark/>
          </w:tcPr>
          <w:p w:rsidR="001864D3" w:rsidRDefault="001864D3">
            <w:pPr>
              <w:spacing w:line="276" w:lineRule="auto"/>
              <w:jc w:val="left"/>
              <w:rPr>
                <w:rFonts w:asciiTheme="minorHAnsi" w:eastAsiaTheme="minorHAnsi" w:hAnsiTheme="minorHAnsi"/>
                <w:sz w:val="22"/>
              </w:rPr>
            </w:pPr>
          </w:p>
        </w:tc>
        <w:tc>
          <w:tcPr>
            <w:tcW w:w="892" w:type="dxa"/>
            <w:noWrap/>
            <w:vAlign w:val="center"/>
            <w:hideMark/>
          </w:tcPr>
          <w:p w:rsidR="001864D3" w:rsidRDefault="001864D3">
            <w:pPr>
              <w:spacing w:line="276" w:lineRule="auto"/>
              <w:jc w:val="left"/>
              <w:rPr>
                <w:rFonts w:asciiTheme="minorHAnsi" w:eastAsiaTheme="minorHAnsi" w:hAnsiTheme="minorHAnsi"/>
                <w:sz w:val="22"/>
              </w:rPr>
            </w:pP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 </w:t>
            </w:r>
          </w:p>
        </w:tc>
      </w:tr>
      <w:tr w:rsidR="001864D3" w:rsidTr="001864D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rsidR="001864D3" w:rsidRDefault="001864D3">
            <w:pPr>
              <w:spacing w:line="240" w:lineRule="auto"/>
              <w:jc w:val="left"/>
              <w:rPr>
                <w:rFonts w:eastAsia="Times New Roman" w:cs="Arial"/>
                <w:color w:val="000000"/>
                <w:sz w:val="20"/>
                <w:szCs w:val="20"/>
                <w:lang w:eastAsia="pt-BR"/>
              </w:rPr>
            </w:pPr>
          </w:p>
        </w:tc>
        <w:tc>
          <w:tcPr>
            <w:tcW w:w="4060" w:type="dxa"/>
            <w:tcBorders>
              <w:top w:val="nil"/>
              <w:left w:val="nil"/>
              <w:bottom w:val="nil"/>
              <w:right w:val="single" w:sz="8" w:space="0" w:color="auto"/>
            </w:tcBorders>
            <w:noWrap/>
            <w:vAlign w:val="center"/>
            <w:hideMark/>
          </w:tcPr>
          <w:p w:rsidR="001864D3" w:rsidRDefault="001864D3">
            <w:pPr>
              <w:spacing w:line="240" w:lineRule="auto"/>
              <w:jc w:val="left"/>
              <w:rPr>
                <w:rFonts w:eastAsia="Times New Roman" w:cs="Arial"/>
                <w:color w:val="000000"/>
                <w:sz w:val="20"/>
                <w:szCs w:val="20"/>
                <w:lang w:eastAsia="pt-BR"/>
              </w:rPr>
            </w:pPr>
            <w:r>
              <w:rPr>
                <w:rFonts w:eastAsia="Times New Roman" w:cs="Arial"/>
                <w:color w:val="000000"/>
                <w:sz w:val="20"/>
                <w:szCs w:val="20"/>
                <w:lang w:eastAsia="pt-BR"/>
              </w:rPr>
              <w:t>Adubação (verde, química e orgânica)</w:t>
            </w:r>
          </w:p>
        </w:tc>
        <w:tc>
          <w:tcPr>
            <w:tcW w:w="992"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791"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892"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 </w:t>
            </w:r>
          </w:p>
        </w:tc>
      </w:tr>
      <w:tr w:rsidR="001864D3" w:rsidTr="001864D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rsidR="001864D3" w:rsidRDefault="001864D3">
            <w:pPr>
              <w:spacing w:line="240" w:lineRule="auto"/>
              <w:jc w:val="left"/>
              <w:rPr>
                <w:rFonts w:eastAsia="Times New Roman" w:cs="Arial"/>
                <w:color w:val="000000"/>
                <w:sz w:val="20"/>
                <w:szCs w:val="20"/>
                <w:lang w:eastAsia="pt-BR"/>
              </w:rPr>
            </w:pPr>
          </w:p>
        </w:tc>
        <w:tc>
          <w:tcPr>
            <w:tcW w:w="4060" w:type="dxa"/>
            <w:tcBorders>
              <w:top w:val="nil"/>
              <w:left w:val="nil"/>
              <w:bottom w:val="nil"/>
              <w:right w:val="single" w:sz="8" w:space="0" w:color="auto"/>
            </w:tcBorders>
            <w:noWrap/>
            <w:vAlign w:val="center"/>
            <w:hideMark/>
          </w:tcPr>
          <w:p w:rsidR="001864D3" w:rsidRDefault="001864D3">
            <w:pPr>
              <w:spacing w:line="240" w:lineRule="auto"/>
              <w:jc w:val="left"/>
              <w:rPr>
                <w:rFonts w:eastAsia="Times New Roman" w:cs="Arial"/>
                <w:color w:val="000000"/>
                <w:sz w:val="20"/>
                <w:szCs w:val="20"/>
                <w:lang w:eastAsia="pt-BR"/>
              </w:rPr>
            </w:pPr>
            <w:r>
              <w:rPr>
                <w:rFonts w:eastAsia="Times New Roman" w:cs="Arial"/>
                <w:color w:val="000000"/>
                <w:sz w:val="20"/>
                <w:szCs w:val="20"/>
                <w:lang w:eastAsia="pt-BR"/>
              </w:rPr>
              <w:t>Plantio direto</w:t>
            </w:r>
          </w:p>
        </w:tc>
        <w:tc>
          <w:tcPr>
            <w:tcW w:w="992"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791"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892"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 </w:t>
            </w:r>
          </w:p>
        </w:tc>
      </w:tr>
      <w:tr w:rsidR="001864D3" w:rsidTr="001864D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rsidR="001864D3" w:rsidRDefault="001864D3">
            <w:pPr>
              <w:spacing w:line="240" w:lineRule="auto"/>
              <w:jc w:val="left"/>
              <w:rPr>
                <w:rFonts w:eastAsia="Times New Roman" w:cs="Arial"/>
                <w:color w:val="000000"/>
                <w:sz w:val="20"/>
                <w:szCs w:val="20"/>
                <w:lang w:eastAsia="pt-BR"/>
              </w:rPr>
            </w:pPr>
          </w:p>
        </w:tc>
        <w:tc>
          <w:tcPr>
            <w:tcW w:w="4060" w:type="dxa"/>
            <w:tcBorders>
              <w:top w:val="nil"/>
              <w:left w:val="nil"/>
              <w:bottom w:val="nil"/>
              <w:right w:val="single" w:sz="8" w:space="0" w:color="auto"/>
            </w:tcBorders>
            <w:noWrap/>
            <w:vAlign w:val="center"/>
            <w:hideMark/>
          </w:tcPr>
          <w:p w:rsidR="001864D3" w:rsidRDefault="001864D3">
            <w:pPr>
              <w:spacing w:line="240" w:lineRule="auto"/>
              <w:jc w:val="left"/>
              <w:rPr>
                <w:rFonts w:eastAsia="Times New Roman" w:cs="Arial"/>
                <w:color w:val="000000"/>
                <w:sz w:val="20"/>
                <w:szCs w:val="20"/>
                <w:lang w:eastAsia="pt-BR"/>
              </w:rPr>
            </w:pPr>
            <w:r>
              <w:rPr>
                <w:rFonts w:eastAsia="Times New Roman" w:cs="Arial"/>
                <w:color w:val="000000"/>
                <w:sz w:val="20"/>
                <w:szCs w:val="20"/>
                <w:lang w:eastAsia="pt-BR"/>
              </w:rPr>
              <w:t>Rotação de culturas</w:t>
            </w:r>
          </w:p>
        </w:tc>
        <w:tc>
          <w:tcPr>
            <w:tcW w:w="992"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791"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892"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 </w:t>
            </w:r>
          </w:p>
        </w:tc>
      </w:tr>
      <w:tr w:rsidR="001864D3" w:rsidTr="001864D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rsidR="001864D3" w:rsidRDefault="001864D3">
            <w:pPr>
              <w:spacing w:line="240" w:lineRule="auto"/>
              <w:jc w:val="left"/>
              <w:rPr>
                <w:rFonts w:eastAsia="Times New Roman" w:cs="Arial"/>
                <w:color w:val="000000"/>
                <w:sz w:val="20"/>
                <w:szCs w:val="20"/>
                <w:lang w:eastAsia="pt-BR"/>
              </w:rPr>
            </w:pPr>
          </w:p>
        </w:tc>
        <w:tc>
          <w:tcPr>
            <w:tcW w:w="4060" w:type="dxa"/>
            <w:tcBorders>
              <w:top w:val="nil"/>
              <w:left w:val="nil"/>
              <w:bottom w:val="nil"/>
              <w:right w:val="single" w:sz="8" w:space="0" w:color="auto"/>
            </w:tcBorders>
            <w:noWrap/>
            <w:vAlign w:val="center"/>
            <w:hideMark/>
          </w:tcPr>
          <w:p w:rsidR="001864D3" w:rsidRDefault="001864D3">
            <w:pPr>
              <w:spacing w:line="240" w:lineRule="auto"/>
              <w:jc w:val="left"/>
              <w:rPr>
                <w:rFonts w:eastAsia="Times New Roman" w:cs="Arial"/>
                <w:color w:val="000000"/>
                <w:sz w:val="20"/>
                <w:szCs w:val="20"/>
                <w:lang w:eastAsia="pt-BR"/>
              </w:rPr>
            </w:pPr>
            <w:r>
              <w:rPr>
                <w:rFonts w:eastAsia="Times New Roman" w:cs="Arial"/>
                <w:color w:val="000000"/>
                <w:sz w:val="20"/>
                <w:szCs w:val="20"/>
                <w:lang w:eastAsia="pt-BR"/>
              </w:rPr>
              <w:t>Calagem</w:t>
            </w:r>
          </w:p>
        </w:tc>
        <w:tc>
          <w:tcPr>
            <w:tcW w:w="992" w:type="dxa"/>
            <w:noWrap/>
            <w:vAlign w:val="center"/>
            <w:hideMark/>
          </w:tcPr>
          <w:p w:rsidR="001864D3" w:rsidRDefault="001864D3">
            <w:pPr>
              <w:spacing w:line="276" w:lineRule="auto"/>
              <w:jc w:val="left"/>
              <w:rPr>
                <w:rFonts w:asciiTheme="minorHAnsi" w:eastAsiaTheme="minorHAnsi" w:hAnsiTheme="minorHAnsi"/>
                <w:sz w:val="22"/>
              </w:rPr>
            </w:pPr>
          </w:p>
        </w:tc>
        <w:tc>
          <w:tcPr>
            <w:tcW w:w="791" w:type="dxa"/>
            <w:noWrap/>
            <w:vAlign w:val="center"/>
            <w:hideMark/>
          </w:tcPr>
          <w:p w:rsidR="001864D3" w:rsidRDefault="001864D3">
            <w:pPr>
              <w:spacing w:line="276" w:lineRule="auto"/>
              <w:jc w:val="left"/>
              <w:rPr>
                <w:rFonts w:asciiTheme="minorHAnsi" w:eastAsiaTheme="minorHAnsi" w:hAnsiTheme="minorHAnsi"/>
                <w:sz w:val="22"/>
              </w:rPr>
            </w:pPr>
          </w:p>
        </w:tc>
        <w:tc>
          <w:tcPr>
            <w:tcW w:w="892"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 </w:t>
            </w:r>
          </w:p>
        </w:tc>
      </w:tr>
      <w:tr w:rsidR="001864D3" w:rsidTr="001864D3">
        <w:trPr>
          <w:trHeight w:val="315"/>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rsidR="001864D3" w:rsidRDefault="001864D3">
            <w:pPr>
              <w:spacing w:line="240" w:lineRule="auto"/>
              <w:jc w:val="left"/>
              <w:rPr>
                <w:rFonts w:eastAsia="Times New Roman" w:cs="Arial"/>
                <w:color w:val="000000"/>
                <w:sz w:val="20"/>
                <w:szCs w:val="20"/>
                <w:lang w:eastAsia="pt-BR"/>
              </w:rPr>
            </w:pPr>
          </w:p>
        </w:tc>
        <w:tc>
          <w:tcPr>
            <w:tcW w:w="4060" w:type="dxa"/>
            <w:tcBorders>
              <w:top w:val="nil"/>
              <w:left w:val="nil"/>
              <w:bottom w:val="single" w:sz="8" w:space="0" w:color="auto"/>
              <w:right w:val="single" w:sz="8" w:space="0" w:color="auto"/>
            </w:tcBorders>
            <w:noWrap/>
            <w:vAlign w:val="center"/>
            <w:hideMark/>
          </w:tcPr>
          <w:p w:rsidR="001864D3" w:rsidRDefault="001864D3">
            <w:pPr>
              <w:spacing w:line="240" w:lineRule="auto"/>
              <w:jc w:val="left"/>
              <w:rPr>
                <w:rFonts w:eastAsia="Times New Roman" w:cs="Arial"/>
                <w:color w:val="000000"/>
                <w:sz w:val="20"/>
                <w:szCs w:val="20"/>
                <w:lang w:eastAsia="pt-BR"/>
              </w:rPr>
            </w:pPr>
            <w:r>
              <w:rPr>
                <w:rFonts w:eastAsia="Times New Roman" w:cs="Arial"/>
                <w:color w:val="000000"/>
                <w:sz w:val="20"/>
                <w:szCs w:val="20"/>
                <w:lang w:eastAsia="pt-BR"/>
              </w:rPr>
              <w:t>Plantio em contorno</w:t>
            </w:r>
          </w:p>
        </w:tc>
        <w:tc>
          <w:tcPr>
            <w:tcW w:w="992" w:type="dxa"/>
            <w:tcBorders>
              <w:top w:val="nil"/>
              <w:left w:val="nil"/>
              <w:bottom w:val="single" w:sz="8" w:space="0" w:color="auto"/>
              <w:right w:val="nil"/>
            </w:tcBorders>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791" w:type="dxa"/>
            <w:tcBorders>
              <w:top w:val="nil"/>
              <w:left w:val="nil"/>
              <w:bottom w:val="single" w:sz="8" w:space="0" w:color="auto"/>
              <w:right w:val="nil"/>
            </w:tcBorders>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892" w:type="dxa"/>
            <w:tcBorders>
              <w:top w:val="nil"/>
              <w:left w:val="nil"/>
              <w:bottom w:val="single" w:sz="8" w:space="0" w:color="auto"/>
              <w:right w:val="nil"/>
            </w:tcBorders>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1225" w:type="dxa"/>
            <w:tcBorders>
              <w:top w:val="nil"/>
              <w:left w:val="nil"/>
              <w:bottom w:val="single" w:sz="8" w:space="0" w:color="auto"/>
              <w:right w:val="single" w:sz="8" w:space="0" w:color="auto"/>
            </w:tcBorders>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r>
      <w:tr w:rsidR="001864D3" w:rsidTr="001864D3">
        <w:trPr>
          <w:trHeight w:val="300"/>
          <w:jc w:val="center"/>
        </w:trPr>
        <w:tc>
          <w:tcPr>
            <w:tcW w:w="680" w:type="dxa"/>
            <w:gridSpan w:val="2"/>
            <w:vMerge w:val="restart"/>
            <w:tcBorders>
              <w:top w:val="single" w:sz="8" w:space="0" w:color="auto"/>
              <w:left w:val="single" w:sz="8" w:space="0" w:color="auto"/>
              <w:bottom w:val="single" w:sz="8" w:space="0" w:color="000000"/>
              <w:right w:val="single" w:sz="8" w:space="0" w:color="000000"/>
            </w:tcBorders>
            <w:noWrap/>
            <w:textDirection w:val="btLr"/>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Mecânicas</w:t>
            </w:r>
          </w:p>
        </w:tc>
        <w:tc>
          <w:tcPr>
            <w:tcW w:w="4060" w:type="dxa"/>
            <w:tcBorders>
              <w:top w:val="nil"/>
              <w:left w:val="nil"/>
              <w:bottom w:val="nil"/>
              <w:right w:val="single" w:sz="8" w:space="0" w:color="auto"/>
            </w:tcBorders>
            <w:noWrap/>
            <w:vAlign w:val="center"/>
            <w:hideMark/>
          </w:tcPr>
          <w:p w:rsidR="001864D3" w:rsidRDefault="001864D3">
            <w:pPr>
              <w:spacing w:line="240" w:lineRule="auto"/>
              <w:jc w:val="left"/>
              <w:rPr>
                <w:rFonts w:eastAsia="Times New Roman" w:cs="Arial"/>
                <w:color w:val="000000"/>
                <w:sz w:val="20"/>
                <w:szCs w:val="20"/>
                <w:lang w:eastAsia="pt-BR"/>
              </w:rPr>
            </w:pPr>
            <w:r>
              <w:rPr>
                <w:rFonts w:eastAsia="Times New Roman" w:cs="Arial"/>
                <w:color w:val="000000"/>
                <w:sz w:val="20"/>
                <w:szCs w:val="20"/>
                <w:lang w:eastAsia="pt-BR"/>
              </w:rPr>
              <w:t>Terraceamento</w:t>
            </w:r>
          </w:p>
        </w:tc>
        <w:tc>
          <w:tcPr>
            <w:tcW w:w="992"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791"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892"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r>
      <w:tr w:rsidR="001864D3" w:rsidTr="001864D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rsidR="001864D3" w:rsidRDefault="001864D3">
            <w:pPr>
              <w:spacing w:line="240" w:lineRule="auto"/>
              <w:jc w:val="left"/>
              <w:rPr>
                <w:rFonts w:eastAsia="Times New Roman" w:cs="Arial"/>
                <w:color w:val="000000"/>
                <w:sz w:val="20"/>
                <w:szCs w:val="20"/>
                <w:lang w:eastAsia="pt-BR"/>
              </w:rPr>
            </w:pPr>
          </w:p>
        </w:tc>
        <w:tc>
          <w:tcPr>
            <w:tcW w:w="4060" w:type="dxa"/>
            <w:tcBorders>
              <w:top w:val="nil"/>
              <w:left w:val="nil"/>
              <w:bottom w:val="nil"/>
              <w:right w:val="single" w:sz="8" w:space="0" w:color="auto"/>
            </w:tcBorders>
            <w:noWrap/>
            <w:vAlign w:val="center"/>
            <w:hideMark/>
          </w:tcPr>
          <w:p w:rsidR="001864D3" w:rsidRDefault="001864D3">
            <w:pPr>
              <w:spacing w:line="240" w:lineRule="auto"/>
              <w:jc w:val="left"/>
              <w:rPr>
                <w:rFonts w:eastAsia="Times New Roman" w:cs="Arial"/>
                <w:color w:val="000000"/>
                <w:sz w:val="20"/>
                <w:szCs w:val="20"/>
                <w:lang w:eastAsia="pt-BR"/>
              </w:rPr>
            </w:pPr>
            <w:r>
              <w:rPr>
                <w:rFonts w:eastAsia="Times New Roman" w:cs="Arial"/>
                <w:color w:val="000000"/>
                <w:sz w:val="20"/>
                <w:szCs w:val="20"/>
                <w:lang w:eastAsia="pt-BR"/>
              </w:rPr>
              <w:t>Sulcos e camalhões em contorno</w:t>
            </w:r>
          </w:p>
        </w:tc>
        <w:tc>
          <w:tcPr>
            <w:tcW w:w="992"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791" w:type="dxa"/>
            <w:noWrap/>
            <w:vAlign w:val="center"/>
            <w:hideMark/>
          </w:tcPr>
          <w:p w:rsidR="001864D3" w:rsidRDefault="001864D3">
            <w:pPr>
              <w:spacing w:line="276" w:lineRule="auto"/>
              <w:jc w:val="left"/>
              <w:rPr>
                <w:rFonts w:asciiTheme="minorHAnsi" w:eastAsiaTheme="minorHAnsi" w:hAnsiTheme="minorHAnsi"/>
                <w:sz w:val="22"/>
              </w:rPr>
            </w:pPr>
          </w:p>
        </w:tc>
        <w:tc>
          <w:tcPr>
            <w:tcW w:w="892" w:type="dxa"/>
            <w:noWrap/>
            <w:vAlign w:val="center"/>
            <w:hideMark/>
          </w:tcPr>
          <w:p w:rsidR="001864D3" w:rsidRDefault="001864D3">
            <w:pPr>
              <w:spacing w:line="276" w:lineRule="auto"/>
              <w:jc w:val="left"/>
              <w:rPr>
                <w:rFonts w:asciiTheme="minorHAnsi" w:eastAsiaTheme="minorHAnsi" w:hAnsiTheme="minorHAnsi"/>
                <w:sz w:val="22"/>
              </w:rPr>
            </w:pP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 </w:t>
            </w:r>
          </w:p>
        </w:tc>
      </w:tr>
      <w:tr w:rsidR="001864D3" w:rsidTr="001864D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rsidR="001864D3" w:rsidRDefault="001864D3">
            <w:pPr>
              <w:spacing w:line="240" w:lineRule="auto"/>
              <w:jc w:val="left"/>
              <w:rPr>
                <w:rFonts w:eastAsia="Times New Roman" w:cs="Arial"/>
                <w:color w:val="000000"/>
                <w:sz w:val="20"/>
                <w:szCs w:val="20"/>
                <w:lang w:eastAsia="pt-BR"/>
              </w:rPr>
            </w:pPr>
          </w:p>
        </w:tc>
        <w:tc>
          <w:tcPr>
            <w:tcW w:w="4060" w:type="dxa"/>
            <w:tcBorders>
              <w:top w:val="nil"/>
              <w:left w:val="nil"/>
              <w:bottom w:val="nil"/>
              <w:right w:val="single" w:sz="8" w:space="0" w:color="auto"/>
            </w:tcBorders>
            <w:noWrap/>
            <w:vAlign w:val="center"/>
            <w:hideMark/>
          </w:tcPr>
          <w:p w:rsidR="001864D3" w:rsidRDefault="001864D3">
            <w:pPr>
              <w:spacing w:line="240" w:lineRule="auto"/>
              <w:jc w:val="left"/>
              <w:rPr>
                <w:rFonts w:eastAsia="Times New Roman" w:cs="Arial"/>
                <w:color w:val="000000"/>
                <w:sz w:val="20"/>
                <w:szCs w:val="20"/>
                <w:lang w:eastAsia="pt-BR"/>
              </w:rPr>
            </w:pPr>
            <w:r>
              <w:rPr>
                <w:rFonts w:eastAsia="Times New Roman" w:cs="Arial"/>
                <w:color w:val="000000"/>
                <w:sz w:val="20"/>
                <w:szCs w:val="20"/>
                <w:lang w:eastAsia="pt-BR"/>
              </w:rPr>
              <w:t>Canais escoadouros</w:t>
            </w:r>
          </w:p>
        </w:tc>
        <w:tc>
          <w:tcPr>
            <w:tcW w:w="992"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791"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892"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 </w:t>
            </w:r>
          </w:p>
        </w:tc>
      </w:tr>
      <w:tr w:rsidR="001864D3" w:rsidTr="001864D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rsidR="001864D3" w:rsidRDefault="001864D3">
            <w:pPr>
              <w:spacing w:line="240" w:lineRule="auto"/>
              <w:jc w:val="left"/>
              <w:rPr>
                <w:rFonts w:eastAsia="Times New Roman" w:cs="Arial"/>
                <w:color w:val="000000"/>
                <w:sz w:val="20"/>
                <w:szCs w:val="20"/>
                <w:lang w:eastAsia="pt-BR"/>
              </w:rPr>
            </w:pPr>
          </w:p>
        </w:tc>
        <w:tc>
          <w:tcPr>
            <w:tcW w:w="4060" w:type="dxa"/>
            <w:tcBorders>
              <w:top w:val="nil"/>
              <w:left w:val="nil"/>
              <w:bottom w:val="nil"/>
              <w:right w:val="single" w:sz="8" w:space="0" w:color="auto"/>
            </w:tcBorders>
            <w:noWrap/>
            <w:vAlign w:val="center"/>
            <w:hideMark/>
          </w:tcPr>
          <w:p w:rsidR="001864D3" w:rsidRDefault="001864D3">
            <w:pPr>
              <w:spacing w:line="240" w:lineRule="auto"/>
              <w:jc w:val="left"/>
              <w:rPr>
                <w:rFonts w:eastAsia="Times New Roman" w:cs="Arial"/>
                <w:color w:val="000000"/>
                <w:sz w:val="20"/>
                <w:szCs w:val="20"/>
                <w:lang w:eastAsia="pt-BR"/>
              </w:rPr>
            </w:pPr>
            <w:r>
              <w:rPr>
                <w:rFonts w:eastAsia="Times New Roman" w:cs="Arial"/>
                <w:color w:val="000000"/>
                <w:sz w:val="20"/>
                <w:szCs w:val="20"/>
                <w:lang w:eastAsia="pt-BR"/>
              </w:rPr>
              <w:t>Barragens</w:t>
            </w:r>
          </w:p>
        </w:tc>
        <w:tc>
          <w:tcPr>
            <w:tcW w:w="992"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791"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892"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 </w:t>
            </w:r>
          </w:p>
        </w:tc>
      </w:tr>
      <w:tr w:rsidR="001864D3" w:rsidTr="001864D3">
        <w:trPr>
          <w:trHeight w:val="51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rsidR="001864D3" w:rsidRDefault="001864D3">
            <w:pPr>
              <w:spacing w:line="240" w:lineRule="auto"/>
              <w:jc w:val="left"/>
              <w:rPr>
                <w:rFonts w:eastAsia="Times New Roman" w:cs="Arial"/>
                <w:color w:val="000000"/>
                <w:sz w:val="20"/>
                <w:szCs w:val="20"/>
                <w:lang w:eastAsia="pt-BR"/>
              </w:rPr>
            </w:pPr>
          </w:p>
        </w:tc>
        <w:tc>
          <w:tcPr>
            <w:tcW w:w="4060" w:type="dxa"/>
            <w:tcBorders>
              <w:top w:val="nil"/>
              <w:left w:val="nil"/>
              <w:bottom w:val="nil"/>
              <w:right w:val="single" w:sz="8" w:space="0" w:color="auto"/>
            </w:tcBorders>
            <w:vAlign w:val="center"/>
            <w:hideMark/>
          </w:tcPr>
          <w:p w:rsidR="001864D3" w:rsidRDefault="001864D3">
            <w:pPr>
              <w:spacing w:line="240" w:lineRule="auto"/>
              <w:jc w:val="left"/>
              <w:rPr>
                <w:rFonts w:eastAsia="Times New Roman" w:cs="Arial"/>
                <w:color w:val="000000"/>
                <w:sz w:val="20"/>
                <w:szCs w:val="20"/>
                <w:lang w:eastAsia="pt-BR"/>
              </w:rPr>
            </w:pPr>
            <w:r>
              <w:rPr>
                <w:rFonts w:eastAsia="Times New Roman" w:cs="Arial"/>
                <w:color w:val="000000"/>
                <w:sz w:val="20"/>
                <w:szCs w:val="20"/>
                <w:lang w:eastAsia="pt-BR"/>
              </w:rPr>
              <w:t>Adequação e conservação de estradas vicinais e carreadores</w:t>
            </w:r>
          </w:p>
        </w:tc>
        <w:tc>
          <w:tcPr>
            <w:tcW w:w="992"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791"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892"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 </w:t>
            </w:r>
          </w:p>
        </w:tc>
      </w:tr>
      <w:tr w:rsidR="001864D3" w:rsidTr="001864D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rsidR="001864D3" w:rsidRDefault="001864D3">
            <w:pPr>
              <w:spacing w:line="240" w:lineRule="auto"/>
              <w:jc w:val="left"/>
              <w:rPr>
                <w:rFonts w:eastAsia="Times New Roman" w:cs="Arial"/>
                <w:color w:val="000000"/>
                <w:sz w:val="20"/>
                <w:szCs w:val="20"/>
                <w:lang w:eastAsia="pt-BR"/>
              </w:rPr>
            </w:pPr>
          </w:p>
        </w:tc>
        <w:tc>
          <w:tcPr>
            <w:tcW w:w="4060" w:type="dxa"/>
            <w:tcBorders>
              <w:top w:val="nil"/>
              <w:left w:val="nil"/>
              <w:bottom w:val="nil"/>
              <w:right w:val="single" w:sz="8" w:space="0" w:color="auto"/>
            </w:tcBorders>
            <w:noWrap/>
            <w:vAlign w:val="center"/>
            <w:hideMark/>
          </w:tcPr>
          <w:p w:rsidR="001864D3" w:rsidRDefault="001864D3">
            <w:pPr>
              <w:spacing w:line="240" w:lineRule="auto"/>
              <w:jc w:val="left"/>
              <w:rPr>
                <w:rFonts w:eastAsia="Times New Roman" w:cs="Arial"/>
                <w:color w:val="000000"/>
                <w:sz w:val="20"/>
                <w:szCs w:val="20"/>
                <w:lang w:eastAsia="pt-BR"/>
              </w:rPr>
            </w:pPr>
            <w:r>
              <w:rPr>
                <w:rFonts w:eastAsia="Times New Roman" w:cs="Arial"/>
                <w:color w:val="000000"/>
                <w:sz w:val="20"/>
                <w:szCs w:val="20"/>
                <w:lang w:eastAsia="pt-BR"/>
              </w:rPr>
              <w:t>Caixas de infiltração</w:t>
            </w:r>
          </w:p>
        </w:tc>
        <w:tc>
          <w:tcPr>
            <w:tcW w:w="992"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791"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892"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 </w:t>
            </w:r>
          </w:p>
        </w:tc>
      </w:tr>
      <w:tr w:rsidR="001864D3" w:rsidTr="001864D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rsidR="001864D3" w:rsidRDefault="001864D3">
            <w:pPr>
              <w:spacing w:line="240" w:lineRule="auto"/>
              <w:jc w:val="left"/>
              <w:rPr>
                <w:rFonts w:eastAsia="Times New Roman" w:cs="Arial"/>
                <w:color w:val="000000"/>
                <w:sz w:val="20"/>
                <w:szCs w:val="20"/>
                <w:lang w:eastAsia="pt-BR"/>
              </w:rPr>
            </w:pPr>
          </w:p>
        </w:tc>
        <w:tc>
          <w:tcPr>
            <w:tcW w:w="4060" w:type="dxa"/>
            <w:tcBorders>
              <w:top w:val="nil"/>
              <w:left w:val="nil"/>
              <w:bottom w:val="nil"/>
              <w:right w:val="single" w:sz="8" w:space="0" w:color="auto"/>
            </w:tcBorders>
            <w:noWrap/>
            <w:vAlign w:val="center"/>
            <w:hideMark/>
          </w:tcPr>
          <w:p w:rsidR="001864D3" w:rsidRDefault="001864D3">
            <w:pPr>
              <w:spacing w:line="240" w:lineRule="auto"/>
              <w:jc w:val="left"/>
              <w:rPr>
                <w:rFonts w:eastAsia="Times New Roman" w:cs="Arial"/>
                <w:color w:val="000000"/>
                <w:sz w:val="20"/>
                <w:szCs w:val="20"/>
                <w:lang w:eastAsia="pt-BR"/>
              </w:rPr>
            </w:pPr>
            <w:r>
              <w:rPr>
                <w:rFonts w:eastAsia="Times New Roman" w:cs="Arial"/>
                <w:color w:val="000000"/>
                <w:sz w:val="20"/>
                <w:szCs w:val="20"/>
                <w:lang w:eastAsia="pt-BR"/>
              </w:rPr>
              <w:t>Aterramento</w:t>
            </w:r>
          </w:p>
        </w:tc>
        <w:tc>
          <w:tcPr>
            <w:tcW w:w="992" w:type="dxa"/>
            <w:noWrap/>
            <w:vAlign w:val="center"/>
            <w:hideMark/>
          </w:tcPr>
          <w:p w:rsidR="001864D3" w:rsidRDefault="001864D3">
            <w:pPr>
              <w:spacing w:line="276" w:lineRule="auto"/>
              <w:jc w:val="left"/>
              <w:rPr>
                <w:rFonts w:asciiTheme="minorHAnsi" w:eastAsiaTheme="minorHAnsi" w:hAnsiTheme="minorHAnsi"/>
                <w:sz w:val="22"/>
              </w:rPr>
            </w:pPr>
          </w:p>
        </w:tc>
        <w:tc>
          <w:tcPr>
            <w:tcW w:w="791"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892"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r>
      <w:tr w:rsidR="001864D3" w:rsidTr="001864D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rsidR="001864D3" w:rsidRDefault="001864D3">
            <w:pPr>
              <w:spacing w:line="240" w:lineRule="auto"/>
              <w:jc w:val="left"/>
              <w:rPr>
                <w:rFonts w:eastAsia="Times New Roman" w:cs="Arial"/>
                <w:color w:val="000000"/>
                <w:sz w:val="20"/>
                <w:szCs w:val="20"/>
                <w:lang w:eastAsia="pt-BR"/>
              </w:rPr>
            </w:pPr>
          </w:p>
        </w:tc>
        <w:tc>
          <w:tcPr>
            <w:tcW w:w="4060" w:type="dxa"/>
            <w:tcBorders>
              <w:top w:val="nil"/>
              <w:left w:val="nil"/>
              <w:bottom w:val="nil"/>
              <w:right w:val="single" w:sz="8" w:space="0" w:color="auto"/>
            </w:tcBorders>
            <w:noWrap/>
            <w:vAlign w:val="center"/>
            <w:hideMark/>
          </w:tcPr>
          <w:p w:rsidR="001864D3" w:rsidRDefault="001864D3">
            <w:pPr>
              <w:spacing w:line="240" w:lineRule="auto"/>
              <w:jc w:val="left"/>
              <w:rPr>
                <w:rFonts w:eastAsia="Times New Roman" w:cs="Arial"/>
                <w:color w:val="000000"/>
                <w:sz w:val="20"/>
                <w:szCs w:val="20"/>
                <w:lang w:eastAsia="pt-BR"/>
              </w:rPr>
            </w:pPr>
            <w:r>
              <w:rPr>
                <w:rFonts w:eastAsia="Times New Roman" w:cs="Arial"/>
                <w:color w:val="000000"/>
                <w:sz w:val="20"/>
                <w:szCs w:val="20"/>
                <w:lang w:eastAsia="pt-BR"/>
              </w:rPr>
              <w:t>Rip Rap</w:t>
            </w:r>
          </w:p>
        </w:tc>
        <w:tc>
          <w:tcPr>
            <w:tcW w:w="992"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791"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892"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r>
      <w:tr w:rsidR="001864D3" w:rsidTr="001864D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rsidR="001864D3" w:rsidRDefault="001864D3">
            <w:pPr>
              <w:spacing w:line="240" w:lineRule="auto"/>
              <w:jc w:val="left"/>
              <w:rPr>
                <w:rFonts w:eastAsia="Times New Roman" w:cs="Arial"/>
                <w:color w:val="000000"/>
                <w:sz w:val="20"/>
                <w:szCs w:val="20"/>
                <w:lang w:eastAsia="pt-BR"/>
              </w:rPr>
            </w:pPr>
          </w:p>
        </w:tc>
        <w:tc>
          <w:tcPr>
            <w:tcW w:w="4060" w:type="dxa"/>
            <w:tcBorders>
              <w:top w:val="nil"/>
              <w:left w:val="nil"/>
              <w:bottom w:val="nil"/>
              <w:right w:val="single" w:sz="8" w:space="0" w:color="auto"/>
            </w:tcBorders>
            <w:noWrap/>
            <w:vAlign w:val="center"/>
            <w:hideMark/>
          </w:tcPr>
          <w:p w:rsidR="001864D3" w:rsidRDefault="001864D3">
            <w:pPr>
              <w:spacing w:line="240" w:lineRule="auto"/>
              <w:jc w:val="left"/>
              <w:rPr>
                <w:rFonts w:eastAsia="Times New Roman" w:cs="Arial"/>
                <w:color w:val="000000"/>
                <w:sz w:val="20"/>
                <w:szCs w:val="20"/>
                <w:lang w:eastAsia="pt-BR"/>
              </w:rPr>
            </w:pPr>
            <w:r>
              <w:rPr>
                <w:rFonts w:eastAsia="Times New Roman" w:cs="Arial"/>
                <w:color w:val="000000"/>
                <w:sz w:val="20"/>
                <w:szCs w:val="20"/>
                <w:lang w:eastAsia="pt-BR"/>
              </w:rPr>
              <w:t>Cordões de nível</w:t>
            </w:r>
          </w:p>
        </w:tc>
        <w:tc>
          <w:tcPr>
            <w:tcW w:w="992"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791"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892"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r>
      <w:tr w:rsidR="001864D3" w:rsidTr="001864D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rsidR="001864D3" w:rsidRDefault="001864D3">
            <w:pPr>
              <w:spacing w:line="240" w:lineRule="auto"/>
              <w:jc w:val="left"/>
              <w:rPr>
                <w:rFonts w:eastAsia="Times New Roman" w:cs="Arial"/>
                <w:color w:val="000000"/>
                <w:sz w:val="20"/>
                <w:szCs w:val="20"/>
                <w:lang w:eastAsia="pt-BR"/>
              </w:rPr>
            </w:pPr>
          </w:p>
        </w:tc>
        <w:tc>
          <w:tcPr>
            <w:tcW w:w="4060" w:type="dxa"/>
            <w:tcBorders>
              <w:top w:val="nil"/>
              <w:left w:val="nil"/>
              <w:bottom w:val="nil"/>
              <w:right w:val="single" w:sz="8" w:space="0" w:color="auto"/>
            </w:tcBorders>
            <w:noWrap/>
            <w:vAlign w:val="center"/>
            <w:hideMark/>
          </w:tcPr>
          <w:p w:rsidR="001864D3" w:rsidRDefault="001864D3">
            <w:pPr>
              <w:spacing w:line="240" w:lineRule="auto"/>
              <w:jc w:val="left"/>
              <w:rPr>
                <w:rFonts w:eastAsia="Times New Roman" w:cs="Arial"/>
                <w:color w:val="000000"/>
                <w:sz w:val="20"/>
                <w:szCs w:val="20"/>
                <w:lang w:eastAsia="pt-BR"/>
              </w:rPr>
            </w:pPr>
            <w:r>
              <w:rPr>
                <w:rFonts w:eastAsia="Times New Roman" w:cs="Arial"/>
                <w:color w:val="000000"/>
                <w:sz w:val="20"/>
                <w:szCs w:val="20"/>
                <w:lang w:eastAsia="pt-BR"/>
              </w:rPr>
              <w:t>Aterramento com resíduo</w:t>
            </w:r>
          </w:p>
        </w:tc>
        <w:tc>
          <w:tcPr>
            <w:tcW w:w="992" w:type="dxa"/>
            <w:noWrap/>
            <w:vAlign w:val="center"/>
            <w:hideMark/>
          </w:tcPr>
          <w:p w:rsidR="001864D3" w:rsidRDefault="001864D3">
            <w:pPr>
              <w:spacing w:line="276" w:lineRule="auto"/>
              <w:jc w:val="left"/>
              <w:rPr>
                <w:rFonts w:asciiTheme="minorHAnsi" w:eastAsiaTheme="minorHAnsi" w:hAnsiTheme="minorHAnsi"/>
                <w:sz w:val="22"/>
              </w:rPr>
            </w:pPr>
          </w:p>
        </w:tc>
        <w:tc>
          <w:tcPr>
            <w:tcW w:w="791"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892"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r>
      <w:tr w:rsidR="001864D3" w:rsidTr="001864D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rsidR="001864D3" w:rsidRDefault="001864D3">
            <w:pPr>
              <w:spacing w:line="240" w:lineRule="auto"/>
              <w:jc w:val="left"/>
              <w:rPr>
                <w:rFonts w:eastAsia="Times New Roman" w:cs="Arial"/>
                <w:color w:val="000000"/>
                <w:sz w:val="20"/>
                <w:szCs w:val="20"/>
                <w:lang w:eastAsia="pt-BR"/>
              </w:rPr>
            </w:pPr>
          </w:p>
        </w:tc>
        <w:tc>
          <w:tcPr>
            <w:tcW w:w="4060" w:type="dxa"/>
            <w:tcBorders>
              <w:top w:val="nil"/>
              <w:left w:val="nil"/>
              <w:bottom w:val="nil"/>
              <w:right w:val="single" w:sz="8" w:space="0" w:color="auto"/>
            </w:tcBorders>
            <w:noWrap/>
            <w:vAlign w:val="center"/>
            <w:hideMark/>
          </w:tcPr>
          <w:p w:rsidR="001864D3" w:rsidRDefault="001864D3">
            <w:pPr>
              <w:spacing w:line="240" w:lineRule="auto"/>
              <w:jc w:val="left"/>
              <w:rPr>
                <w:rFonts w:eastAsia="Times New Roman" w:cs="Arial"/>
                <w:color w:val="000000"/>
                <w:sz w:val="20"/>
                <w:szCs w:val="20"/>
                <w:lang w:eastAsia="pt-BR"/>
              </w:rPr>
            </w:pPr>
            <w:r>
              <w:rPr>
                <w:rFonts w:eastAsia="Times New Roman" w:cs="Arial"/>
                <w:color w:val="000000"/>
                <w:sz w:val="20"/>
                <w:szCs w:val="20"/>
                <w:lang w:eastAsia="pt-BR"/>
              </w:rPr>
              <w:t>Retaludamento</w:t>
            </w:r>
          </w:p>
        </w:tc>
        <w:tc>
          <w:tcPr>
            <w:tcW w:w="992"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791"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892"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r>
      <w:tr w:rsidR="001864D3" w:rsidTr="001864D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rsidR="001864D3" w:rsidRDefault="001864D3">
            <w:pPr>
              <w:spacing w:line="240" w:lineRule="auto"/>
              <w:jc w:val="left"/>
              <w:rPr>
                <w:rFonts w:eastAsia="Times New Roman" w:cs="Arial"/>
                <w:color w:val="000000"/>
                <w:sz w:val="20"/>
                <w:szCs w:val="20"/>
                <w:lang w:eastAsia="pt-BR"/>
              </w:rPr>
            </w:pPr>
          </w:p>
        </w:tc>
        <w:tc>
          <w:tcPr>
            <w:tcW w:w="4060" w:type="dxa"/>
            <w:tcBorders>
              <w:top w:val="nil"/>
              <w:left w:val="nil"/>
              <w:bottom w:val="nil"/>
              <w:right w:val="single" w:sz="8" w:space="0" w:color="auto"/>
            </w:tcBorders>
            <w:noWrap/>
            <w:vAlign w:val="center"/>
            <w:hideMark/>
          </w:tcPr>
          <w:p w:rsidR="001864D3" w:rsidRDefault="001864D3">
            <w:pPr>
              <w:spacing w:line="240" w:lineRule="auto"/>
              <w:jc w:val="left"/>
              <w:rPr>
                <w:rFonts w:eastAsia="Times New Roman" w:cs="Arial"/>
                <w:color w:val="000000"/>
                <w:sz w:val="20"/>
                <w:szCs w:val="20"/>
                <w:lang w:eastAsia="pt-BR"/>
              </w:rPr>
            </w:pPr>
            <w:r>
              <w:rPr>
                <w:rFonts w:eastAsia="Times New Roman" w:cs="Arial"/>
                <w:color w:val="000000"/>
                <w:sz w:val="20"/>
                <w:szCs w:val="20"/>
                <w:lang w:eastAsia="pt-BR"/>
              </w:rPr>
              <w:t>Bermas</w:t>
            </w:r>
          </w:p>
        </w:tc>
        <w:tc>
          <w:tcPr>
            <w:tcW w:w="992"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791"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892" w:type="dxa"/>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r>
      <w:tr w:rsidR="001864D3" w:rsidTr="001864D3">
        <w:trPr>
          <w:trHeight w:val="315"/>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rsidR="001864D3" w:rsidRDefault="001864D3">
            <w:pPr>
              <w:spacing w:line="240" w:lineRule="auto"/>
              <w:jc w:val="left"/>
              <w:rPr>
                <w:rFonts w:eastAsia="Times New Roman" w:cs="Arial"/>
                <w:color w:val="000000"/>
                <w:sz w:val="20"/>
                <w:szCs w:val="20"/>
                <w:lang w:eastAsia="pt-BR"/>
              </w:rPr>
            </w:pPr>
          </w:p>
        </w:tc>
        <w:tc>
          <w:tcPr>
            <w:tcW w:w="4060" w:type="dxa"/>
            <w:tcBorders>
              <w:top w:val="nil"/>
              <w:left w:val="nil"/>
              <w:bottom w:val="single" w:sz="8" w:space="0" w:color="auto"/>
              <w:right w:val="single" w:sz="8" w:space="0" w:color="auto"/>
            </w:tcBorders>
            <w:noWrap/>
            <w:vAlign w:val="center"/>
            <w:hideMark/>
          </w:tcPr>
          <w:p w:rsidR="001864D3" w:rsidRDefault="001864D3">
            <w:pPr>
              <w:spacing w:line="240" w:lineRule="auto"/>
              <w:jc w:val="left"/>
              <w:rPr>
                <w:rFonts w:eastAsia="Times New Roman" w:cs="Arial"/>
                <w:color w:val="000000"/>
                <w:sz w:val="20"/>
                <w:szCs w:val="20"/>
                <w:lang w:eastAsia="pt-BR"/>
              </w:rPr>
            </w:pPr>
            <w:r>
              <w:rPr>
                <w:rFonts w:eastAsia="Times New Roman" w:cs="Arial"/>
                <w:color w:val="000000"/>
                <w:sz w:val="20"/>
                <w:szCs w:val="20"/>
                <w:lang w:eastAsia="pt-BR"/>
              </w:rPr>
              <w:t>Barragem de sedimento</w:t>
            </w:r>
          </w:p>
        </w:tc>
        <w:tc>
          <w:tcPr>
            <w:tcW w:w="992" w:type="dxa"/>
            <w:tcBorders>
              <w:top w:val="nil"/>
              <w:left w:val="nil"/>
              <w:bottom w:val="single" w:sz="8" w:space="0" w:color="auto"/>
              <w:right w:val="nil"/>
            </w:tcBorders>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791" w:type="dxa"/>
            <w:tcBorders>
              <w:top w:val="nil"/>
              <w:left w:val="nil"/>
              <w:bottom w:val="single" w:sz="8" w:space="0" w:color="auto"/>
              <w:right w:val="nil"/>
            </w:tcBorders>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892" w:type="dxa"/>
            <w:tcBorders>
              <w:top w:val="nil"/>
              <w:left w:val="nil"/>
              <w:bottom w:val="single" w:sz="8" w:space="0" w:color="auto"/>
              <w:right w:val="nil"/>
            </w:tcBorders>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x</w:t>
            </w:r>
          </w:p>
        </w:tc>
        <w:tc>
          <w:tcPr>
            <w:tcW w:w="1225" w:type="dxa"/>
            <w:tcBorders>
              <w:top w:val="nil"/>
              <w:left w:val="nil"/>
              <w:bottom w:val="single" w:sz="8" w:space="0" w:color="auto"/>
              <w:right w:val="single" w:sz="8" w:space="0" w:color="auto"/>
            </w:tcBorders>
            <w:noWrap/>
            <w:vAlign w:val="center"/>
            <w:hideMark/>
          </w:tcPr>
          <w:p w:rsidR="001864D3" w:rsidRDefault="001864D3">
            <w:pPr>
              <w:spacing w:line="240" w:lineRule="auto"/>
              <w:jc w:val="center"/>
              <w:rPr>
                <w:rFonts w:eastAsia="Times New Roman" w:cs="Arial"/>
                <w:color w:val="000000"/>
                <w:sz w:val="20"/>
                <w:szCs w:val="20"/>
                <w:lang w:eastAsia="pt-BR"/>
              </w:rPr>
            </w:pPr>
            <w:r>
              <w:rPr>
                <w:rFonts w:eastAsia="Times New Roman" w:cs="Arial"/>
                <w:color w:val="000000"/>
                <w:sz w:val="20"/>
                <w:szCs w:val="20"/>
                <w:lang w:eastAsia="pt-BR"/>
              </w:rPr>
              <w:t> </w:t>
            </w:r>
          </w:p>
        </w:tc>
      </w:tr>
      <w:tr w:rsidR="001864D3" w:rsidTr="001864D3">
        <w:trPr>
          <w:cantSplit/>
          <w:trHeight w:val="300"/>
          <w:jc w:val="center"/>
        </w:trPr>
        <w:tc>
          <w:tcPr>
            <w:tcW w:w="340" w:type="dxa"/>
            <w:vMerge w:val="restart"/>
            <w:tcBorders>
              <w:top w:val="nil"/>
              <w:left w:val="single" w:sz="8" w:space="0" w:color="auto"/>
              <w:bottom w:val="single" w:sz="8" w:space="0" w:color="000000"/>
              <w:right w:val="single" w:sz="8" w:space="0" w:color="auto"/>
            </w:tcBorders>
            <w:noWrap/>
            <w:textDirection w:val="btLr"/>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Estruturais</w:t>
            </w:r>
          </w:p>
        </w:tc>
        <w:tc>
          <w:tcPr>
            <w:tcW w:w="340" w:type="dxa"/>
            <w:vMerge w:val="restart"/>
            <w:tcBorders>
              <w:top w:val="nil"/>
              <w:left w:val="single" w:sz="8" w:space="0" w:color="auto"/>
              <w:bottom w:val="single" w:sz="8" w:space="0" w:color="000000"/>
              <w:right w:val="single" w:sz="8" w:space="0" w:color="auto"/>
            </w:tcBorders>
            <w:noWrap/>
            <w:textDirection w:val="btLr"/>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w:t>
            </w:r>
          </w:p>
        </w:tc>
        <w:tc>
          <w:tcPr>
            <w:tcW w:w="4060" w:type="dxa"/>
            <w:tcBorders>
              <w:top w:val="nil"/>
              <w:left w:val="nil"/>
              <w:bottom w:val="nil"/>
              <w:right w:val="single" w:sz="8" w:space="0" w:color="auto"/>
            </w:tcBorders>
            <w:noWrap/>
            <w:vAlign w:val="center"/>
            <w:hideMark/>
          </w:tcPr>
          <w:p w:rsidR="001864D3" w:rsidRDefault="001864D3">
            <w:pPr>
              <w:spacing w:line="240" w:lineRule="auto"/>
              <w:jc w:val="left"/>
              <w:rPr>
                <w:rFonts w:eastAsia="Times New Roman" w:cs="Arial"/>
                <w:color w:val="000000"/>
                <w:sz w:val="18"/>
                <w:szCs w:val="18"/>
                <w:lang w:eastAsia="pt-BR"/>
              </w:rPr>
            </w:pPr>
            <w:r>
              <w:rPr>
                <w:rFonts w:eastAsia="Times New Roman" w:cs="Arial"/>
                <w:color w:val="000000"/>
                <w:sz w:val="18"/>
                <w:szCs w:val="18"/>
                <w:lang w:eastAsia="pt-BR"/>
              </w:rPr>
              <w:t>Muro de contenção</w:t>
            </w:r>
          </w:p>
        </w:tc>
        <w:tc>
          <w:tcPr>
            <w:tcW w:w="992"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791"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892"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 </w:t>
            </w:r>
          </w:p>
        </w:tc>
      </w:tr>
      <w:tr w:rsidR="001864D3" w:rsidTr="001864D3">
        <w:trPr>
          <w:trHeight w:val="315"/>
          <w:jc w:val="center"/>
        </w:trPr>
        <w:tc>
          <w:tcPr>
            <w:tcW w:w="0" w:type="auto"/>
            <w:vMerge/>
            <w:tcBorders>
              <w:top w:val="nil"/>
              <w:left w:val="single" w:sz="8" w:space="0" w:color="auto"/>
              <w:bottom w:val="single" w:sz="8" w:space="0" w:color="000000"/>
              <w:right w:val="single" w:sz="8" w:space="0" w:color="auto"/>
            </w:tcBorders>
            <w:vAlign w:val="center"/>
            <w:hideMark/>
          </w:tcPr>
          <w:p w:rsidR="001864D3" w:rsidRDefault="001864D3">
            <w:pPr>
              <w:spacing w:line="240" w:lineRule="auto"/>
              <w:jc w:val="left"/>
              <w:rPr>
                <w:rFonts w:eastAsia="Times New Roman" w:cs="Arial"/>
                <w:color w:val="000000"/>
                <w:sz w:val="18"/>
                <w:szCs w:val="18"/>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864D3" w:rsidRDefault="001864D3">
            <w:pPr>
              <w:spacing w:line="240" w:lineRule="auto"/>
              <w:jc w:val="left"/>
              <w:rPr>
                <w:rFonts w:eastAsia="Times New Roman" w:cs="Arial"/>
                <w:color w:val="000000"/>
                <w:sz w:val="18"/>
                <w:szCs w:val="18"/>
                <w:lang w:eastAsia="pt-BR"/>
              </w:rPr>
            </w:pPr>
          </w:p>
        </w:tc>
        <w:tc>
          <w:tcPr>
            <w:tcW w:w="4060" w:type="dxa"/>
            <w:tcBorders>
              <w:top w:val="nil"/>
              <w:left w:val="nil"/>
              <w:bottom w:val="single" w:sz="8" w:space="0" w:color="auto"/>
              <w:right w:val="single" w:sz="8" w:space="0" w:color="auto"/>
            </w:tcBorders>
            <w:noWrap/>
            <w:vAlign w:val="center"/>
            <w:hideMark/>
          </w:tcPr>
          <w:p w:rsidR="001864D3" w:rsidRDefault="001864D3">
            <w:pPr>
              <w:spacing w:line="240" w:lineRule="auto"/>
              <w:jc w:val="left"/>
              <w:rPr>
                <w:rFonts w:eastAsia="Times New Roman" w:cs="Arial"/>
                <w:color w:val="000000"/>
                <w:sz w:val="18"/>
                <w:szCs w:val="18"/>
                <w:lang w:eastAsia="pt-BR"/>
              </w:rPr>
            </w:pPr>
            <w:r>
              <w:rPr>
                <w:rFonts w:eastAsia="Times New Roman" w:cs="Arial"/>
                <w:color w:val="000000"/>
                <w:sz w:val="18"/>
                <w:szCs w:val="18"/>
                <w:lang w:eastAsia="pt-BR"/>
              </w:rPr>
              <w:t>Dique de proteção</w:t>
            </w:r>
          </w:p>
        </w:tc>
        <w:tc>
          <w:tcPr>
            <w:tcW w:w="992" w:type="dxa"/>
            <w:tcBorders>
              <w:top w:val="nil"/>
              <w:left w:val="nil"/>
              <w:bottom w:val="single" w:sz="8" w:space="0" w:color="auto"/>
              <w:right w:val="nil"/>
            </w:tcBorders>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791" w:type="dxa"/>
            <w:tcBorders>
              <w:top w:val="nil"/>
              <w:left w:val="nil"/>
              <w:bottom w:val="single" w:sz="8" w:space="0" w:color="auto"/>
              <w:right w:val="nil"/>
            </w:tcBorders>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892" w:type="dxa"/>
            <w:tcBorders>
              <w:top w:val="nil"/>
              <w:left w:val="nil"/>
              <w:bottom w:val="single" w:sz="8" w:space="0" w:color="auto"/>
              <w:right w:val="nil"/>
            </w:tcBorders>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1225" w:type="dxa"/>
            <w:tcBorders>
              <w:top w:val="nil"/>
              <w:left w:val="nil"/>
              <w:bottom w:val="single" w:sz="8" w:space="0" w:color="auto"/>
              <w:right w:val="single" w:sz="8" w:space="0" w:color="auto"/>
            </w:tcBorders>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 </w:t>
            </w:r>
          </w:p>
        </w:tc>
      </w:tr>
      <w:tr w:rsidR="001864D3" w:rsidTr="001864D3">
        <w:trPr>
          <w:trHeight w:val="300"/>
          <w:jc w:val="center"/>
        </w:trPr>
        <w:tc>
          <w:tcPr>
            <w:tcW w:w="0" w:type="auto"/>
            <w:vMerge/>
            <w:tcBorders>
              <w:top w:val="nil"/>
              <w:left w:val="single" w:sz="8" w:space="0" w:color="auto"/>
              <w:bottom w:val="single" w:sz="8" w:space="0" w:color="000000"/>
              <w:right w:val="single" w:sz="8" w:space="0" w:color="auto"/>
            </w:tcBorders>
            <w:vAlign w:val="center"/>
            <w:hideMark/>
          </w:tcPr>
          <w:p w:rsidR="001864D3" w:rsidRDefault="001864D3">
            <w:pPr>
              <w:spacing w:line="240" w:lineRule="auto"/>
              <w:jc w:val="left"/>
              <w:rPr>
                <w:rFonts w:eastAsia="Times New Roman" w:cs="Arial"/>
                <w:color w:val="000000"/>
                <w:sz w:val="18"/>
                <w:szCs w:val="18"/>
                <w:lang w:eastAsia="pt-BR"/>
              </w:rPr>
            </w:pPr>
          </w:p>
        </w:tc>
        <w:tc>
          <w:tcPr>
            <w:tcW w:w="340" w:type="dxa"/>
            <w:vMerge w:val="restart"/>
            <w:tcBorders>
              <w:top w:val="nil"/>
              <w:left w:val="single" w:sz="8" w:space="0" w:color="auto"/>
              <w:bottom w:val="single" w:sz="8" w:space="0" w:color="000000"/>
              <w:right w:val="single" w:sz="8" w:space="0" w:color="auto"/>
            </w:tcBorders>
            <w:noWrap/>
            <w:textDirection w:val="btLr"/>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Microdrenagem</w:t>
            </w:r>
          </w:p>
        </w:tc>
        <w:tc>
          <w:tcPr>
            <w:tcW w:w="4060" w:type="dxa"/>
            <w:tcBorders>
              <w:top w:val="nil"/>
              <w:left w:val="nil"/>
              <w:bottom w:val="nil"/>
              <w:right w:val="single" w:sz="8" w:space="0" w:color="auto"/>
            </w:tcBorders>
            <w:noWrap/>
            <w:vAlign w:val="center"/>
            <w:hideMark/>
          </w:tcPr>
          <w:p w:rsidR="001864D3" w:rsidRDefault="001864D3">
            <w:pPr>
              <w:spacing w:line="240" w:lineRule="auto"/>
              <w:jc w:val="left"/>
              <w:rPr>
                <w:rFonts w:eastAsia="Times New Roman" w:cs="Arial"/>
                <w:color w:val="000000"/>
                <w:sz w:val="18"/>
                <w:szCs w:val="18"/>
                <w:lang w:eastAsia="pt-BR"/>
              </w:rPr>
            </w:pPr>
            <w:r>
              <w:rPr>
                <w:rFonts w:eastAsia="Times New Roman" w:cs="Arial"/>
                <w:color w:val="000000"/>
                <w:sz w:val="18"/>
                <w:szCs w:val="18"/>
                <w:lang w:eastAsia="pt-BR"/>
              </w:rPr>
              <w:t>Meios-fios/Guias</w:t>
            </w:r>
          </w:p>
        </w:tc>
        <w:tc>
          <w:tcPr>
            <w:tcW w:w="992"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791"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892"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r>
      <w:tr w:rsidR="001864D3" w:rsidTr="001864D3">
        <w:trPr>
          <w:trHeight w:val="300"/>
          <w:jc w:val="center"/>
        </w:trPr>
        <w:tc>
          <w:tcPr>
            <w:tcW w:w="0" w:type="auto"/>
            <w:vMerge/>
            <w:tcBorders>
              <w:top w:val="nil"/>
              <w:left w:val="single" w:sz="8" w:space="0" w:color="auto"/>
              <w:bottom w:val="single" w:sz="8" w:space="0" w:color="000000"/>
              <w:right w:val="single" w:sz="8" w:space="0" w:color="auto"/>
            </w:tcBorders>
            <w:vAlign w:val="center"/>
            <w:hideMark/>
          </w:tcPr>
          <w:p w:rsidR="001864D3" w:rsidRDefault="001864D3">
            <w:pPr>
              <w:spacing w:line="240" w:lineRule="auto"/>
              <w:jc w:val="left"/>
              <w:rPr>
                <w:rFonts w:eastAsia="Times New Roman" w:cs="Arial"/>
                <w:color w:val="000000"/>
                <w:sz w:val="18"/>
                <w:szCs w:val="18"/>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864D3" w:rsidRDefault="001864D3">
            <w:pPr>
              <w:spacing w:line="240" w:lineRule="auto"/>
              <w:jc w:val="left"/>
              <w:rPr>
                <w:rFonts w:eastAsia="Times New Roman" w:cs="Arial"/>
                <w:color w:val="000000"/>
                <w:sz w:val="18"/>
                <w:szCs w:val="18"/>
                <w:lang w:eastAsia="pt-BR"/>
              </w:rPr>
            </w:pPr>
          </w:p>
        </w:tc>
        <w:tc>
          <w:tcPr>
            <w:tcW w:w="4060" w:type="dxa"/>
            <w:tcBorders>
              <w:top w:val="nil"/>
              <w:left w:val="nil"/>
              <w:bottom w:val="nil"/>
              <w:right w:val="single" w:sz="8" w:space="0" w:color="auto"/>
            </w:tcBorders>
            <w:noWrap/>
            <w:vAlign w:val="center"/>
            <w:hideMark/>
          </w:tcPr>
          <w:p w:rsidR="001864D3" w:rsidRDefault="001864D3">
            <w:pPr>
              <w:spacing w:line="240" w:lineRule="auto"/>
              <w:jc w:val="left"/>
              <w:rPr>
                <w:rFonts w:eastAsia="Times New Roman" w:cs="Arial"/>
                <w:color w:val="000000"/>
                <w:sz w:val="18"/>
                <w:szCs w:val="18"/>
                <w:lang w:eastAsia="pt-BR"/>
              </w:rPr>
            </w:pPr>
            <w:r>
              <w:rPr>
                <w:rFonts w:eastAsia="Times New Roman" w:cs="Arial"/>
                <w:color w:val="000000"/>
                <w:sz w:val="18"/>
                <w:szCs w:val="18"/>
                <w:lang w:eastAsia="pt-BR"/>
              </w:rPr>
              <w:t>Sarjetas</w:t>
            </w:r>
          </w:p>
        </w:tc>
        <w:tc>
          <w:tcPr>
            <w:tcW w:w="992"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791"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892"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r>
      <w:tr w:rsidR="001864D3" w:rsidTr="001864D3">
        <w:trPr>
          <w:trHeight w:val="300"/>
          <w:jc w:val="center"/>
        </w:trPr>
        <w:tc>
          <w:tcPr>
            <w:tcW w:w="0" w:type="auto"/>
            <w:vMerge/>
            <w:tcBorders>
              <w:top w:val="nil"/>
              <w:left w:val="single" w:sz="8" w:space="0" w:color="auto"/>
              <w:bottom w:val="single" w:sz="8" w:space="0" w:color="000000"/>
              <w:right w:val="single" w:sz="8" w:space="0" w:color="auto"/>
            </w:tcBorders>
            <w:vAlign w:val="center"/>
            <w:hideMark/>
          </w:tcPr>
          <w:p w:rsidR="001864D3" w:rsidRDefault="001864D3">
            <w:pPr>
              <w:spacing w:line="240" w:lineRule="auto"/>
              <w:jc w:val="left"/>
              <w:rPr>
                <w:rFonts w:eastAsia="Times New Roman" w:cs="Arial"/>
                <w:color w:val="000000"/>
                <w:sz w:val="18"/>
                <w:szCs w:val="18"/>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864D3" w:rsidRDefault="001864D3">
            <w:pPr>
              <w:spacing w:line="240" w:lineRule="auto"/>
              <w:jc w:val="left"/>
              <w:rPr>
                <w:rFonts w:eastAsia="Times New Roman" w:cs="Arial"/>
                <w:color w:val="000000"/>
                <w:sz w:val="18"/>
                <w:szCs w:val="18"/>
                <w:lang w:eastAsia="pt-BR"/>
              </w:rPr>
            </w:pPr>
          </w:p>
        </w:tc>
        <w:tc>
          <w:tcPr>
            <w:tcW w:w="4060" w:type="dxa"/>
            <w:tcBorders>
              <w:top w:val="nil"/>
              <w:left w:val="nil"/>
              <w:bottom w:val="nil"/>
              <w:right w:val="single" w:sz="8" w:space="0" w:color="auto"/>
            </w:tcBorders>
            <w:noWrap/>
            <w:vAlign w:val="center"/>
            <w:hideMark/>
          </w:tcPr>
          <w:p w:rsidR="001864D3" w:rsidRDefault="001864D3">
            <w:pPr>
              <w:spacing w:line="240" w:lineRule="auto"/>
              <w:jc w:val="left"/>
              <w:rPr>
                <w:rFonts w:eastAsia="Times New Roman" w:cs="Arial"/>
                <w:color w:val="000000"/>
                <w:sz w:val="18"/>
                <w:szCs w:val="18"/>
                <w:lang w:eastAsia="pt-BR"/>
              </w:rPr>
            </w:pPr>
            <w:r>
              <w:rPr>
                <w:rFonts w:eastAsia="Times New Roman" w:cs="Arial"/>
                <w:color w:val="000000"/>
                <w:sz w:val="18"/>
                <w:szCs w:val="18"/>
                <w:lang w:eastAsia="pt-BR"/>
              </w:rPr>
              <w:t>Bocas de lobo/Bocas coletoras</w:t>
            </w:r>
          </w:p>
        </w:tc>
        <w:tc>
          <w:tcPr>
            <w:tcW w:w="992"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791"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892"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r>
      <w:tr w:rsidR="001864D3" w:rsidTr="001864D3">
        <w:trPr>
          <w:trHeight w:val="300"/>
          <w:jc w:val="center"/>
        </w:trPr>
        <w:tc>
          <w:tcPr>
            <w:tcW w:w="0" w:type="auto"/>
            <w:vMerge/>
            <w:tcBorders>
              <w:top w:val="nil"/>
              <w:left w:val="single" w:sz="8" w:space="0" w:color="auto"/>
              <w:bottom w:val="single" w:sz="8" w:space="0" w:color="000000"/>
              <w:right w:val="single" w:sz="8" w:space="0" w:color="auto"/>
            </w:tcBorders>
            <w:vAlign w:val="center"/>
            <w:hideMark/>
          </w:tcPr>
          <w:p w:rsidR="001864D3" w:rsidRDefault="001864D3">
            <w:pPr>
              <w:spacing w:line="240" w:lineRule="auto"/>
              <w:jc w:val="left"/>
              <w:rPr>
                <w:rFonts w:eastAsia="Times New Roman" w:cs="Arial"/>
                <w:color w:val="000000"/>
                <w:sz w:val="18"/>
                <w:szCs w:val="18"/>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864D3" w:rsidRDefault="001864D3">
            <w:pPr>
              <w:spacing w:line="240" w:lineRule="auto"/>
              <w:jc w:val="left"/>
              <w:rPr>
                <w:rFonts w:eastAsia="Times New Roman" w:cs="Arial"/>
                <w:color w:val="000000"/>
                <w:sz w:val="18"/>
                <w:szCs w:val="18"/>
                <w:lang w:eastAsia="pt-BR"/>
              </w:rPr>
            </w:pPr>
          </w:p>
        </w:tc>
        <w:tc>
          <w:tcPr>
            <w:tcW w:w="4060" w:type="dxa"/>
            <w:tcBorders>
              <w:top w:val="nil"/>
              <w:left w:val="nil"/>
              <w:bottom w:val="nil"/>
              <w:right w:val="single" w:sz="8" w:space="0" w:color="auto"/>
            </w:tcBorders>
            <w:noWrap/>
            <w:vAlign w:val="center"/>
            <w:hideMark/>
          </w:tcPr>
          <w:p w:rsidR="001864D3" w:rsidRDefault="001864D3">
            <w:pPr>
              <w:spacing w:line="240" w:lineRule="auto"/>
              <w:jc w:val="left"/>
              <w:rPr>
                <w:rFonts w:eastAsia="Times New Roman" w:cs="Arial"/>
                <w:color w:val="000000"/>
                <w:sz w:val="18"/>
                <w:szCs w:val="18"/>
                <w:lang w:eastAsia="pt-BR"/>
              </w:rPr>
            </w:pPr>
            <w:r>
              <w:rPr>
                <w:rFonts w:eastAsia="Times New Roman" w:cs="Arial"/>
                <w:color w:val="000000"/>
                <w:sz w:val="18"/>
                <w:szCs w:val="18"/>
                <w:lang w:eastAsia="pt-BR"/>
              </w:rPr>
              <w:t>Galerias</w:t>
            </w:r>
          </w:p>
        </w:tc>
        <w:tc>
          <w:tcPr>
            <w:tcW w:w="992"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791"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892"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r>
      <w:tr w:rsidR="001864D3" w:rsidTr="001864D3">
        <w:trPr>
          <w:trHeight w:val="300"/>
          <w:jc w:val="center"/>
        </w:trPr>
        <w:tc>
          <w:tcPr>
            <w:tcW w:w="0" w:type="auto"/>
            <w:vMerge/>
            <w:tcBorders>
              <w:top w:val="nil"/>
              <w:left w:val="single" w:sz="8" w:space="0" w:color="auto"/>
              <w:bottom w:val="single" w:sz="8" w:space="0" w:color="000000"/>
              <w:right w:val="single" w:sz="8" w:space="0" w:color="auto"/>
            </w:tcBorders>
            <w:vAlign w:val="center"/>
            <w:hideMark/>
          </w:tcPr>
          <w:p w:rsidR="001864D3" w:rsidRDefault="001864D3">
            <w:pPr>
              <w:spacing w:line="240" w:lineRule="auto"/>
              <w:jc w:val="left"/>
              <w:rPr>
                <w:rFonts w:eastAsia="Times New Roman" w:cs="Arial"/>
                <w:color w:val="000000"/>
                <w:sz w:val="18"/>
                <w:szCs w:val="18"/>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864D3" w:rsidRDefault="001864D3">
            <w:pPr>
              <w:spacing w:line="240" w:lineRule="auto"/>
              <w:jc w:val="left"/>
              <w:rPr>
                <w:rFonts w:eastAsia="Times New Roman" w:cs="Arial"/>
                <w:color w:val="000000"/>
                <w:sz w:val="18"/>
                <w:szCs w:val="18"/>
                <w:lang w:eastAsia="pt-BR"/>
              </w:rPr>
            </w:pPr>
          </w:p>
        </w:tc>
        <w:tc>
          <w:tcPr>
            <w:tcW w:w="4060" w:type="dxa"/>
            <w:tcBorders>
              <w:top w:val="nil"/>
              <w:left w:val="nil"/>
              <w:bottom w:val="nil"/>
              <w:right w:val="single" w:sz="8" w:space="0" w:color="auto"/>
            </w:tcBorders>
            <w:noWrap/>
            <w:vAlign w:val="center"/>
            <w:hideMark/>
          </w:tcPr>
          <w:p w:rsidR="001864D3" w:rsidRDefault="001864D3">
            <w:pPr>
              <w:spacing w:line="240" w:lineRule="auto"/>
              <w:jc w:val="left"/>
              <w:rPr>
                <w:rFonts w:eastAsia="Times New Roman" w:cs="Arial"/>
                <w:color w:val="000000"/>
                <w:sz w:val="18"/>
                <w:szCs w:val="18"/>
                <w:lang w:eastAsia="pt-BR"/>
              </w:rPr>
            </w:pPr>
            <w:r>
              <w:rPr>
                <w:rFonts w:eastAsia="Times New Roman" w:cs="Arial"/>
                <w:color w:val="000000"/>
                <w:sz w:val="18"/>
                <w:szCs w:val="18"/>
                <w:lang w:eastAsia="pt-BR"/>
              </w:rPr>
              <w:t>Poços de visita</w:t>
            </w:r>
          </w:p>
        </w:tc>
        <w:tc>
          <w:tcPr>
            <w:tcW w:w="992"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791"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892"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r>
      <w:tr w:rsidR="001864D3" w:rsidTr="001864D3">
        <w:trPr>
          <w:trHeight w:val="300"/>
          <w:jc w:val="center"/>
        </w:trPr>
        <w:tc>
          <w:tcPr>
            <w:tcW w:w="0" w:type="auto"/>
            <w:vMerge/>
            <w:tcBorders>
              <w:top w:val="nil"/>
              <w:left w:val="single" w:sz="8" w:space="0" w:color="auto"/>
              <w:bottom w:val="single" w:sz="8" w:space="0" w:color="000000"/>
              <w:right w:val="single" w:sz="8" w:space="0" w:color="auto"/>
            </w:tcBorders>
            <w:vAlign w:val="center"/>
            <w:hideMark/>
          </w:tcPr>
          <w:p w:rsidR="001864D3" w:rsidRDefault="001864D3">
            <w:pPr>
              <w:spacing w:line="240" w:lineRule="auto"/>
              <w:jc w:val="left"/>
              <w:rPr>
                <w:rFonts w:eastAsia="Times New Roman" w:cs="Arial"/>
                <w:color w:val="000000"/>
                <w:sz w:val="18"/>
                <w:szCs w:val="18"/>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864D3" w:rsidRDefault="001864D3">
            <w:pPr>
              <w:spacing w:line="240" w:lineRule="auto"/>
              <w:jc w:val="left"/>
              <w:rPr>
                <w:rFonts w:eastAsia="Times New Roman" w:cs="Arial"/>
                <w:color w:val="000000"/>
                <w:sz w:val="18"/>
                <w:szCs w:val="18"/>
                <w:lang w:eastAsia="pt-BR"/>
              </w:rPr>
            </w:pPr>
          </w:p>
        </w:tc>
        <w:tc>
          <w:tcPr>
            <w:tcW w:w="4060" w:type="dxa"/>
            <w:tcBorders>
              <w:top w:val="nil"/>
              <w:left w:val="nil"/>
              <w:bottom w:val="nil"/>
              <w:right w:val="single" w:sz="8" w:space="0" w:color="auto"/>
            </w:tcBorders>
            <w:noWrap/>
            <w:vAlign w:val="center"/>
            <w:hideMark/>
          </w:tcPr>
          <w:p w:rsidR="001864D3" w:rsidRDefault="001864D3">
            <w:pPr>
              <w:spacing w:line="240" w:lineRule="auto"/>
              <w:jc w:val="left"/>
              <w:rPr>
                <w:rFonts w:eastAsia="Times New Roman" w:cs="Arial"/>
                <w:color w:val="000000"/>
                <w:sz w:val="18"/>
                <w:szCs w:val="18"/>
                <w:lang w:eastAsia="pt-BR"/>
              </w:rPr>
            </w:pPr>
            <w:r>
              <w:rPr>
                <w:rFonts w:eastAsia="Times New Roman" w:cs="Arial"/>
                <w:color w:val="000000"/>
                <w:sz w:val="18"/>
                <w:szCs w:val="18"/>
                <w:lang w:eastAsia="pt-BR"/>
              </w:rPr>
              <w:t>Tubos de ligações</w:t>
            </w:r>
          </w:p>
        </w:tc>
        <w:tc>
          <w:tcPr>
            <w:tcW w:w="992"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791"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892"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r>
      <w:tr w:rsidR="001864D3" w:rsidTr="001864D3">
        <w:trPr>
          <w:trHeight w:val="315"/>
          <w:jc w:val="center"/>
        </w:trPr>
        <w:tc>
          <w:tcPr>
            <w:tcW w:w="0" w:type="auto"/>
            <w:vMerge/>
            <w:tcBorders>
              <w:top w:val="nil"/>
              <w:left w:val="single" w:sz="8" w:space="0" w:color="auto"/>
              <w:bottom w:val="single" w:sz="8" w:space="0" w:color="000000"/>
              <w:right w:val="single" w:sz="8" w:space="0" w:color="auto"/>
            </w:tcBorders>
            <w:vAlign w:val="center"/>
            <w:hideMark/>
          </w:tcPr>
          <w:p w:rsidR="001864D3" w:rsidRDefault="001864D3">
            <w:pPr>
              <w:spacing w:line="240" w:lineRule="auto"/>
              <w:jc w:val="left"/>
              <w:rPr>
                <w:rFonts w:eastAsia="Times New Roman" w:cs="Arial"/>
                <w:color w:val="000000"/>
                <w:sz w:val="18"/>
                <w:szCs w:val="18"/>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864D3" w:rsidRDefault="001864D3">
            <w:pPr>
              <w:spacing w:line="240" w:lineRule="auto"/>
              <w:jc w:val="left"/>
              <w:rPr>
                <w:rFonts w:eastAsia="Times New Roman" w:cs="Arial"/>
                <w:color w:val="000000"/>
                <w:sz w:val="18"/>
                <w:szCs w:val="18"/>
                <w:lang w:eastAsia="pt-BR"/>
              </w:rPr>
            </w:pPr>
          </w:p>
        </w:tc>
        <w:tc>
          <w:tcPr>
            <w:tcW w:w="4060" w:type="dxa"/>
            <w:tcBorders>
              <w:top w:val="nil"/>
              <w:left w:val="nil"/>
              <w:bottom w:val="single" w:sz="8" w:space="0" w:color="auto"/>
              <w:right w:val="single" w:sz="8" w:space="0" w:color="auto"/>
            </w:tcBorders>
            <w:noWrap/>
            <w:vAlign w:val="center"/>
            <w:hideMark/>
          </w:tcPr>
          <w:p w:rsidR="001864D3" w:rsidRDefault="001864D3">
            <w:pPr>
              <w:spacing w:line="240" w:lineRule="auto"/>
              <w:jc w:val="left"/>
              <w:rPr>
                <w:rFonts w:eastAsia="Times New Roman" w:cs="Arial"/>
                <w:color w:val="000000"/>
                <w:sz w:val="18"/>
                <w:szCs w:val="18"/>
                <w:lang w:eastAsia="pt-BR"/>
              </w:rPr>
            </w:pPr>
            <w:r>
              <w:rPr>
                <w:rFonts w:eastAsia="Times New Roman" w:cs="Arial"/>
                <w:color w:val="000000"/>
                <w:sz w:val="18"/>
                <w:szCs w:val="18"/>
                <w:lang w:eastAsia="pt-BR"/>
              </w:rPr>
              <w:t>Caixas de ligação</w:t>
            </w:r>
          </w:p>
        </w:tc>
        <w:tc>
          <w:tcPr>
            <w:tcW w:w="992" w:type="dxa"/>
            <w:tcBorders>
              <w:top w:val="nil"/>
              <w:left w:val="nil"/>
              <w:bottom w:val="single" w:sz="8" w:space="0" w:color="auto"/>
              <w:right w:val="nil"/>
            </w:tcBorders>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791" w:type="dxa"/>
            <w:tcBorders>
              <w:top w:val="nil"/>
              <w:left w:val="nil"/>
              <w:bottom w:val="single" w:sz="8" w:space="0" w:color="auto"/>
              <w:right w:val="nil"/>
            </w:tcBorders>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892" w:type="dxa"/>
            <w:tcBorders>
              <w:top w:val="nil"/>
              <w:left w:val="nil"/>
              <w:bottom w:val="single" w:sz="8" w:space="0" w:color="auto"/>
              <w:right w:val="nil"/>
            </w:tcBorders>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1225" w:type="dxa"/>
            <w:tcBorders>
              <w:top w:val="nil"/>
              <w:left w:val="nil"/>
              <w:bottom w:val="single" w:sz="8" w:space="0" w:color="auto"/>
              <w:right w:val="single" w:sz="8" w:space="0" w:color="auto"/>
            </w:tcBorders>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r>
      <w:tr w:rsidR="001864D3" w:rsidTr="001864D3">
        <w:trPr>
          <w:trHeight w:val="300"/>
          <w:jc w:val="center"/>
        </w:trPr>
        <w:tc>
          <w:tcPr>
            <w:tcW w:w="0" w:type="auto"/>
            <w:vMerge/>
            <w:tcBorders>
              <w:top w:val="nil"/>
              <w:left w:val="single" w:sz="8" w:space="0" w:color="auto"/>
              <w:bottom w:val="single" w:sz="8" w:space="0" w:color="000000"/>
              <w:right w:val="single" w:sz="8" w:space="0" w:color="auto"/>
            </w:tcBorders>
            <w:vAlign w:val="center"/>
            <w:hideMark/>
          </w:tcPr>
          <w:p w:rsidR="001864D3" w:rsidRDefault="001864D3">
            <w:pPr>
              <w:spacing w:line="240" w:lineRule="auto"/>
              <w:jc w:val="left"/>
              <w:rPr>
                <w:rFonts w:eastAsia="Times New Roman" w:cs="Arial"/>
                <w:color w:val="000000"/>
                <w:sz w:val="18"/>
                <w:szCs w:val="18"/>
                <w:lang w:eastAsia="pt-BR"/>
              </w:rPr>
            </w:pPr>
          </w:p>
        </w:tc>
        <w:tc>
          <w:tcPr>
            <w:tcW w:w="340" w:type="dxa"/>
            <w:vMerge w:val="restart"/>
            <w:tcBorders>
              <w:top w:val="nil"/>
              <w:left w:val="single" w:sz="8" w:space="0" w:color="auto"/>
              <w:bottom w:val="single" w:sz="8" w:space="0" w:color="000000"/>
              <w:right w:val="single" w:sz="8" w:space="0" w:color="auto"/>
            </w:tcBorders>
            <w:noWrap/>
            <w:textDirection w:val="btLr"/>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Macrodrenagem</w:t>
            </w:r>
          </w:p>
        </w:tc>
        <w:tc>
          <w:tcPr>
            <w:tcW w:w="4060" w:type="dxa"/>
            <w:tcBorders>
              <w:top w:val="nil"/>
              <w:left w:val="nil"/>
              <w:bottom w:val="nil"/>
              <w:right w:val="single" w:sz="8" w:space="0" w:color="auto"/>
            </w:tcBorders>
            <w:noWrap/>
            <w:vAlign w:val="center"/>
            <w:hideMark/>
          </w:tcPr>
          <w:p w:rsidR="001864D3" w:rsidRDefault="001864D3">
            <w:pPr>
              <w:spacing w:line="240" w:lineRule="auto"/>
              <w:jc w:val="left"/>
              <w:rPr>
                <w:rFonts w:eastAsia="Times New Roman" w:cs="Arial"/>
                <w:color w:val="000000"/>
                <w:sz w:val="18"/>
                <w:szCs w:val="18"/>
                <w:lang w:eastAsia="pt-BR"/>
              </w:rPr>
            </w:pPr>
            <w:r>
              <w:rPr>
                <w:rFonts w:eastAsia="Times New Roman" w:cs="Arial"/>
                <w:color w:val="000000"/>
                <w:sz w:val="18"/>
                <w:szCs w:val="18"/>
                <w:lang w:eastAsia="pt-BR"/>
              </w:rPr>
              <w:t>Canais: naturais ou artificiais</w:t>
            </w:r>
          </w:p>
        </w:tc>
        <w:tc>
          <w:tcPr>
            <w:tcW w:w="992"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791"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892"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r>
      <w:tr w:rsidR="001864D3" w:rsidTr="001864D3">
        <w:trPr>
          <w:trHeight w:val="300"/>
          <w:jc w:val="center"/>
        </w:trPr>
        <w:tc>
          <w:tcPr>
            <w:tcW w:w="0" w:type="auto"/>
            <w:vMerge/>
            <w:tcBorders>
              <w:top w:val="nil"/>
              <w:left w:val="single" w:sz="8" w:space="0" w:color="auto"/>
              <w:bottom w:val="single" w:sz="8" w:space="0" w:color="000000"/>
              <w:right w:val="single" w:sz="8" w:space="0" w:color="auto"/>
            </w:tcBorders>
            <w:vAlign w:val="center"/>
            <w:hideMark/>
          </w:tcPr>
          <w:p w:rsidR="001864D3" w:rsidRDefault="001864D3">
            <w:pPr>
              <w:spacing w:line="240" w:lineRule="auto"/>
              <w:jc w:val="left"/>
              <w:rPr>
                <w:rFonts w:eastAsia="Times New Roman" w:cs="Arial"/>
                <w:color w:val="000000"/>
                <w:sz w:val="18"/>
                <w:szCs w:val="18"/>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864D3" w:rsidRDefault="001864D3">
            <w:pPr>
              <w:spacing w:line="240" w:lineRule="auto"/>
              <w:jc w:val="left"/>
              <w:rPr>
                <w:rFonts w:eastAsia="Times New Roman" w:cs="Arial"/>
                <w:color w:val="000000"/>
                <w:sz w:val="18"/>
                <w:szCs w:val="18"/>
                <w:lang w:eastAsia="pt-BR"/>
              </w:rPr>
            </w:pPr>
          </w:p>
        </w:tc>
        <w:tc>
          <w:tcPr>
            <w:tcW w:w="4060" w:type="dxa"/>
            <w:tcBorders>
              <w:top w:val="nil"/>
              <w:left w:val="nil"/>
              <w:bottom w:val="nil"/>
              <w:right w:val="single" w:sz="8" w:space="0" w:color="auto"/>
            </w:tcBorders>
            <w:noWrap/>
            <w:vAlign w:val="center"/>
            <w:hideMark/>
          </w:tcPr>
          <w:p w:rsidR="001864D3" w:rsidRDefault="001864D3">
            <w:pPr>
              <w:spacing w:line="240" w:lineRule="auto"/>
              <w:jc w:val="left"/>
              <w:rPr>
                <w:rFonts w:eastAsia="Times New Roman" w:cs="Arial"/>
                <w:color w:val="000000"/>
                <w:sz w:val="18"/>
                <w:szCs w:val="18"/>
                <w:lang w:eastAsia="pt-BR"/>
              </w:rPr>
            </w:pPr>
            <w:r>
              <w:rPr>
                <w:rFonts w:eastAsia="Times New Roman" w:cs="Arial"/>
                <w:color w:val="000000"/>
                <w:sz w:val="18"/>
                <w:szCs w:val="18"/>
                <w:lang w:eastAsia="pt-BR"/>
              </w:rPr>
              <w:t>Dissipadores de energia</w:t>
            </w:r>
          </w:p>
        </w:tc>
        <w:tc>
          <w:tcPr>
            <w:tcW w:w="992"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791"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892"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r>
      <w:tr w:rsidR="001864D3" w:rsidTr="001864D3">
        <w:trPr>
          <w:trHeight w:val="300"/>
          <w:jc w:val="center"/>
        </w:trPr>
        <w:tc>
          <w:tcPr>
            <w:tcW w:w="0" w:type="auto"/>
            <w:vMerge/>
            <w:tcBorders>
              <w:top w:val="nil"/>
              <w:left w:val="single" w:sz="8" w:space="0" w:color="auto"/>
              <w:bottom w:val="single" w:sz="8" w:space="0" w:color="000000"/>
              <w:right w:val="single" w:sz="8" w:space="0" w:color="auto"/>
            </w:tcBorders>
            <w:vAlign w:val="center"/>
            <w:hideMark/>
          </w:tcPr>
          <w:p w:rsidR="001864D3" w:rsidRDefault="001864D3">
            <w:pPr>
              <w:spacing w:line="240" w:lineRule="auto"/>
              <w:jc w:val="left"/>
              <w:rPr>
                <w:rFonts w:eastAsia="Times New Roman" w:cs="Arial"/>
                <w:color w:val="000000"/>
                <w:sz w:val="18"/>
                <w:szCs w:val="18"/>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864D3" w:rsidRDefault="001864D3">
            <w:pPr>
              <w:spacing w:line="240" w:lineRule="auto"/>
              <w:jc w:val="left"/>
              <w:rPr>
                <w:rFonts w:eastAsia="Times New Roman" w:cs="Arial"/>
                <w:color w:val="000000"/>
                <w:sz w:val="18"/>
                <w:szCs w:val="18"/>
                <w:lang w:eastAsia="pt-BR"/>
              </w:rPr>
            </w:pPr>
          </w:p>
        </w:tc>
        <w:tc>
          <w:tcPr>
            <w:tcW w:w="4060" w:type="dxa"/>
            <w:tcBorders>
              <w:top w:val="nil"/>
              <w:left w:val="nil"/>
              <w:bottom w:val="nil"/>
              <w:right w:val="single" w:sz="8" w:space="0" w:color="auto"/>
            </w:tcBorders>
            <w:noWrap/>
            <w:vAlign w:val="center"/>
            <w:hideMark/>
          </w:tcPr>
          <w:p w:rsidR="001864D3" w:rsidRDefault="001864D3">
            <w:pPr>
              <w:spacing w:line="240" w:lineRule="auto"/>
              <w:jc w:val="left"/>
              <w:rPr>
                <w:rFonts w:eastAsia="Times New Roman" w:cs="Arial"/>
                <w:color w:val="000000"/>
                <w:sz w:val="18"/>
                <w:szCs w:val="18"/>
                <w:lang w:eastAsia="pt-BR"/>
              </w:rPr>
            </w:pPr>
            <w:r>
              <w:rPr>
                <w:rFonts w:eastAsia="Times New Roman" w:cs="Arial"/>
                <w:color w:val="000000"/>
                <w:sz w:val="18"/>
                <w:szCs w:val="18"/>
                <w:lang w:eastAsia="pt-BR"/>
              </w:rPr>
              <w:t>Ressalto hidráulico: canais abertos</w:t>
            </w:r>
          </w:p>
        </w:tc>
        <w:tc>
          <w:tcPr>
            <w:tcW w:w="992" w:type="dxa"/>
            <w:noWrap/>
            <w:vAlign w:val="center"/>
            <w:hideMark/>
          </w:tcPr>
          <w:p w:rsidR="001864D3" w:rsidRDefault="001864D3">
            <w:pPr>
              <w:spacing w:line="276" w:lineRule="auto"/>
              <w:jc w:val="left"/>
              <w:rPr>
                <w:rFonts w:asciiTheme="minorHAnsi" w:eastAsiaTheme="minorHAnsi" w:hAnsiTheme="minorHAnsi"/>
                <w:sz w:val="22"/>
              </w:rPr>
            </w:pPr>
          </w:p>
        </w:tc>
        <w:tc>
          <w:tcPr>
            <w:tcW w:w="791"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892"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r>
      <w:tr w:rsidR="001864D3" w:rsidTr="001864D3">
        <w:trPr>
          <w:trHeight w:val="300"/>
          <w:jc w:val="center"/>
        </w:trPr>
        <w:tc>
          <w:tcPr>
            <w:tcW w:w="0" w:type="auto"/>
            <w:vMerge/>
            <w:tcBorders>
              <w:top w:val="nil"/>
              <w:left w:val="single" w:sz="8" w:space="0" w:color="auto"/>
              <w:bottom w:val="single" w:sz="8" w:space="0" w:color="000000"/>
              <w:right w:val="single" w:sz="8" w:space="0" w:color="auto"/>
            </w:tcBorders>
            <w:vAlign w:val="center"/>
            <w:hideMark/>
          </w:tcPr>
          <w:p w:rsidR="001864D3" w:rsidRDefault="001864D3">
            <w:pPr>
              <w:spacing w:line="240" w:lineRule="auto"/>
              <w:jc w:val="left"/>
              <w:rPr>
                <w:rFonts w:eastAsia="Times New Roman" w:cs="Arial"/>
                <w:color w:val="000000"/>
                <w:sz w:val="18"/>
                <w:szCs w:val="18"/>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864D3" w:rsidRDefault="001864D3">
            <w:pPr>
              <w:spacing w:line="240" w:lineRule="auto"/>
              <w:jc w:val="left"/>
              <w:rPr>
                <w:rFonts w:eastAsia="Times New Roman" w:cs="Arial"/>
                <w:color w:val="000000"/>
                <w:sz w:val="18"/>
                <w:szCs w:val="18"/>
                <w:lang w:eastAsia="pt-BR"/>
              </w:rPr>
            </w:pPr>
          </w:p>
        </w:tc>
        <w:tc>
          <w:tcPr>
            <w:tcW w:w="4060" w:type="dxa"/>
            <w:tcBorders>
              <w:top w:val="nil"/>
              <w:left w:val="nil"/>
              <w:bottom w:val="nil"/>
              <w:right w:val="single" w:sz="8" w:space="0" w:color="auto"/>
            </w:tcBorders>
            <w:noWrap/>
            <w:vAlign w:val="center"/>
            <w:hideMark/>
          </w:tcPr>
          <w:p w:rsidR="001864D3" w:rsidRDefault="001864D3">
            <w:pPr>
              <w:spacing w:line="240" w:lineRule="auto"/>
              <w:ind w:firstLineChars="300" w:firstLine="540"/>
              <w:jc w:val="left"/>
              <w:rPr>
                <w:rFonts w:eastAsia="Times New Roman" w:cs="Arial"/>
                <w:color w:val="000000"/>
                <w:sz w:val="18"/>
                <w:szCs w:val="18"/>
                <w:lang w:eastAsia="pt-BR"/>
              </w:rPr>
            </w:pPr>
            <w:r>
              <w:rPr>
                <w:rFonts w:eastAsia="Times New Roman" w:cs="Arial"/>
                <w:color w:val="000000"/>
                <w:sz w:val="18"/>
                <w:szCs w:val="18"/>
                <w:lang w:eastAsia="pt-BR"/>
              </w:rPr>
              <w:t>Tipo SAF para nº Froude 1,7 a 17</w:t>
            </w:r>
          </w:p>
        </w:tc>
        <w:tc>
          <w:tcPr>
            <w:tcW w:w="992" w:type="dxa"/>
            <w:noWrap/>
            <w:vAlign w:val="center"/>
            <w:hideMark/>
          </w:tcPr>
          <w:p w:rsidR="001864D3" w:rsidRDefault="001864D3">
            <w:pPr>
              <w:spacing w:line="276" w:lineRule="auto"/>
              <w:jc w:val="left"/>
              <w:rPr>
                <w:rFonts w:asciiTheme="minorHAnsi" w:eastAsiaTheme="minorHAnsi" w:hAnsiTheme="minorHAnsi"/>
                <w:sz w:val="22"/>
              </w:rPr>
            </w:pPr>
          </w:p>
        </w:tc>
        <w:tc>
          <w:tcPr>
            <w:tcW w:w="791"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892"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r>
      <w:tr w:rsidR="001864D3" w:rsidTr="001864D3">
        <w:trPr>
          <w:trHeight w:val="300"/>
          <w:jc w:val="center"/>
        </w:trPr>
        <w:tc>
          <w:tcPr>
            <w:tcW w:w="0" w:type="auto"/>
            <w:vMerge/>
            <w:tcBorders>
              <w:top w:val="nil"/>
              <w:left w:val="single" w:sz="8" w:space="0" w:color="auto"/>
              <w:bottom w:val="single" w:sz="8" w:space="0" w:color="000000"/>
              <w:right w:val="single" w:sz="8" w:space="0" w:color="auto"/>
            </w:tcBorders>
            <w:vAlign w:val="center"/>
            <w:hideMark/>
          </w:tcPr>
          <w:p w:rsidR="001864D3" w:rsidRDefault="001864D3">
            <w:pPr>
              <w:spacing w:line="240" w:lineRule="auto"/>
              <w:jc w:val="left"/>
              <w:rPr>
                <w:rFonts w:eastAsia="Times New Roman" w:cs="Arial"/>
                <w:color w:val="000000"/>
                <w:sz w:val="18"/>
                <w:szCs w:val="18"/>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864D3" w:rsidRDefault="001864D3">
            <w:pPr>
              <w:spacing w:line="240" w:lineRule="auto"/>
              <w:jc w:val="left"/>
              <w:rPr>
                <w:rFonts w:eastAsia="Times New Roman" w:cs="Arial"/>
                <w:color w:val="000000"/>
                <w:sz w:val="18"/>
                <w:szCs w:val="18"/>
                <w:lang w:eastAsia="pt-BR"/>
              </w:rPr>
            </w:pPr>
          </w:p>
        </w:tc>
        <w:tc>
          <w:tcPr>
            <w:tcW w:w="4060" w:type="dxa"/>
            <w:tcBorders>
              <w:top w:val="nil"/>
              <w:left w:val="nil"/>
              <w:bottom w:val="nil"/>
              <w:right w:val="single" w:sz="8" w:space="0" w:color="auto"/>
            </w:tcBorders>
            <w:noWrap/>
            <w:vAlign w:val="center"/>
            <w:hideMark/>
          </w:tcPr>
          <w:p w:rsidR="001864D3" w:rsidRDefault="001864D3">
            <w:pPr>
              <w:spacing w:line="240" w:lineRule="auto"/>
              <w:ind w:firstLineChars="300" w:firstLine="540"/>
              <w:jc w:val="left"/>
              <w:rPr>
                <w:rFonts w:eastAsia="Times New Roman" w:cs="Arial"/>
                <w:color w:val="000000"/>
                <w:sz w:val="18"/>
                <w:szCs w:val="18"/>
                <w:lang w:eastAsia="pt-BR"/>
              </w:rPr>
            </w:pPr>
            <w:r>
              <w:rPr>
                <w:rFonts w:eastAsia="Times New Roman" w:cs="Arial"/>
                <w:color w:val="000000"/>
                <w:sz w:val="18"/>
                <w:szCs w:val="18"/>
                <w:lang w:eastAsia="pt-BR"/>
              </w:rPr>
              <w:t>Tipo USBR II para nº Froude ≥ 4,5</w:t>
            </w:r>
          </w:p>
        </w:tc>
        <w:tc>
          <w:tcPr>
            <w:tcW w:w="992" w:type="dxa"/>
            <w:noWrap/>
            <w:vAlign w:val="center"/>
            <w:hideMark/>
          </w:tcPr>
          <w:p w:rsidR="001864D3" w:rsidRDefault="001864D3">
            <w:pPr>
              <w:spacing w:line="276" w:lineRule="auto"/>
              <w:jc w:val="left"/>
              <w:rPr>
                <w:rFonts w:asciiTheme="minorHAnsi" w:eastAsiaTheme="minorHAnsi" w:hAnsiTheme="minorHAnsi"/>
                <w:sz w:val="22"/>
              </w:rPr>
            </w:pPr>
          </w:p>
        </w:tc>
        <w:tc>
          <w:tcPr>
            <w:tcW w:w="791"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892"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r>
      <w:tr w:rsidR="001864D3" w:rsidTr="001864D3">
        <w:trPr>
          <w:trHeight w:val="300"/>
          <w:jc w:val="center"/>
        </w:trPr>
        <w:tc>
          <w:tcPr>
            <w:tcW w:w="0" w:type="auto"/>
            <w:vMerge/>
            <w:tcBorders>
              <w:top w:val="nil"/>
              <w:left w:val="single" w:sz="8" w:space="0" w:color="auto"/>
              <w:bottom w:val="single" w:sz="8" w:space="0" w:color="000000"/>
              <w:right w:val="single" w:sz="8" w:space="0" w:color="auto"/>
            </w:tcBorders>
            <w:vAlign w:val="center"/>
            <w:hideMark/>
          </w:tcPr>
          <w:p w:rsidR="001864D3" w:rsidRDefault="001864D3">
            <w:pPr>
              <w:spacing w:line="240" w:lineRule="auto"/>
              <w:jc w:val="left"/>
              <w:rPr>
                <w:rFonts w:eastAsia="Times New Roman" w:cs="Arial"/>
                <w:color w:val="000000"/>
                <w:sz w:val="18"/>
                <w:szCs w:val="18"/>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864D3" w:rsidRDefault="001864D3">
            <w:pPr>
              <w:spacing w:line="240" w:lineRule="auto"/>
              <w:jc w:val="left"/>
              <w:rPr>
                <w:rFonts w:eastAsia="Times New Roman" w:cs="Arial"/>
                <w:color w:val="000000"/>
                <w:sz w:val="18"/>
                <w:szCs w:val="18"/>
                <w:lang w:eastAsia="pt-BR"/>
              </w:rPr>
            </w:pPr>
          </w:p>
        </w:tc>
        <w:tc>
          <w:tcPr>
            <w:tcW w:w="4060" w:type="dxa"/>
            <w:tcBorders>
              <w:top w:val="nil"/>
              <w:left w:val="nil"/>
              <w:bottom w:val="nil"/>
              <w:right w:val="single" w:sz="8" w:space="0" w:color="auto"/>
            </w:tcBorders>
            <w:noWrap/>
            <w:vAlign w:val="center"/>
            <w:hideMark/>
          </w:tcPr>
          <w:p w:rsidR="001864D3" w:rsidRDefault="001864D3">
            <w:pPr>
              <w:spacing w:line="240" w:lineRule="auto"/>
              <w:ind w:firstLineChars="300" w:firstLine="540"/>
              <w:jc w:val="left"/>
              <w:rPr>
                <w:rFonts w:eastAsia="Times New Roman" w:cs="Arial"/>
                <w:color w:val="000000"/>
                <w:sz w:val="18"/>
                <w:szCs w:val="18"/>
                <w:lang w:eastAsia="pt-BR"/>
              </w:rPr>
            </w:pPr>
            <w:r>
              <w:rPr>
                <w:rFonts w:eastAsia="Times New Roman" w:cs="Arial"/>
                <w:color w:val="000000"/>
                <w:sz w:val="18"/>
                <w:szCs w:val="18"/>
                <w:lang w:eastAsia="pt-BR"/>
              </w:rPr>
              <w:t>Tipo USBR III para nº Froude ≤ 4,5</w:t>
            </w:r>
          </w:p>
        </w:tc>
        <w:tc>
          <w:tcPr>
            <w:tcW w:w="992" w:type="dxa"/>
            <w:noWrap/>
            <w:vAlign w:val="center"/>
            <w:hideMark/>
          </w:tcPr>
          <w:p w:rsidR="001864D3" w:rsidRDefault="001864D3">
            <w:pPr>
              <w:spacing w:line="276" w:lineRule="auto"/>
              <w:jc w:val="left"/>
              <w:rPr>
                <w:rFonts w:asciiTheme="minorHAnsi" w:eastAsiaTheme="minorHAnsi" w:hAnsiTheme="minorHAnsi"/>
                <w:sz w:val="22"/>
              </w:rPr>
            </w:pPr>
          </w:p>
        </w:tc>
        <w:tc>
          <w:tcPr>
            <w:tcW w:w="791"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892"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r>
      <w:tr w:rsidR="001864D3" w:rsidTr="001864D3">
        <w:trPr>
          <w:trHeight w:val="300"/>
          <w:jc w:val="center"/>
        </w:trPr>
        <w:tc>
          <w:tcPr>
            <w:tcW w:w="0" w:type="auto"/>
            <w:vMerge/>
            <w:tcBorders>
              <w:top w:val="nil"/>
              <w:left w:val="single" w:sz="8" w:space="0" w:color="auto"/>
              <w:bottom w:val="single" w:sz="8" w:space="0" w:color="000000"/>
              <w:right w:val="single" w:sz="8" w:space="0" w:color="auto"/>
            </w:tcBorders>
            <w:vAlign w:val="center"/>
            <w:hideMark/>
          </w:tcPr>
          <w:p w:rsidR="001864D3" w:rsidRDefault="001864D3">
            <w:pPr>
              <w:spacing w:line="240" w:lineRule="auto"/>
              <w:jc w:val="left"/>
              <w:rPr>
                <w:rFonts w:eastAsia="Times New Roman" w:cs="Arial"/>
                <w:color w:val="000000"/>
                <w:sz w:val="18"/>
                <w:szCs w:val="18"/>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864D3" w:rsidRDefault="001864D3">
            <w:pPr>
              <w:spacing w:line="240" w:lineRule="auto"/>
              <w:jc w:val="left"/>
              <w:rPr>
                <w:rFonts w:eastAsia="Times New Roman" w:cs="Arial"/>
                <w:color w:val="000000"/>
                <w:sz w:val="18"/>
                <w:szCs w:val="18"/>
                <w:lang w:eastAsia="pt-BR"/>
              </w:rPr>
            </w:pPr>
          </w:p>
        </w:tc>
        <w:tc>
          <w:tcPr>
            <w:tcW w:w="4060" w:type="dxa"/>
            <w:tcBorders>
              <w:top w:val="nil"/>
              <w:left w:val="nil"/>
              <w:bottom w:val="nil"/>
              <w:right w:val="single" w:sz="8" w:space="0" w:color="auto"/>
            </w:tcBorders>
            <w:noWrap/>
            <w:vAlign w:val="center"/>
            <w:hideMark/>
          </w:tcPr>
          <w:p w:rsidR="001864D3" w:rsidRDefault="001864D3">
            <w:pPr>
              <w:spacing w:line="240" w:lineRule="auto"/>
              <w:ind w:firstLineChars="300" w:firstLine="540"/>
              <w:jc w:val="left"/>
              <w:rPr>
                <w:rFonts w:eastAsia="Times New Roman" w:cs="Arial"/>
                <w:color w:val="000000"/>
                <w:sz w:val="18"/>
                <w:szCs w:val="18"/>
                <w:lang w:eastAsia="pt-BR"/>
              </w:rPr>
            </w:pPr>
            <w:r>
              <w:rPr>
                <w:rFonts w:eastAsia="Times New Roman" w:cs="Arial"/>
                <w:color w:val="000000"/>
                <w:sz w:val="18"/>
                <w:szCs w:val="18"/>
                <w:lang w:eastAsia="pt-BR"/>
              </w:rPr>
              <w:t>Tipo USBR IV para nº Froude 2,5 a 4,5</w:t>
            </w:r>
          </w:p>
        </w:tc>
        <w:tc>
          <w:tcPr>
            <w:tcW w:w="992" w:type="dxa"/>
            <w:noWrap/>
            <w:vAlign w:val="center"/>
            <w:hideMark/>
          </w:tcPr>
          <w:p w:rsidR="001864D3" w:rsidRDefault="001864D3">
            <w:pPr>
              <w:spacing w:line="276" w:lineRule="auto"/>
              <w:jc w:val="left"/>
              <w:rPr>
                <w:rFonts w:asciiTheme="minorHAnsi" w:eastAsiaTheme="minorHAnsi" w:hAnsiTheme="minorHAnsi"/>
                <w:sz w:val="22"/>
              </w:rPr>
            </w:pPr>
          </w:p>
        </w:tc>
        <w:tc>
          <w:tcPr>
            <w:tcW w:w="791"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892"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r>
      <w:tr w:rsidR="001864D3" w:rsidTr="001864D3">
        <w:trPr>
          <w:trHeight w:val="300"/>
          <w:jc w:val="center"/>
        </w:trPr>
        <w:tc>
          <w:tcPr>
            <w:tcW w:w="0" w:type="auto"/>
            <w:vMerge/>
            <w:tcBorders>
              <w:top w:val="nil"/>
              <w:left w:val="single" w:sz="8" w:space="0" w:color="auto"/>
              <w:bottom w:val="single" w:sz="8" w:space="0" w:color="000000"/>
              <w:right w:val="single" w:sz="8" w:space="0" w:color="auto"/>
            </w:tcBorders>
            <w:vAlign w:val="center"/>
            <w:hideMark/>
          </w:tcPr>
          <w:p w:rsidR="001864D3" w:rsidRDefault="001864D3">
            <w:pPr>
              <w:spacing w:line="240" w:lineRule="auto"/>
              <w:jc w:val="left"/>
              <w:rPr>
                <w:rFonts w:eastAsia="Times New Roman" w:cs="Arial"/>
                <w:color w:val="000000"/>
                <w:sz w:val="18"/>
                <w:szCs w:val="18"/>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864D3" w:rsidRDefault="001864D3">
            <w:pPr>
              <w:spacing w:line="240" w:lineRule="auto"/>
              <w:jc w:val="left"/>
              <w:rPr>
                <w:rFonts w:eastAsia="Times New Roman" w:cs="Arial"/>
                <w:color w:val="000000"/>
                <w:sz w:val="18"/>
                <w:szCs w:val="18"/>
                <w:lang w:eastAsia="pt-BR"/>
              </w:rPr>
            </w:pPr>
          </w:p>
        </w:tc>
        <w:tc>
          <w:tcPr>
            <w:tcW w:w="4060" w:type="dxa"/>
            <w:tcBorders>
              <w:top w:val="nil"/>
              <w:left w:val="nil"/>
              <w:bottom w:val="nil"/>
              <w:right w:val="single" w:sz="8" w:space="0" w:color="auto"/>
            </w:tcBorders>
            <w:noWrap/>
            <w:vAlign w:val="center"/>
            <w:hideMark/>
          </w:tcPr>
          <w:p w:rsidR="001864D3" w:rsidRDefault="001864D3">
            <w:pPr>
              <w:spacing w:line="240" w:lineRule="auto"/>
              <w:jc w:val="left"/>
              <w:rPr>
                <w:rFonts w:eastAsia="Times New Roman" w:cs="Arial"/>
                <w:color w:val="000000"/>
                <w:sz w:val="18"/>
                <w:szCs w:val="18"/>
                <w:lang w:eastAsia="pt-BR"/>
              </w:rPr>
            </w:pPr>
            <w:r>
              <w:rPr>
                <w:rFonts w:eastAsia="Times New Roman" w:cs="Arial"/>
                <w:color w:val="000000"/>
                <w:sz w:val="18"/>
                <w:szCs w:val="18"/>
                <w:lang w:eastAsia="pt-BR"/>
              </w:rPr>
              <w:t>Barragens</w:t>
            </w:r>
          </w:p>
        </w:tc>
        <w:tc>
          <w:tcPr>
            <w:tcW w:w="992"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791"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892"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r>
      <w:tr w:rsidR="001864D3" w:rsidTr="001864D3">
        <w:trPr>
          <w:trHeight w:val="300"/>
          <w:jc w:val="center"/>
        </w:trPr>
        <w:tc>
          <w:tcPr>
            <w:tcW w:w="0" w:type="auto"/>
            <w:vMerge/>
            <w:tcBorders>
              <w:top w:val="nil"/>
              <w:left w:val="single" w:sz="8" w:space="0" w:color="auto"/>
              <w:bottom w:val="single" w:sz="8" w:space="0" w:color="000000"/>
              <w:right w:val="single" w:sz="8" w:space="0" w:color="auto"/>
            </w:tcBorders>
            <w:vAlign w:val="center"/>
            <w:hideMark/>
          </w:tcPr>
          <w:p w:rsidR="001864D3" w:rsidRDefault="001864D3">
            <w:pPr>
              <w:spacing w:line="240" w:lineRule="auto"/>
              <w:jc w:val="left"/>
              <w:rPr>
                <w:rFonts w:eastAsia="Times New Roman" w:cs="Arial"/>
                <w:color w:val="000000"/>
                <w:sz w:val="18"/>
                <w:szCs w:val="18"/>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864D3" w:rsidRDefault="001864D3">
            <w:pPr>
              <w:spacing w:line="240" w:lineRule="auto"/>
              <w:jc w:val="left"/>
              <w:rPr>
                <w:rFonts w:eastAsia="Times New Roman" w:cs="Arial"/>
                <w:color w:val="000000"/>
                <w:sz w:val="18"/>
                <w:szCs w:val="18"/>
                <w:lang w:eastAsia="pt-BR"/>
              </w:rPr>
            </w:pPr>
          </w:p>
        </w:tc>
        <w:tc>
          <w:tcPr>
            <w:tcW w:w="4060" w:type="dxa"/>
            <w:tcBorders>
              <w:top w:val="nil"/>
              <w:left w:val="nil"/>
              <w:bottom w:val="nil"/>
              <w:right w:val="single" w:sz="8" w:space="0" w:color="auto"/>
            </w:tcBorders>
            <w:noWrap/>
            <w:vAlign w:val="center"/>
            <w:hideMark/>
          </w:tcPr>
          <w:p w:rsidR="001864D3" w:rsidRDefault="001864D3">
            <w:pPr>
              <w:spacing w:line="240" w:lineRule="auto"/>
              <w:jc w:val="left"/>
              <w:rPr>
                <w:rFonts w:eastAsia="Times New Roman" w:cs="Arial"/>
                <w:color w:val="000000"/>
                <w:sz w:val="18"/>
                <w:szCs w:val="18"/>
                <w:lang w:eastAsia="pt-BR"/>
              </w:rPr>
            </w:pPr>
            <w:r>
              <w:rPr>
                <w:rFonts w:eastAsia="Times New Roman" w:cs="Arial"/>
                <w:color w:val="000000"/>
                <w:sz w:val="18"/>
                <w:szCs w:val="18"/>
                <w:lang w:eastAsia="pt-BR"/>
              </w:rPr>
              <w:t>Vertedores: Queda, Calha e Degrau "Cacimbo"</w:t>
            </w:r>
          </w:p>
        </w:tc>
        <w:tc>
          <w:tcPr>
            <w:tcW w:w="992" w:type="dxa"/>
            <w:noWrap/>
            <w:vAlign w:val="center"/>
            <w:hideMark/>
          </w:tcPr>
          <w:p w:rsidR="001864D3" w:rsidRDefault="001864D3">
            <w:pPr>
              <w:spacing w:line="276" w:lineRule="auto"/>
              <w:jc w:val="left"/>
              <w:rPr>
                <w:rFonts w:asciiTheme="minorHAnsi" w:eastAsiaTheme="minorHAnsi" w:hAnsiTheme="minorHAnsi"/>
                <w:sz w:val="22"/>
              </w:rPr>
            </w:pPr>
          </w:p>
        </w:tc>
        <w:tc>
          <w:tcPr>
            <w:tcW w:w="791"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892"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r>
      <w:tr w:rsidR="001864D3" w:rsidTr="001864D3">
        <w:trPr>
          <w:trHeight w:val="300"/>
          <w:jc w:val="center"/>
        </w:trPr>
        <w:tc>
          <w:tcPr>
            <w:tcW w:w="0" w:type="auto"/>
            <w:vMerge/>
            <w:tcBorders>
              <w:top w:val="nil"/>
              <w:left w:val="single" w:sz="8" w:space="0" w:color="auto"/>
              <w:bottom w:val="single" w:sz="8" w:space="0" w:color="000000"/>
              <w:right w:val="single" w:sz="8" w:space="0" w:color="auto"/>
            </w:tcBorders>
            <w:vAlign w:val="center"/>
            <w:hideMark/>
          </w:tcPr>
          <w:p w:rsidR="001864D3" w:rsidRDefault="001864D3">
            <w:pPr>
              <w:spacing w:line="240" w:lineRule="auto"/>
              <w:jc w:val="left"/>
              <w:rPr>
                <w:rFonts w:eastAsia="Times New Roman" w:cs="Arial"/>
                <w:color w:val="000000"/>
                <w:sz w:val="18"/>
                <w:szCs w:val="18"/>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864D3" w:rsidRDefault="001864D3">
            <w:pPr>
              <w:spacing w:line="240" w:lineRule="auto"/>
              <w:jc w:val="left"/>
              <w:rPr>
                <w:rFonts w:eastAsia="Times New Roman" w:cs="Arial"/>
                <w:color w:val="000000"/>
                <w:sz w:val="18"/>
                <w:szCs w:val="18"/>
                <w:lang w:eastAsia="pt-BR"/>
              </w:rPr>
            </w:pPr>
          </w:p>
        </w:tc>
        <w:tc>
          <w:tcPr>
            <w:tcW w:w="4060" w:type="dxa"/>
            <w:tcBorders>
              <w:top w:val="nil"/>
              <w:left w:val="nil"/>
              <w:bottom w:val="nil"/>
              <w:right w:val="single" w:sz="8" w:space="0" w:color="auto"/>
            </w:tcBorders>
            <w:noWrap/>
            <w:vAlign w:val="center"/>
            <w:hideMark/>
          </w:tcPr>
          <w:p w:rsidR="001864D3" w:rsidRDefault="001864D3">
            <w:pPr>
              <w:spacing w:line="240" w:lineRule="auto"/>
              <w:jc w:val="left"/>
              <w:rPr>
                <w:rFonts w:eastAsia="Times New Roman" w:cs="Arial"/>
                <w:color w:val="000000"/>
                <w:sz w:val="18"/>
                <w:szCs w:val="18"/>
                <w:lang w:eastAsia="pt-BR"/>
              </w:rPr>
            </w:pPr>
            <w:r>
              <w:rPr>
                <w:rFonts w:eastAsia="Times New Roman" w:cs="Arial"/>
                <w:color w:val="000000"/>
                <w:sz w:val="18"/>
                <w:szCs w:val="18"/>
                <w:lang w:eastAsia="pt-BR"/>
              </w:rPr>
              <w:t>Bacia de acumulação</w:t>
            </w:r>
          </w:p>
        </w:tc>
        <w:tc>
          <w:tcPr>
            <w:tcW w:w="992" w:type="dxa"/>
            <w:noWrap/>
            <w:vAlign w:val="center"/>
            <w:hideMark/>
          </w:tcPr>
          <w:p w:rsidR="001864D3" w:rsidRDefault="001864D3">
            <w:pPr>
              <w:spacing w:line="276" w:lineRule="auto"/>
              <w:jc w:val="left"/>
              <w:rPr>
                <w:rFonts w:asciiTheme="minorHAnsi" w:eastAsiaTheme="minorHAnsi" w:hAnsiTheme="minorHAnsi"/>
                <w:sz w:val="22"/>
              </w:rPr>
            </w:pPr>
          </w:p>
        </w:tc>
        <w:tc>
          <w:tcPr>
            <w:tcW w:w="791" w:type="dxa"/>
            <w:noWrap/>
            <w:vAlign w:val="center"/>
            <w:hideMark/>
          </w:tcPr>
          <w:p w:rsidR="001864D3" w:rsidRDefault="001864D3">
            <w:pPr>
              <w:spacing w:line="276" w:lineRule="auto"/>
              <w:jc w:val="left"/>
              <w:rPr>
                <w:rFonts w:asciiTheme="minorHAnsi" w:eastAsiaTheme="minorHAnsi" w:hAnsiTheme="minorHAnsi"/>
                <w:sz w:val="22"/>
              </w:rPr>
            </w:pPr>
          </w:p>
        </w:tc>
        <w:tc>
          <w:tcPr>
            <w:tcW w:w="892"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r>
      <w:tr w:rsidR="001864D3" w:rsidTr="001864D3">
        <w:trPr>
          <w:trHeight w:val="300"/>
          <w:jc w:val="center"/>
        </w:trPr>
        <w:tc>
          <w:tcPr>
            <w:tcW w:w="0" w:type="auto"/>
            <w:vMerge/>
            <w:tcBorders>
              <w:top w:val="nil"/>
              <w:left w:val="single" w:sz="8" w:space="0" w:color="auto"/>
              <w:bottom w:val="single" w:sz="8" w:space="0" w:color="000000"/>
              <w:right w:val="single" w:sz="8" w:space="0" w:color="auto"/>
            </w:tcBorders>
            <w:vAlign w:val="center"/>
            <w:hideMark/>
          </w:tcPr>
          <w:p w:rsidR="001864D3" w:rsidRDefault="001864D3">
            <w:pPr>
              <w:spacing w:line="240" w:lineRule="auto"/>
              <w:jc w:val="left"/>
              <w:rPr>
                <w:rFonts w:eastAsia="Times New Roman" w:cs="Arial"/>
                <w:color w:val="000000"/>
                <w:sz w:val="18"/>
                <w:szCs w:val="18"/>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864D3" w:rsidRDefault="001864D3">
            <w:pPr>
              <w:spacing w:line="240" w:lineRule="auto"/>
              <w:jc w:val="left"/>
              <w:rPr>
                <w:rFonts w:eastAsia="Times New Roman" w:cs="Arial"/>
                <w:color w:val="000000"/>
                <w:sz w:val="18"/>
                <w:szCs w:val="18"/>
                <w:lang w:eastAsia="pt-BR"/>
              </w:rPr>
            </w:pPr>
          </w:p>
        </w:tc>
        <w:tc>
          <w:tcPr>
            <w:tcW w:w="4060" w:type="dxa"/>
            <w:tcBorders>
              <w:top w:val="nil"/>
              <w:left w:val="nil"/>
              <w:bottom w:val="nil"/>
              <w:right w:val="single" w:sz="8" w:space="0" w:color="auto"/>
            </w:tcBorders>
            <w:noWrap/>
            <w:vAlign w:val="center"/>
            <w:hideMark/>
          </w:tcPr>
          <w:p w:rsidR="001864D3" w:rsidRDefault="001864D3">
            <w:pPr>
              <w:spacing w:line="240" w:lineRule="auto"/>
              <w:jc w:val="left"/>
              <w:rPr>
                <w:rFonts w:eastAsia="Times New Roman" w:cs="Arial"/>
                <w:color w:val="000000"/>
                <w:sz w:val="18"/>
                <w:szCs w:val="18"/>
                <w:lang w:eastAsia="pt-BR"/>
              </w:rPr>
            </w:pPr>
            <w:r>
              <w:rPr>
                <w:rFonts w:eastAsia="Times New Roman" w:cs="Arial"/>
                <w:color w:val="000000"/>
                <w:sz w:val="18"/>
                <w:szCs w:val="18"/>
                <w:lang w:eastAsia="pt-BR"/>
              </w:rPr>
              <w:t>Bacias dissipadoras</w:t>
            </w:r>
          </w:p>
        </w:tc>
        <w:tc>
          <w:tcPr>
            <w:tcW w:w="992" w:type="dxa"/>
            <w:noWrap/>
            <w:vAlign w:val="center"/>
            <w:hideMark/>
          </w:tcPr>
          <w:p w:rsidR="001864D3" w:rsidRDefault="001864D3">
            <w:pPr>
              <w:spacing w:line="276" w:lineRule="auto"/>
              <w:jc w:val="left"/>
              <w:rPr>
                <w:rFonts w:asciiTheme="minorHAnsi" w:eastAsiaTheme="minorHAnsi" w:hAnsiTheme="minorHAnsi"/>
                <w:sz w:val="22"/>
              </w:rPr>
            </w:pPr>
          </w:p>
        </w:tc>
        <w:tc>
          <w:tcPr>
            <w:tcW w:w="791"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892"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r>
      <w:tr w:rsidR="001864D3" w:rsidTr="001864D3">
        <w:trPr>
          <w:trHeight w:val="300"/>
          <w:jc w:val="center"/>
        </w:trPr>
        <w:tc>
          <w:tcPr>
            <w:tcW w:w="0" w:type="auto"/>
            <w:vMerge/>
            <w:tcBorders>
              <w:top w:val="nil"/>
              <w:left w:val="single" w:sz="8" w:space="0" w:color="auto"/>
              <w:bottom w:val="single" w:sz="8" w:space="0" w:color="000000"/>
              <w:right w:val="single" w:sz="8" w:space="0" w:color="auto"/>
            </w:tcBorders>
            <w:vAlign w:val="center"/>
            <w:hideMark/>
          </w:tcPr>
          <w:p w:rsidR="001864D3" w:rsidRDefault="001864D3">
            <w:pPr>
              <w:spacing w:line="240" w:lineRule="auto"/>
              <w:jc w:val="left"/>
              <w:rPr>
                <w:rFonts w:eastAsia="Times New Roman" w:cs="Arial"/>
                <w:color w:val="000000"/>
                <w:sz w:val="18"/>
                <w:szCs w:val="18"/>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864D3" w:rsidRDefault="001864D3">
            <w:pPr>
              <w:spacing w:line="240" w:lineRule="auto"/>
              <w:jc w:val="left"/>
              <w:rPr>
                <w:rFonts w:eastAsia="Times New Roman" w:cs="Arial"/>
                <w:color w:val="000000"/>
                <w:sz w:val="18"/>
                <w:szCs w:val="18"/>
                <w:lang w:eastAsia="pt-BR"/>
              </w:rPr>
            </w:pPr>
          </w:p>
        </w:tc>
        <w:tc>
          <w:tcPr>
            <w:tcW w:w="4060" w:type="dxa"/>
            <w:tcBorders>
              <w:top w:val="nil"/>
              <w:left w:val="nil"/>
              <w:bottom w:val="nil"/>
              <w:right w:val="single" w:sz="8" w:space="0" w:color="auto"/>
            </w:tcBorders>
            <w:noWrap/>
            <w:vAlign w:val="center"/>
            <w:hideMark/>
          </w:tcPr>
          <w:p w:rsidR="001864D3" w:rsidRDefault="001864D3">
            <w:pPr>
              <w:spacing w:line="240" w:lineRule="auto"/>
              <w:jc w:val="left"/>
              <w:rPr>
                <w:rFonts w:eastAsia="Times New Roman" w:cs="Arial"/>
                <w:color w:val="000000"/>
                <w:sz w:val="18"/>
                <w:szCs w:val="18"/>
                <w:lang w:eastAsia="pt-BR"/>
              </w:rPr>
            </w:pPr>
            <w:r>
              <w:rPr>
                <w:rFonts w:eastAsia="Times New Roman" w:cs="Arial"/>
                <w:color w:val="000000"/>
                <w:sz w:val="18"/>
                <w:szCs w:val="18"/>
                <w:lang w:eastAsia="pt-BR"/>
              </w:rPr>
              <w:t>Proteção de taludes</w:t>
            </w:r>
          </w:p>
        </w:tc>
        <w:tc>
          <w:tcPr>
            <w:tcW w:w="992"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791"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892"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r>
      <w:tr w:rsidR="001864D3" w:rsidTr="001864D3">
        <w:trPr>
          <w:trHeight w:val="300"/>
          <w:jc w:val="center"/>
        </w:trPr>
        <w:tc>
          <w:tcPr>
            <w:tcW w:w="0" w:type="auto"/>
            <w:vMerge/>
            <w:tcBorders>
              <w:top w:val="nil"/>
              <w:left w:val="single" w:sz="8" w:space="0" w:color="auto"/>
              <w:bottom w:val="single" w:sz="8" w:space="0" w:color="000000"/>
              <w:right w:val="single" w:sz="8" w:space="0" w:color="auto"/>
            </w:tcBorders>
            <w:vAlign w:val="center"/>
            <w:hideMark/>
          </w:tcPr>
          <w:p w:rsidR="001864D3" w:rsidRDefault="001864D3">
            <w:pPr>
              <w:spacing w:line="240" w:lineRule="auto"/>
              <w:jc w:val="left"/>
              <w:rPr>
                <w:rFonts w:eastAsia="Times New Roman" w:cs="Arial"/>
                <w:color w:val="000000"/>
                <w:sz w:val="18"/>
                <w:szCs w:val="18"/>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864D3" w:rsidRDefault="001864D3">
            <w:pPr>
              <w:spacing w:line="240" w:lineRule="auto"/>
              <w:jc w:val="left"/>
              <w:rPr>
                <w:rFonts w:eastAsia="Times New Roman" w:cs="Arial"/>
                <w:color w:val="000000"/>
                <w:sz w:val="18"/>
                <w:szCs w:val="18"/>
                <w:lang w:eastAsia="pt-BR"/>
              </w:rPr>
            </w:pPr>
          </w:p>
        </w:tc>
        <w:tc>
          <w:tcPr>
            <w:tcW w:w="4060" w:type="dxa"/>
            <w:tcBorders>
              <w:top w:val="nil"/>
              <w:left w:val="nil"/>
              <w:bottom w:val="nil"/>
              <w:right w:val="single" w:sz="8" w:space="0" w:color="auto"/>
            </w:tcBorders>
            <w:noWrap/>
            <w:vAlign w:val="center"/>
            <w:hideMark/>
          </w:tcPr>
          <w:p w:rsidR="001864D3" w:rsidRDefault="001864D3">
            <w:pPr>
              <w:spacing w:line="240" w:lineRule="auto"/>
              <w:jc w:val="left"/>
              <w:rPr>
                <w:rFonts w:eastAsia="Times New Roman" w:cs="Arial"/>
                <w:color w:val="000000"/>
                <w:sz w:val="18"/>
                <w:szCs w:val="18"/>
                <w:lang w:eastAsia="pt-BR"/>
              </w:rPr>
            </w:pPr>
            <w:r>
              <w:rPr>
                <w:rFonts w:eastAsia="Times New Roman" w:cs="Arial"/>
                <w:color w:val="000000"/>
                <w:sz w:val="18"/>
                <w:szCs w:val="18"/>
                <w:lang w:eastAsia="pt-BR"/>
              </w:rPr>
              <w:t>Aterramento com obras hidráulicas</w:t>
            </w:r>
          </w:p>
        </w:tc>
        <w:tc>
          <w:tcPr>
            <w:tcW w:w="992" w:type="dxa"/>
            <w:noWrap/>
            <w:vAlign w:val="center"/>
            <w:hideMark/>
          </w:tcPr>
          <w:p w:rsidR="001864D3" w:rsidRDefault="001864D3">
            <w:pPr>
              <w:spacing w:line="276" w:lineRule="auto"/>
              <w:jc w:val="left"/>
              <w:rPr>
                <w:rFonts w:asciiTheme="minorHAnsi" w:eastAsiaTheme="minorHAnsi" w:hAnsiTheme="minorHAnsi"/>
                <w:sz w:val="22"/>
              </w:rPr>
            </w:pPr>
          </w:p>
        </w:tc>
        <w:tc>
          <w:tcPr>
            <w:tcW w:w="791"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892"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r>
      <w:tr w:rsidR="001864D3" w:rsidTr="001864D3">
        <w:trPr>
          <w:trHeight w:val="300"/>
          <w:jc w:val="center"/>
        </w:trPr>
        <w:tc>
          <w:tcPr>
            <w:tcW w:w="0" w:type="auto"/>
            <w:vMerge/>
            <w:tcBorders>
              <w:top w:val="nil"/>
              <w:left w:val="single" w:sz="8" w:space="0" w:color="auto"/>
              <w:bottom w:val="single" w:sz="8" w:space="0" w:color="000000"/>
              <w:right w:val="single" w:sz="8" w:space="0" w:color="auto"/>
            </w:tcBorders>
            <w:vAlign w:val="center"/>
            <w:hideMark/>
          </w:tcPr>
          <w:p w:rsidR="001864D3" w:rsidRDefault="001864D3">
            <w:pPr>
              <w:spacing w:line="240" w:lineRule="auto"/>
              <w:jc w:val="left"/>
              <w:rPr>
                <w:rFonts w:eastAsia="Times New Roman" w:cs="Arial"/>
                <w:color w:val="000000"/>
                <w:sz w:val="18"/>
                <w:szCs w:val="18"/>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864D3" w:rsidRDefault="001864D3">
            <w:pPr>
              <w:spacing w:line="240" w:lineRule="auto"/>
              <w:jc w:val="left"/>
              <w:rPr>
                <w:rFonts w:eastAsia="Times New Roman" w:cs="Arial"/>
                <w:color w:val="000000"/>
                <w:sz w:val="18"/>
                <w:szCs w:val="18"/>
                <w:lang w:eastAsia="pt-BR"/>
              </w:rPr>
            </w:pPr>
          </w:p>
        </w:tc>
        <w:tc>
          <w:tcPr>
            <w:tcW w:w="4060" w:type="dxa"/>
            <w:tcBorders>
              <w:top w:val="nil"/>
              <w:left w:val="nil"/>
              <w:bottom w:val="nil"/>
              <w:right w:val="single" w:sz="8" w:space="0" w:color="auto"/>
            </w:tcBorders>
            <w:noWrap/>
            <w:vAlign w:val="center"/>
            <w:hideMark/>
          </w:tcPr>
          <w:p w:rsidR="001864D3" w:rsidRDefault="001864D3">
            <w:pPr>
              <w:spacing w:line="240" w:lineRule="auto"/>
              <w:jc w:val="left"/>
              <w:rPr>
                <w:rFonts w:eastAsia="Times New Roman" w:cs="Arial"/>
                <w:color w:val="000000"/>
                <w:sz w:val="18"/>
                <w:szCs w:val="18"/>
                <w:lang w:eastAsia="pt-BR"/>
              </w:rPr>
            </w:pPr>
            <w:r>
              <w:rPr>
                <w:rFonts w:eastAsia="Times New Roman" w:cs="Arial"/>
                <w:color w:val="000000"/>
                <w:sz w:val="18"/>
                <w:szCs w:val="18"/>
                <w:lang w:eastAsia="pt-BR"/>
              </w:rPr>
              <w:t>Obras de pavimentação</w:t>
            </w:r>
          </w:p>
        </w:tc>
        <w:tc>
          <w:tcPr>
            <w:tcW w:w="992"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791"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892"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r>
      <w:tr w:rsidR="001864D3" w:rsidTr="001864D3">
        <w:trPr>
          <w:trHeight w:val="315"/>
          <w:jc w:val="center"/>
        </w:trPr>
        <w:tc>
          <w:tcPr>
            <w:tcW w:w="0" w:type="auto"/>
            <w:vMerge/>
            <w:tcBorders>
              <w:top w:val="nil"/>
              <w:left w:val="single" w:sz="8" w:space="0" w:color="auto"/>
              <w:bottom w:val="single" w:sz="8" w:space="0" w:color="000000"/>
              <w:right w:val="single" w:sz="8" w:space="0" w:color="auto"/>
            </w:tcBorders>
            <w:vAlign w:val="center"/>
            <w:hideMark/>
          </w:tcPr>
          <w:p w:rsidR="001864D3" w:rsidRDefault="001864D3">
            <w:pPr>
              <w:spacing w:line="240" w:lineRule="auto"/>
              <w:jc w:val="left"/>
              <w:rPr>
                <w:rFonts w:eastAsia="Times New Roman" w:cs="Arial"/>
                <w:color w:val="000000"/>
                <w:sz w:val="18"/>
                <w:szCs w:val="18"/>
                <w:lang w:eastAsia="pt-BR"/>
              </w:rPr>
            </w:pPr>
          </w:p>
        </w:tc>
        <w:tc>
          <w:tcPr>
            <w:tcW w:w="0" w:type="auto"/>
            <w:vMerge/>
            <w:tcBorders>
              <w:top w:val="nil"/>
              <w:left w:val="single" w:sz="8" w:space="0" w:color="auto"/>
              <w:bottom w:val="single" w:sz="8" w:space="0" w:color="000000"/>
              <w:right w:val="single" w:sz="8" w:space="0" w:color="auto"/>
            </w:tcBorders>
            <w:vAlign w:val="center"/>
            <w:hideMark/>
          </w:tcPr>
          <w:p w:rsidR="001864D3" w:rsidRDefault="001864D3">
            <w:pPr>
              <w:spacing w:line="240" w:lineRule="auto"/>
              <w:jc w:val="left"/>
              <w:rPr>
                <w:rFonts w:eastAsia="Times New Roman" w:cs="Arial"/>
                <w:color w:val="000000"/>
                <w:sz w:val="18"/>
                <w:szCs w:val="18"/>
                <w:lang w:eastAsia="pt-BR"/>
              </w:rPr>
            </w:pPr>
          </w:p>
        </w:tc>
        <w:tc>
          <w:tcPr>
            <w:tcW w:w="4060" w:type="dxa"/>
            <w:tcBorders>
              <w:top w:val="nil"/>
              <w:left w:val="nil"/>
              <w:bottom w:val="single" w:sz="8" w:space="0" w:color="auto"/>
              <w:right w:val="single" w:sz="8" w:space="0" w:color="auto"/>
            </w:tcBorders>
            <w:noWrap/>
            <w:vAlign w:val="center"/>
            <w:hideMark/>
          </w:tcPr>
          <w:p w:rsidR="001864D3" w:rsidRDefault="001864D3">
            <w:pPr>
              <w:spacing w:line="240" w:lineRule="auto"/>
              <w:jc w:val="left"/>
              <w:rPr>
                <w:rFonts w:eastAsia="Times New Roman" w:cs="Arial"/>
                <w:color w:val="000000"/>
                <w:sz w:val="18"/>
                <w:szCs w:val="18"/>
                <w:lang w:eastAsia="pt-BR"/>
              </w:rPr>
            </w:pPr>
            <w:r>
              <w:rPr>
                <w:rFonts w:eastAsia="Times New Roman" w:cs="Arial"/>
                <w:color w:val="000000"/>
                <w:sz w:val="18"/>
                <w:szCs w:val="18"/>
                <w:lang w:eastAsia="pt-BR"/>
              </w:rPr>
              <w:t>Drenos</w:t>
            </w:r>
          </w:p>
        </w:tc>
        <w:tc>
          <w:tcPr>
            <w:tcW w:w="992" w:type="dxa"/>
            <w:tcBorders>
              <w:top w:val="nil"/>
              <w:left w:val="nil"/>
              <w:bottom w:val="single" w:sz="8" w:space="0" w:color="auto"/>
              <w:right w:val="nil"/>
            </w:tcBorders>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 </w:t>
            </w:r>
          </w:p>
        </w:tc>
        <w:tc>
          <w:tcPr>
            <w:tcW w:w="791" w:type="dxa"/>
            <w:tcBorders>
              <w:top w:val="nil"/>
              <w:left w:val="nil"/>
              <w:bottom w:val="single" w:sz="8" w:space="0" w:color="auto"/>
              <w:right w:val="nil"/>
            </w:tcBorders>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892" w:type="dxa"/>
            <w:tcBorders>
              <w:top w:val="nil"/>
              <w:left w:val="nil"/>
              <w:bottom w:val="single" w:sz="8" w:space="0" w:color="auto"/>
              <w:right w:val="nil"/>
            </w:tcBorders>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1225" w:type="dxa"/>
            <w:tcBorders>
              <w:top w:val="nil"/>
              <w:left w:val="nil"/>
              <w:bottom w:val="single" w:sz="8" w:space="0" w:color="auto"/>
              <w:right w:val="single" w:sz="8" w:space="0" w:color="auto"/>
            </w:tcBorders>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r>
      <w:tr w:rsidR="001864D3" w:rsidTr="001864D3">
        <w:trPr>
          <w:cantSplit/>
          <w:trHeight w:val="300"/>
          <w:jc w:val="center"/>
        </w:trPr>
        <w:tc>
          <w:tcPr>
            <w:tcW w:w="680" w:type="dxa"/>
            <w:gridSpan w:val="2"/>
            <w:vMerge w:val="restart"/>
            <w:tcBorders>
              <w:top w:val="single" w:sz="8" w:space="0" w:color="auto"/>
              <w:left w:val="single" w:sz="8" w:space="0" w:color="auto"/>
              <w:bottom w:val="single" w:sz="8" w:space="0" w:color="000000"/>
              <w:right w:val="single" w:sz="8" w:space="0" w:color="000000"/>
            </w:tcBorders>
            <w:noWrap/>
            <w:textDirection w:val="btLr"/>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Bioengenharia</w:t>
            </w:r>
          </w:p>
        </w:tc>
        <w:tc>
          <w:tcPr>
            <w:tcW w:w="4060" w:type="dxa"/>
            <w:tcBorders>
              <w:top w:val="nil"/>
              <w:left w:val="nil"/>
              <w:bottom w:val="nil"/>
              <w:right w:val="single" w:sz="8" w:space="0" w:color="auto"/>
            </w:tcBorders>
            <w:noWrap/>
            <w:vAlign w:val="center"/>
            <w:hideMark/>
          </w:tcPr>
          <w:p w:rsidR="001864D3" w:rsidRDefault="001864D3">
            <w:pPr>
              <w:spacing w:line="240" w:lineRule="auto"/>
              <w:jc w:val="left"/>
              <w:rPr>
                <w:rFonts w:eastAsia="Times New Roman" w:cs="Arial"/>
                <w:color w:val="000000"/>
                <w:sz w:val="18"/>
                <w:szCs w:val="18"/>
                <w:lang w:eastAsia="pt-BR"/>
              </w:rPr>
            </w:pPr>
            <w:r>
              <w:rPr>
                <w:rFonts w:eastAsia="Times New Roman" w:cs="Arial"/>
                <w:color w:val="000000"/>
                <w:sz w:val="18"/>
                <w:szCs w:val="18"/>
                <w:lang w:eastAsia="pt-BR"/>
              </w:rPr>
              <w:t>Gabião vegetado</w:t>
            </w:r>
          </w:p>
        </w:tc>
        <w:tc>
          <w:tcPr>
            <w:tcW w:w="992"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791"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892"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r>
      <w:tr w:rsidR="001864D3" w:rsidTr="001864D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rsidR="001864D3" w:rsidRDefault="001864D3">
            <w:pPr>
              <w:spacing w:line="240" w:lineRule="auto"/>
              <w:jc w:val="left"/>
              <w:rPr>
                <w:rFonts w:eastAsia="Times New Roman" w:cs="Arial"/>
                <w:color w:val="000000"/>
                <w:sz w:val="18"/>
                <w:szCs w:val="18"/>
                <w:lang w:eastAsia="pt-BR"/>
              </w:rPr>
            </w:pPr>
          </w:p>
        </w:tc>
        <w:tc>
          <w:tcPr>
            <w:tcW w:w="4060" w:type="dxa"/>
            <w:tcBorders>
              <w:top w:val="nil"/>
              <w:left w:val="nil"/>
              <w:bottom w:val="nil"/>
              <w:right w:val="single" w:sz="8" w:space="0" w:color="auto"/>
            </w:tcBorders>
            <w:noWrap/>
            <w:vAlign w:val="center"/>
            <w:hideMark/>
          </w:tcPr>
          <w:p w:rsidR="001864D3" w:rsidRDefault="001864D3">
            <w:pPr>
              <w:spacing w:line="240" w:lineRule="auto"/>
              <w:jc w:val="left"/>
              <w:rPr>
                <w:rFonts w:eastAsia="Times New Roman" w:cs="Arial"/>
                <w:color w:val="000000"/>
                <w:sz w:val="18"/>
                <w:szCs w:val="18"/>
                <w:lang w:eastAsia="pt-BR"/>
              </w:rPr>
            </w:pPr>
            <w:r>
              <w:rPr>
                <w:rFonts w:eastAsia="Times New Roman" w:cs="Arial"/>
                <w:color w:val="000000"/>
                <w:sz w:val="18"/>
                <w:szCs w:val="18"/>
                <w:lang w:eastAsia="pt-BR"/>
              </w:rPr>
              <w:t>Geogrelha vegetada</w:t>
            </w:r>
          </w:p>
        </w:tc>
        <w:tc>
          <w:tcPr>
            <w:tcW w:w="992"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791"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892"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r>
      <w:tr w:rsidR="001864D3" w:rsidTr="001864D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rsidR="001864D3" w:rsidRDefault="001864D3">
            <w:pPr>
              <w:spacing w:line="240" w:lineRule="auto"/>
              <w:jc w:val="left"/>
              <w:rPr>
                <w:rFonts w:eastAsia="Times New Roman" w:cs="Arial"/>
                <w:color w:val="000000"/>
                <w:sz w:val="18"/>
                <w:szCs w:val="18"/>
                <w:lang w:eastAsia="pt-BR"/>
              </w:rPr>
            </w:pPr>
          </w:p>
        </w:tc>
        <w:tc>
          <w:tcPr>
            <w:tcW w:w="4060" w:type="dxa"/>
            <w:tcBorders>
              <w:top w:val="nil"/>
              <w:left w:val="nil"/>
              <w:bottom w:val="nil"/>
              <w:right w:val="single" w:sz="8" w:space="0" w:color="auto"/>
            </w:tcBorders>
            <w:noWrap/>
            <w:vAlign w:val="center"/>
            <w:hideMark/>
          </w:tcPr>
          <w:p w:rsidR="001864D3" w:rsidRDefault="001864D3">
            <w:pPr>
              <w:spacing w:line="240" w:lineRule="auto"/>
              <w:jc w:val="left"/>
              <w:rPr>
                <w:rFonts w:eastAsia="Times New Roman" w:cs="Arial"/>
                <w:color w:val="000000"/>
                <w:sz w:val="18"/>
                <w:szCs w:val="18"/>
                <w:lang w:eastAsia="pt-BR"/>
              </w:rPr>
            </w:pPr>
            <w:r>
              <w:rPr>
                <w:rFonts w:eastAsia="Times New Roman" w:cs="Arial"/>
                <w:color w:val="000000"/>
                <w:sz w:val="18"/>
                <w:szCs w:val="18"/>
                <w:lang w:eastAsia="pt-BR"/>
              </w:rPr>
              <w:t>Mantas de gramíneas</w:t>
            </w:r>
          </w:p>
        </w:tc>
        <w:tc>
          <w:tcPr>
            <w:tcW w:w="992"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791"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892"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r>
      <w:tr w:rsidR="001864D3" w:rsidTr="001864D3">
        <w:trPr>
          <w:trHeight w:val="300"/>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rsidR="001864D3" w:rsidRDefault="001864D3">
            <w:pPr>
              <w:spacing w:line="240" w:lineRule="auto"/>
              <w:jc w:val="left"/>
              <w:rPr>
                <w:rFonts w:eastAsia="Times New Roman" w:cs="Arial"/>
                <w:color w:val="000000"/>
                <w:sz w:val="18"/>
                <w:szCs w:val="18"/>
                <w:lang w:eastAsia="pt-BR"/>
              </w:rPr>
            </w:pPr>
          </w:p>
        </w:tc>
        <w:tc>
          <w:tcPr>
            <w:tcW w:w="4060" w:type="dxa"/>
            <w:tcBorders>
              <w:top w:val="nil"/>
              <w:left w:val="nil"/>
              <w:bottom w:val="nil"/>
              <w:right w:val="single" w:sz="8" w:space="0" w:color="auto"/>
            </w:tcBorders>
            <w:noWrap/>
            <w:vAlign w:val="center"/>
            <w:hideMark/>
          </w:tcPr>
          <w:p w:rsidR="001864D3" w:rsidRDefault="001864D3">
            <w:pPr>
              <w:spacing w:line="240" w:lineRule="auto"/>
              <w:jc w:val="left"/>
              <w:rPr>
                <w:rFonts w:eastAsia="Times New Roman" w:cs="Arial"/>
                <w:color w:val="000000"/>
                <w:sz w:val="18"/>
                <w:szCs w:val="18"/>
                <w:lang w:eastAsia="pt-BR"/>
              </w:rPr>
            </w:pPr>
            <w:r>
              <w:rPr>
                <w:rFonts w:eastAsia="Times New Roman" w:cs="Arial"/>
                <w:color w:val="000000"/>
                <w:sz w:val="18"/>
                <w:szCs w:val="18"/>
                <w:lang w:eastAsia="pt-BR"/>
              </w:rPr>
              <w:t>Sistemas de celas de confinamento</w:t>
            </w:r>
          </w:p>
        </w:tc>
        <w:tc>
          <w:tcPr>
            <w:tcW w:w="992"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791"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892" w:type="dxa"/>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1225" w:type="dxa"/>
            <w:tcBorders>
              <w:top w:val="nil"/>
              <w:left w:val="nil"/>
              <w:bottom w:val="nil"/>
              <w:right w:val="single" w:sz="8" w:space="0" w:color="auto"/>
            </w:tcBorders>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r>
      <w:tr w:rsidR="001864D3" w:rsidTr="001864D3">
        <w:trPr>
          <w:trHeight w:val="315"/>
          <w:jc w:val="center"/>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rsidR="001864D3" w:rsidRDefault="001864D3">
            <w:pPr>
              <w:spacing w:line="240" w:lineRule="auto"/>
              <w:jc w:val="left"/>
              <w:rPr>
                <w:rFonts w:eastAsia="Times New Roman" w:cs="Arial"/>
                <w:color w:val="000000"/>
                <w:sz w:val="18"/>
                <w:szCs w:val="18"/>
                <w:lang w:eastAsia="pt-BR"/>
              </w:rPr>
            </w:pPr>
          </w:p>
        </w:tc>
        <w:tc>
          <w:tcPr>
            <w:tcW w:w="4060" w:type="dxa"/>
            <w:tcBorders>
              <w:top w:val="nil"/>
              <w:left w:val="nil"/>
              <w:bottom w:val="single" w:sz="8" w:space="0" w:color="auto"/>
              <w:right w:val="single" w:sz="8" w:space="0" w:color="auto"/>
            </w:tcBorders>
            <w:noWrap/>
            <w:vAlign w:val="center"/>
            <w:hideMark/>
          </w:tcPr>
          <w:p w:rsidR="001864D3" w:rsidRDefault="001864D3">
            <w:pPr>
              <w:spacing w:line="240" w:lineRule="auto"/>
              <w:jc w:val="left"/>
              <w:rPr>
                <w:rFonts w:eastAsia="Times New Roman" w:cs="Arial"/>
                <w:color w:val="000000"/>
                <w:sz w:val="18"/>
                <w:szCs w:val="18"/>
                <w:lang w:eastAsia="pt-BR"/>
              </w:rPr>
            </w:pPr>
            <w:r>
              <w:rPr>
                <w:rFonts w:eastAsia="Times New Roman" w:cs="Arial"/>
                <w:color w:val="000000"/>
                <w:sz w:val="18"/>
                <w:szCs w:val="18"/>
                <w:lang w:eastAsia="pt-BR"/>
              </w:rPr>
              <w:t>Tapete biodegradável</w:t>
            </w:r>
          </w:p>
        </w:tc>
        <w:tc>
          <w:tcPr>
            <w:tcW w:w="992" w:type="dxa"/>
            <w:tcBorders>
              <w:top w:val="nil"/>
              <w:left w:val="nil"/>
              <w:bottom w:val="single" w:sz="8" w:space="0" w:color="auto"/>
              <w:right w:val="nil"/>
            </w:tcBorders>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791" w:type="dxa"/>
            <w:tcBorders>
              <w:top w:val="nil"/>
              <w:left w:val="nil"/>
              <w:bottom w:val="single" w:sz="8" w:space="0" w:color="auto"/>
              <w:right w:val="nil"/>
            </w:tcBorders>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892" w:type="dxa"/>
            <w:tcBorders>
              <w:top w:val="nil"/>
              <w:left w:val="nil"/>
              <w:bottom w:val="single" w:sz="8" w:space="0" w:color="auto"/>
              <w:right w:val="nil"/>
            </w:tcBorders>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x</w:t>
            </w:r>
          </w:p>
        </w:tc>
        <w:tc>
          <w:tcPr>
            <w:tcW w:w="1225" w:type="dxa"/>
            <w:tcBorders>
              <w:top w:val="nil"/>
              <w:left w:val="nil"/>
              <w:bottom w:val="single" w:sz="8" w:space="0" w:color="auto"/>
              <w:right w:val="single" w:sz="8" w:space="0" w:color="auto"/>
            </w:tcBorders>
            <w:noWrap/>
            <w:vAlign w:val="center"/>
            <w:hideMark/>
          </w:tcPr>
          <w:p w:rsidR="001864D3" w:rsidRDefault="001864D3">
            <w:pPr>
              <w:spacing w:line="240" w:lineRule="auto"/>
              <w:jc w:val="center"/>
              <w:rPr>
                <w:rFonts w:eastAsia="Times New Roman" w:cs="Arial"/>
                <w:color w:val="000000"/>
                <w:sz w:val="18"/>
                <w:szCs w:val="18"/>
                <w:lang w:eastAsia="pt-BR"/>
              </w:rPr>
            </w:pPr>
            <w:r>
              <w:rPr>
                <w:rFonts w:eastAsia="Times New Roman" w:cs="Arial"/>
                <w:color w:val="000000"/>
                <w:sz w:val="18"/>
                <w:szCs w:val="18"/>
                <w:lang w:eastAsia="pt-BR"/>
              </w:rPr>
              <w:t> </w:t>
            </w:r>
          </w:p>
        </w:tc>
      </w:tr>
    </w:tbl>
    <w:p w:rsidR="001864D3" w:rsidRDefault="001864D3" w:rsidP="001864D3">
      <w:pPr>
        <w:pStyle w:val="Fonte"/>
        <w:rPr>
          <w:rFonts w:cs="Arial"/>
        </w:rPr>
      </w:pPr>
      <w:r>
        <w:rPr>
          <w:rFonts w:cs="Arial"/>
        </w:rPr>
        <w:t>Fonte: Adaptado de Rotta, 2012.</w:t>
      </w:r>
    </w:p>
    <w:p w:rsidR="001864D3" w:rsidRDefault="001864D3" w:rsidP="001864D3">
      <w:pPr>
        <w:pStyle w:val="Fonte"/>
        <w:rPr>
          <w:rFonts w:cs="Arial"/>
        </w:rPr>
      </w:pPr>
    </w:p>
    <w:p w:rsidR="001864D3" w:rsidRDefault="001864D3" w:rsidP="002828C8">
      <w:pPr>
        <w:pStyle w:val="Ttulo3"/>
      </w:pPr>
      <w:bookmarkStart w:id="196" w:name="_Toc483818681"/>
      <w:bookmarkStart w:id="197" w:name="_Toc497469006"/>
      <w:r>
        <w:t>Medidas para a redução da disposição de resíduos sólidos nos corpos d’água</w:t>
      </w:r>
      <w:bookmarkEnd w:id="196"/>
      <w:bookmarkEnd w:id="197"/>
    </w:p>
    <w:p w:rsidR="001864D3" w:rsidRDefault="001864D3" w:rsidP="001864D3">
      <w:pPr>
        <w:ind w:firstLine="708"/>
      </w:pPr>
      <w:r>
        <w:t>Segundo Tucci (2005), à medida que a bacia é urbanizada, e a densidade populacional aumenta, a produção de sedimentos pode reduzir, mas outro problema aparece: a produção de resíduos sólidos urbanos. Esses resíduos obstruem ainda mais a drenagem e cria condições ambientais ainda piores. Ainda, segundo o autor, esse problema somente é minimizado com adequada frequência da coleta, educação da população e normatização. O volume de resíduos sólidos que chega à drenagem depende da eficiência dos serviços urbanos e de fatores diversos, como: frequência e cobertura da coleta de lixo, frequência da limpeza das ruas, reciclagem, forma de disposição do lixo pela população e frequência da precipitação.</w:t>
      </w:r>
    </w:p>
    <w:p w:rsidR="001864D3" w:rsidRDefault="001864D3" w:rsidP="001864D3">
      <w:pPr>
        <w:ind w:firstLine="708"/>
        <w:rPr>
          <w:rFonts w:cs="Arial"/>
        </w:rPr>
      </w:pPr>
      <w:r>
        <w:t xml:space="preserve">Tucci e Neves (2009), citando Armitage (2001) apud Marais e Armitage (2004), trazem a informação que a varrição diária pode remover mais de 98% do lixo presente nas ruas. Os autores mostraram que, quando a razão entre o número médio de dias entre varrição e o número médio de dias entre chuvas significativas é 1, a eficiência da varrição é de apenas 50%, carreando o restante para os cursos hídricos. Ainda </w:t>
      </w:r>
      <w:r>
        <w:lastRenderedPageBreak/>
        <w:t>segundo os autores, a limpeza urbana é o fator de maior relação com a rede de drenagem, por estar mais suscetível a atingi-la.</w:t>
      </w:r>
    </w:p>
    <w:p w:rsidR="001864D3" w:rsidRDefault="001864D3" w:rsidP="001864D3">
      <w:pPr>
        <w:ind w:firstLine="708"/>
        <w:rPr>
          <w:rFonts w:cs="Arial"/>
          <w:lang w:eastAsia="pt-BR"/>
        </w:rPr>
      </w:pPr>
      <w:r>
        <w:rPr>
          <w:rFonts w:cs="Arial"/>
        </w:rPr>
        <w:t xml:space="preserve">De acordo com Tucci &amp; Neves (2009), a gestão dos resíduos sólidos na drenagem urbana envolve ações de minimização do total gerado. Essa redução, por sua vez, pode ser feita através de </w:t>
      </w:r>
      <w:r>
        <w:rPr>
          <w:rFonts w:cs="Arial"/>
          <w:i/>
        </w:rPr>
        <w:t>dois tipos de medidas</w:t>
      </w:r>
      <w:r>
        <w:rPr>
          <w:rFonts w:cs="Arial"/>
        </w:rPr>
        <w:t xml:space="preserve">: </w:t>
      </w:r>
      <w:r>
        <w:rPr>
          <w:rFonts w:cs="Arial"/>
          <w:i/>
        </w:rPr>
        <w:t>estruturais</w:t>
      </w:r>
      <w:r>
        <w:rPr>
          <w:rFonts w:cs="Arial"/>
        </w:rPr>
        <w:t xml:space="preserve">, com a implantação das armadilhas ou estruturas de retenção; e </w:t>
      </w:r>
      <w:r>
        <w:rPr>
          <w:rFonts w:cs="Arial"/>
          <w:i/>
        </w:rPr>
        <w:t>não estruturais</w:t>
      </w:r>
      <w:r>
        <w:rPr>
          <w:rFonts w:cs="Arial"/>
        </w:rPr>
        <w:t>, envolvendo mudanças de atitude da comunidade (incluindo o comércio, a indústria e os residentes).</w:t>
      </w:r>
    </w:p>
    <w:p w:rsidR="001864D3" w:rsidRDefault="001864D3" w:rsidP="001864D3">
      <w:pPr>
        <w:ind w:firstLine="708"/>
        <w:rPr>
          <w:rFonts w:cs="Arial"/>
        </w:rPr>
      </w:pPr>
      <w:r>
        <w:rPr>
          <w:rFonts w:cs="Arial"/>
        </w:rPr>
        <w:t>Porto (1995) cita os principais aspectos que as medidas não estruturais devem ter:</w:t>
      </w:r>
    </w:p>
    <w:p w:rsidR="001864D3" w:rsidRDefault="001864D3" w:rsidP="00A87269">
      <w:pPr>
        <w:numPr>
          <w:ilvl w:val="0"/>
          <w:numId w:val="52"/>
        </w:numPr>
        <w:rPr>
          <w:rFonts w:cs="Arial"/>
        </w:rPr>
      </w:pPr>
      <w:r>
        <w:rPr>
          <w:rFonts w:cs="Arial"/>
        </w:rPr>
        <w:t>Melhorar a qualidade do corpo receptor.</w:t>
      </w:r>
    </w:p>
    <w:p w:rsidR="001864D3" w:rsidRDefault="001864D3" w:rsidP="00A87269">
      <w:pPr>
        <w:numPr>
          <w:ilvl w:val="0"/>
          <w:numId w:val="52"/>
        </w:numPr>
        <w:rPr>
          <w:rFonts w:cs="Arial"/>
        </w:rPr>
      </w:pPr>
      <w:r>
        <w:rPr>
          <w:rFonts w:cs="Arial"/>
        </w:rPr>
        <w:t>Ser economicamente eficiente.</w:t>
      </w:r>
    </w:p>
    <w:p w:rsidR="001864D3" w:rsidRDefault="001864D3" w:rsidP="00A87269">
      <w:pPr>
        <w:numPr>
          <w:ilvl w:val="0"/>
          <w:numId w:val="52"/>
        </w:numPr>
        <w:rPr>
          <w:rFonts w:cs="Arial"/>
        </w:rPr>
      </w:pPr>
      <w:r>
        <w:rPr>
          <w:rFonts w:cs="Arial"/>
        </w:rPr>
        <w:t>Ser consistente com os objetivos do controle de qualidade da água do corpo receptor.</w:t>
      </w:r>
    </w:p>
    <w:p w:rsidR="001864D3" w:rsidRDefault="001864D3" w:rsidP="00A87269">
      <w:pPr>
        <w:numPr>
          <w:ilvl w:val="0"/>
          <w:numId w:val="52"/>
        </w:numPr>
        <w:rPr>
          <w:rFonts w:cs="Arial"/>
        </w:rPr>
      </w:pPr>
      <w:r>
        <w:rPr>
          <w:rFonts w:cs="Arial"/>
        </w:rPr>
        <w:t>Ser aplicável a toda a área da bacia.</w:t>
      </w:r>
    </w:p>
    <w:p w:rsidR="001864D3" w:rsidRDefault="001864D3" w:rsidP="00A87269">
      <w:pPr>
        <w:numPr>
          <w:ilvl w:val="0"/>
          <w:numId w:val="52"/>
        </w:numPr>
        <w:rPr>
          <w:rFonts w:cs="Arial"/>
        </w:rPr>
      </w:pPr>
      <w:r>
        <w:rPr>
          <w:rFonts w:cs="Arial"/>
        </w:rPr>
        <w:t>Ser aceitável pela população.</w:t>
      </w:r>
    </w:p>
    <w:p w:rsidR="001864D3" w:rsidRDefault="001864D3" w:rsidP="00A87269">
      <w:pPr>
        <w:numPr>
          <w:ilvl w:val="0"/>
          <w:numId w:val="52"/>
        </w:numPr>
        <w:rPr>
          <w:rFonts w:cs="Arial"/>
        </w:rPr>
      </w:pPr>
      <w:r>
        <w:rPr>
          <w:rFonts w:cs="Arial"/>
        </w:rPr>
        <w:t>Ser consistente com as medidas estruturais propostas ou implantadas.</w:t>
      </w:r>
    </w:p>
    <w:p w:rsidR="001864D3" w:rsidRDefault="001864D3" w:rsidP="001864D3">
      <w:pPr>
        <w:ind w:firstLine="708"/>
        <w:rPr>
          <w:rFonts w:cs="Arial"/>
        </w:rPr>
      </w:pPr>
      <w:r>
        <w:rPr>
          <w:rFonts w:cs="Arial"/>
        </w:rPr>
        <w:t>A autora apresenta também as medidas não estruturais mais utilizadas, que estão descritas a seguir:</w:t>
      </w:r>
    </w:p>
    <w:p w:rsidR="001864D3" w:rsidRDefault="001864D3" w:rsidP="00A87269">
      <w:pPr>
        <w:numPr>
          <w:ilvl w:val="0"/>
          <w:numId w:val="52"/>
        </w:numPr>
        <w:rPr>
          <w:rFonts w:cs="Arial"/>
        </w:rPr>
      </w:pPr>
      <w:r>
        <w:rPr>
          <w:rFonts w:cs="Arial"/>
        </w:rPr>
        <w:t>Controle do uso do solo urbano.</w:t>
      </w:r>
    </w:p>
    <w:p w:rsidR="001864D3" w:rsidRDefault="001864D3" w:rsidP="00A87269">
      <w:pPr>
        <w:numPr>
          <w:ilvl w:val="0"/>
          <w:numId w:val="52"/>
        </w:numPr>
        <w:rPr>
          <w:rFonts w:cs="Arial"/>
        </w:rPr>
      </w:pPr>
      <w:r>
        <w:rPr>
          <w:rFonts w:cs="Arial"/>
        </w:rPr>
        <w:t>Regulamentação para áreas em construção, incluindo a obrigatoriedade da adoção das medidas de controle da produção de sedimentos, diminuindo a erosão local.</w:t>
      </w:r>
    </w:p>
    <w:p w:rsidR="001864D3" w:rsidRDefault="001864D3" w:rsidP="00A87269">
      <w:pPr>
        <w:numPr>
          <w:ilvl w:val="0"/>
          <w:numId w:val="52"/>
        </w:numPr>
        <w:rPr>
          <w:rFonts w:cs="Arial"/>
        </w:rPr>
      </w:pPr>
      <w:r>
        <w:rPr>
          <w:rFonts w:cs="Arial"/>
        </w:rPr>
        <w:t>Implantação de áreas verdes que reduzem as vazões e os volumes escoados superficialmente, assim como as cargas de sedimentos.</w:t>
      </w:r>
    </w:p>
    <w:p w:rsidR="001864D3" w:rsidRDefault="001864D3" w:rsidP="00A87269">
      <w:pPr>
        <w:numPr>
          <w:ilvl w:val="0"/>
          <w:numId w:val="52"/>
        </w:numPr>
        <w:rPr>
          <w:rFonts w:cs="Arial"/>
        </w:rPr>
      </w:pPr>
      <w:r>
        <w:rPr>
          <w:rFonts w:cs="Arial"/>
        </w:rPr>
        <w:t>Controle de ligações clandestinas de esgoto na rede de drenagem.</w:t>
      </w:r>
    </w:p>
    <w:p w:rsidR="001864D3" w:rsidRDefault="001864D3" w:rsidP="00A87269">
      <w:pPr>
        <w:numPr>
          <w:ilvl w:val="0"/>
          <w:numId w:val="52"/>
        </w:numPr>
        <w:rPr>
          <w:rFonts w:cs="Arial"/>
        </w:rPr>
      </w:pPr>
      <w:r>
        <w:rPr>
          <w:rFonts w:cs="Arial"/>
        </w:rPr>
        <w:t>Varrição de ruas e recolhimento do material grosseiro.</w:t>
      </w:r>
    </w:p>
    <w:p w:rsidR="001864D3" w:rsidRDefault="001864D3" w:rsidP="00A87269">
      <w:pPr>
        <w:numPr>
          <w:ilvl w:val="0"/>
          <w:numId w:val="52"/>
        </w:numPr>
        <w:rPr>
          <w:rFonts w:cs="Arial"/>
        </w:rPr>
      </w:pPr>
      <w:r>
        <w:rPr>
          <w:rFonts w:cs="Arial"/>
        </w:rPr>
        <w:t>Controle da coleta e disposição final dos resíduos.</w:t>
      </w:r>
    </w:p>
    <w:p w:rsidR="001864D3" w:rsidRDefault="001864D3" w:rsidP="00A87269">
      <w:pPr>
        <w:numPr>
          <w:ilvl w:val="0"/>
          <w:numId w:val="52"/>
        </w:numPr>
        <w:rPr>
          <w:rFonts w:cs="Arial"/>
        </w:rPr>
      </w:pPr>
      <w:r>
        <w:rPr>
          <w:rFonts w:cs="Arial"/>
        </w:rPr>
        <w:t>Educação da população, sensibilizando-a quanto às disposições finais dos resíduos sólidos.</w:t>
      </w:r>
    </w:p>
    <w:p w:rsidR="001864D3" w:rsidRDefault="001864D3" w:rsidP="00A87269">
      <w:pPr>
        <w:numPr>
          <w:ilvl w:val="0"/>
          <w:numId w:val="52"/>
        </w:numPr>
        <w:rPr>
          <w:rFonts w:cs="Arial"/>
        </w:rPr>
      </w:pPr>
      <w:r>
        <w:rPr>
          <w:rFonts w:cs="Arial"/>
        </w:rPr>
        <w:t>Instalação de placas de advertência para a não disposição de resíduos sólidos em local indevido, principalmente próximo aos corpos d’água.</w:t>
      </w:r>
    </w:p>
    <w:p w:rsidR="001864D3" w:rsidRDefault="001864D3" w:rsidP="001864D3">
      <w:pPr>
        <w:ind w:firstLine="708"/>
        <w:rPr>
          <w:rFonts w:cs="Arial"/>
        </w:rPr>
      </w:pPr>
      <w:r>
        <w:rPr>
          <w:rFonts w:cs="Arial"/>
        </w:rPr>
        <w:lastRenderedPageBreak/>
        <w:t>Medidas não estruturais e preventivas quanto à geração de resíduos podem ser tomadas no sentido de melhorar os serviços urbanos, estando entre elas:</w:t>
      </w:r>
    </w:p>
    <w:p w:rsidR="001864D3" w:rsidRDefault="001864D3" w:rsidP="00A87269">
      <w:pPr>
        <w:numPr>
          <w:ilvl w:val="0"/>
          <w:numId w:val="52"/>
        </w:numPr>
        <w:rPr>
          <w:rFonts w:cs="Arial"/>
        </w:rPr>
      </w:pPr>
      <w:r>
        <w:rPr>
          <w:rFonts w:cs="Arial"/>
        </w:rPr>
        <w:t>Regular os empreendimentos com atuação no controle da implantação de construções urbanas.</w:t>
      </w:r>
    </w:p>
    <w:p w:rsidR="001864D3" w:rsidRDefault="001864D3" w:rsidP="00A87269">
      <w:pPr>
        <w:numPr>
          <w:ilvl w:val="0"/>
          <w:numId w:val="52"/>
        </w:numPr>
        <w:rPr>
          <w:rFonts w:cs="Arial"/>
        </w:rPr>
      </w:pPr>
      <w:r>
        <w:rPr>
          <w:rFonts w:cs="Arial"/>
        </w:rPr>
        <w:t>Criar mecanismos para redução das fontes de produção de resíduos.</w:t>
      </w:r>
    </w:p>
    <w:p w:rsidR="001864D3" w:rsidRDefault="001864D3" w:rsidP="00A87269">
      <w:pPr>
        <w:numPr>
          <w:ilvl w:val="0"/>
          <w:numId w:val="52"/>
        </w:numPr>
        <w:rPr>
          <w:rFonts w:cs="Arial"/>
        </w:rPr>
      </w:pPr>
      <w:r>
        <w:rPr>
          <w:rFonts w:cs="Arial"/>
        </w:rPr>
        <w:t>Implementar e/ou ampliar os programas de reciclagem visando recuperar o valor econômico agregado dos resíduos.</w:t>
      </w:r>
    </w:p>
    <w:p w:rsidR="001864D3" w:rsidRDefault="001864D3" w:rsidP="00A87269">
      <w:pPr>
        <w:numPr>
          <w:ilvl w:val="0"/>
          <w:numId w:val="52"/>
        </w:numPr>
        <w:rPr>
          <w:rFonts w:cs="Arial"/>
        </w:rPr>
      </w:pPr>
      <w:r>
        <w:rPr>
          <w:rFonts w:cs="Arial"/>
        </w:rPr>
        <w:t>Implementar ações de educação, conscientização e de incentivos à separação seletiva, entre outros (Tucci &amp; Neves, 2009).</w:t>
      </w:r>
    </w:p>
    <w:p w:rsidR="001864D3" w:rsidRDefault="001864D3" w:rsidP="001864D3">
      <w:pPr>
        <w:ind w:firstLine="708"/>
        <w:rPr>
          <w:rFonts w:cs="Arial"/>
        </w:rPr>
      </w:pPr>
      <w:r>
        <w:rPr>
          <w:rFonts w:cs="Arial"/>
        </w:rPr>
        <w:t>As medidas estruturais utilizam dispositivos de retenção, com destaque para os autolimpantes e exigem, por vezes, recursos altos que inviabilizam sua utilização (Tucci &amp; Neves, 2009). Dessa maneira, o município com pouco recurso financeiro deve direcionar o seu foco para as medidas não estruturais apresentadas, as quais demandam menores gastos e apresentam, de modo geral, bons resultados para a redução da disposição de resíduos sólidos na drenagem urbana.</w:t>
      </w:r>
    </w:p>
    <w:p w:rsidR="001864D3" w:rsidRDefault="001864D3" w:rsidP="001864D3">
      <w:pPr>
        <w:ind w:firstLine="708"/>
        <w:rPr>
          <w:rFonts w:cs="Arial"/>
        </w:rPr>
      </w:pPr>
      <w:r>
        <w:rPr>
          <w:rFonts w:cs="Arial"/>
        </w:rPr>
        <w:t xml:space="preserve">Com relação a medidas estruturais, Armitage et al. (1998, apud Tucci e Neves,2009) fazem uma compilação das medidas autolimpantes, apresentada na </w:t>
      </w:r>
      <w:r>
        <w:rPr>
          <w:rFonts w:cs="Arial"/>
        </w:rPr>
        <w:fldChar w:fldCharType="begin"/>
      </w:r>
      <w:r>
        <w:rPr>
          <w:rFonts w:cs="Arial"/>
        </w:rPr>
        <w:instrText xml:space="preserve"> REF _Ref483653661 \h </w:instrText>
      </w:r>
      <w:r>
        <w:rPr>
          <w:rFonts w:cs="Arial"/>
        </w:rPr>
      </w:r>
      <w:r>
        <w:rPr>
          <w:rFonts w:cs="Arial"/>
        </w:rPr>
        <w:fldChar w:fldCharType="separate"/>
      </w:r>
      <w:r w:rsidR="004D1D76">
        <w:t xml:space="preserve">Tabela </w:t>
      </w:r>
      <w:r w:rsidR="004D1D76">
        <w:rPr>
          <w:noProof/>
        </w:rPr>
        <w:t>6</w:t>
      </w:r>
      <w:r>
        <w:rPr>
          <w:rFonts w:cs="Arial"/>
        </w:rPr>
        <w:fldChar w:fldCharType="end"/>
      </w:r>
      <w:r>
        <w:rPr>
          <w:rFonts w:cs="Arial"/>
        </w:rPr>
        <w:t>.</w:t>
      </w:r>
    </w:p>
    <w:p w:rsidR="001864D3" w:rsidRDefault="001864D3" w:rsidP="001864D3">
      <w:pPr>
        <w:pStyle w:val="Legenda"/>
        <w:rPr>
          <w:lang w:val="pt-BR"/>
        </w:rPr>
      </w:pPr>
      <w:bookmarkStart w:id="198" w:name="_Ref483653661"/>
      <w:bookmarkStart w:id="199" w:name="_Toc497469208"/>
      <w:r>
        <w:lastRenderedPageBreak/>
        <w:t xml:space="preserve">Tabela </w:t>
      </w:r>
      <w:r w:rsidR="00D71C43">
        <w:fldChar w:fldCharType="begin"/>
      </w:r>
      <w:r w:rsidR="00D71C43">
        <w:instrText xml:space="preserve"> SEQ Tabela \* ARABIC </w:instrText>
      </w:r>
      <w:r w:rsidR="00D71C43">
        <w:fldChar w:fldCharType="separate"/>
      </w:r>
      <w:r w:rsidR="004D1D76">
        <w:rPr>
          <w:noProof/>
        </w:rPr>
        <w:t>6</w:t>
      </w:r>
      <w:r w:rsidR="00D71C43">
        <w:rPr>
          <w:noProof/>
        </w:rPr>
        <w:fldChar w:fldCharType="end"/>
      </w:r>
      <w:bookmarkEnd w:id="198"/>
      <w:r>
        <w:rPr>
          <w:lang w:val="pt-BR"/>
        </w:rPr>
        <w:t xml:space="preserve"> - </w:t>
      </w:r>
      <w:r>
        <w:t>Evolução das estruturas de retenção de resíduos sólidos — autolimpantes</w:t>
      </w:r>
      <w:bookmarkEnd w:id="199"/>
    </w:p>
    <w:p w:rsidR="001864D3" w:rsidRDefault="001864D3" w:rsidP="001864D3">
      <w:pPr>
        <w:spacing w:line="240" w:lineRule="auto"/>
        <w:jc w:val="center"/>
        <w:rPr>
          <w:rFonts w:cs="Arial"/>
        </w:rPr>
      </w:pPr>
      <w:r>
        <w:rPr>
          <w:noProof/>
          <w:lang w:eastAsia="pt-BR"/>
        </w:rPr>
        <w:drawing>
          <wp:inline distT="0" distB="0" distL="0" distR="0" wp14:anchorId="727D1ECD" wp14:editId="45138D24">
            <wp:extent cx="5760000" cy="5585437"/>
            <wp:effectExtent l="0" t="0" r="0"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pic:cNvPicPr>
                      <a:picLocks noChangeAspect="1" noChangeArrowheads="1"/>
                    </pic:cNvPicPr>
                  </pic:nvPicPr>
                  <pic:blipFill rotWithShape="1">
                    <a:blip r:embed="rId31" cstate="screen">
                      <a:extLst>
                        <a:ext uri="{28A0092B-C50C-407E-A947-70E740481C1C}">
                          <a14:useLocalDpi xmlns:a14="http://schemas.microsoft.com/office/drawing/2010/main"/>
                        </a:ext>
                      </a:extLst>
                    </a:blip>
                    <a:srcRect/>
                    <a:stretch/>
                  </pic:blipFill>
                  <pic:spPr bwMode="auto">
                    <a:xfrm>
                      <a:off x="0" y="0"/>
                      <a:ext cx="5760000" cy="5585437"/>
                    </a:xfrm>
                    <a:prstGeom prst="rect">
                      <a:avLst/>
                    </a:prstGeom>
                    <a:noFill/>
                    <a:ln>
                      <a:noFill/>
                    </a:ln>
                    <a:extLst>
                      <a:ext uri="{53640926-AAD7-44D8-BBD7-CCE9431645EC}">
                        <a14:shadowObscured xmlns:a14="http://schemas.microsoft.com/office/drawing/2010/main"/>
                      </a:ext>
                    </a:extLst>
                  </pic:spPr>
                </pic:pic>
              </a:graphicData>
            </a:graphic>
          </wp:inline>
        </w:drawing>
      </w:r>
    </w:p>
    <w:p w:rsidR="001864D3" w:rsidRDefault="001864D3" w:rsidP="001864D3">
      <w:pPr>
        <w:pStyle w:val="Fonte"/>
        <w:spacing w:before="0" w:line="240" w:lineRule="auto"/>
      </w:pPr>
      <w:r>
        <w:t>Fonte: Armitage et al.,</w:t>
      </w:r>
      <w:r w:rsidR="003D45B8">
        <w:t xml:space="preserve"> </w:t>
      </w:r>
      <w:r>
        <w:t>1998 apud Tucci e Neves, 2009.</w:t>
      </w:r>
    </w:p>
    <w:p w:rsidR="001864D3" w:rsidRDefault="001864D3" w:rsidP="001864D3">
      <w:pPr>
        <w:pStyle w:val="Fonte"/>
        <w:spacing w:before="0" w:line="240" w:lineRule="auto"/>
      </w:pPr>
    </w:p>
    <w:p w:rsidR="001864D3" w:rsidRDefault="001864D3" w:rsidP="002828C8">
      <w:pPr>
        <w:pStyle w:val="Ttulo3"/>
      </w:pPr>
      <w:bookmarkStart w:id="200" w:name="_Toc483818682"/>
      <w:bookmarkStart w:id="201" w:name="_Toc497469007"/>
      <w:r>
        <w:t>Diretrizes para o controle do escoamento superficial</w:t>
      </w:r>
      <w:bookmarkEnd w:id="200"/>
      <w:bookmarkEnd w:id="201"/>
    </w:p>
    <w:p w:rsidR="001864D3" w:rsidRDefault="001864D3" w:rsidP="001864D3">
      <w:pPr>
        <w:spacing w:line="336" w:lineRule="auto"/>
        <w:ind w:firstLine="708"/>
        <w:rPr>
          <w:rFonts w:cs="Arial"/>
          <w:lang w:eastAsia="pt-BR"/>
        </w:rPr>
      </w:pPr>
      <w:r>
        <w:rPr>
          <w:rFonts w:cs="Arial"/>
          <w:lang w:eastAsia="pt-BR"/>
        </w:rPr>
        <w:t xml:space="preserve">As medidas quanto a controle de escoamento superficial, ou também chamadas de técnicas compensatórias, podem também ser tanto não estruturais como estruturais. Segundo Baptista et al. (2005), as medidas não estruturais envolvem devida regulamentação, racionalização do uso do solo urbano, educação ambiental e tratamentos de fundo de vale. Estas procuram disciplinar ou adequar a ocupação territorial, o comportamento da população frente à questão da drenagem e as questões </w:t>
      </w:r>
      <w:r>
        <w:rPr>
          <w:rFonts w:cs="Arial"/>
          <w:lang w:eastAsia="pt-BR"/>
        </w:rPr>
        <w:lastRenderedPageBreak/>
        <w:t xml:space="preserve">econômicas. Quanto às técnicas compensatórias estruturais, as mais difundidas estão apresentadas no </w:t>
      </w:r>
      <w:r>
        <w:rPr>
          <w:rFonts w:cs="Arial"/>
          <w:lang w:eastAsia="pt-BR"/>
        </w:rPr>
        <w:fldChar w:fldCharType="begin"/>
      </w:r>
      <w:r>
        <w:rPr>
          <w:rFonts w:cs="Arial"/>
          <w:lang w:eastAsia="pt-BR"/>
        </w:rPr>
        <w:instrText xml:space="preserve"> REF _Ref435004186 \h  \* MERGEFORMAT </w:instrText>
      </w:r>
      <w:r>
        <w:rPr>
          <w:rFonts w:cs="Arial"/>
          <w:lang w:eastAsia="pt-BR"/>
        </w:rPr>
      </w:r>
      <w:r>
        <w:rPr>
          <w:rFonts w:cs="Arial"/>
          <w:lang w:eastAsia="pt-BR"/>
        </w:rPr>
        <w:fldChar w:fldCharType="separate"/>
      </w:r>
      <w:r w:rsidR="004D1D76" w:rsidRPr="004D1D76">
        <w:rPr>
          <w:rFonts w:cs="Arial"/>
        </w:rPr>
        <w:t xml:space="preserve">Quadro </w:t>
      </w:r>
      <w:r w:rsidR="004D1D76" w:rsidRPr="004D1D76">
        <w:rPr>
          <w:rFonts w:cs="Arial"/>
          <w:noProof/>
        </w:rPr>
        <w:t>22</w:t>
      </w:r>
      <w:r>
        <w:rPr>
          <w:rFonts w:cs="Arial"/>
          <w:lang w:eastAsia="pt-BR"/>
        </w:rPr>
        <w:fldChar w:fldCharType="end"/>
      </w:r>
      <w:r>
        <w:rPr>
          <w:rFonts w:cs="Arial"/>
          <w:lang w:eastAsia="pt-BR"/>
        </w:rPr>
        <w:t>.</w:t>
      </w:r>
    </w:p>
    <w:p w:rsidR="001864D3" w:rsidRDefault="001864D3" w:rsidP="001864D3">
      <w:pPr>
        <w:pStyle w:val="Legenda"/>
        <w:rPr>
          <w:lang w:val="pt-BR"/>
        </w:rPr>
      </w:pPr>
      <w:bookmarkStart w:id="202" w:name="_Ref435004186"/>
      <w:bookmarkStart w:id="203" w:name="_Toc447028998"/>
      <w:bookmarkStart w:id="204" w:name="_Toc497469143"/>
      <w:r>
        <w:t xml:space="preserve">Quadro </w:t>
      </w:r>
      <w:r w:rsidR="00D71C43">
        <w:fldChar w:fldCharType="begin"/>
      </w:r>
      <w:r w:rsidR="00D71C43">
        <w:instrText xml:space="preserve"> SEQ Quadro \* ARABIC </w:instrText>
      </w:r>
      <w:r w:rsidR="00D71C43">
        <w:fldChar w:fldCharType="separate"/>
      </w:r>
      <w:r w:rsidR="004D1D76">
        <w:rPr>
          <w:noProof/>
        </w:rPr>
        <w:t>22</w:t>
      </w:r>
      <w:r w:rsidR="00D71C43">
        <w:rPr>
          <w:noProof/>
        </w:rPr>
        <w:fldChar w:fldCharType="end"/>
      </w:r>
      <w:bookmarkEnd w:id="202"/>
      <w:r>
        <w:t xml:space="preserve"> - Esquema das diferentes técnicas compensatórias estruturais</w:t>
      </w:r>
      <w:bookmarkEnd w:id="203"/>
      <w:bookmarkEnd w:id="204"/>
    </w:p>
    <w:tbl>
      <w:tblPr>
        <w:tblStyle w:val="Tabelacomgrade"/>
        <w:tblW w:w="0" w:type="auto"/>
        <w:jc w:val="center"/>
        <w:tblLook w:val="04A0" w:firstRow="1" w:lastRow="0" w:firstColumn="1" w:lastColumn="0" w:noHBand="0" w:noVBand="1"/>
      </w:tblPr>
      <w:tblGrid>
        <w:gridCol w:w="1573"/>
        <w:gridCol w:w="1261"/>
        <w:gridCol w:w="2629"/>
      </w:tblGrid>
      <w:tr w:rsidR="001864D3" w:rsidTr="001864D3">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1864D3" w:rsidRDefault="001864D3">
            <w:pPr>
              <w:spacing w:before="40" w:after="40" w:line="240" w:lineRule="auto"/>
              <w:rPr>
                <w:sz w:val="20"/>
                <w:szCs w:val="20"/>
                <w:lang w:eastAsia="pt-BR"/>
              </w:rPr>
            </w:pPr>
            <w:r>
              <w:rPr>
                <w:sz w:val="20"/>
                <w:szCs w:val="20"/>
                <w:lang w:eastAsia="pt-BR"/>
              </w:rPr>
              <w:t>Bacias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1864D3" w:rsidRDefault="001864D3">
            <w:pPr>
              <w:spacing w:before="40" w:after="40" w:line="240" w:lineRule="auto"/>
              <w:rPr>
                <w:sz w:val="20"/>
                <w:szCs w:val="20"/>
                <w:lang w:eastAsia="pt-BR"/>
              </w:rPr>
            </w:pPr>
            <w:r>
              <w:rPr>
                <w:sz w:val="20"/>
                <w:szCs w:val="20"/>
                <w:lang w:eastAsia="pt-BR"/>
              </w:rPr>
              <w:t>Detenção e Retenção</w:t>
            </w:r>
          </w:p>
          <w:p w:rsidR="001864D3" w:rsidRDefault="001864D3">
            <w:pPr>
              <w:spacing w:before="40" w:after="40" w:line="240" w:lineRule="auto"/>
              <w:rPr>
                <w:sz w:val="20"/>
                <w:szCs w:val="20"/>
                <w:lang w:eastAsia="pt-BR"/>
              </w:rPr>
            </w:pPr>
            <w:r>
              <w:rPr>
                <w:sz w:val="20"/>
                <w:szCs w:val="20"/>
                <w:lang w:eastAsia="pt-BR"/>
              </w:rPr>
              <w:t>Infiltração</w:t>
            </w:r>
          </w:p>
          <w:p w:rsidR="001864D3" w:rsidRDefault="001864D3">
            <w:pPr>
              <w:spacing w:before="40" w:after="40" w:line="240" w:lineRule="auto"/>
              <w:rPr>
                <w:sz w:val="20"/>
                <w:szCs w:val="20"/>
                <w:lang w:eastAsia="pt-BR"/>
              </w:rPr>
            </w:pPr>
            <w:r>
              <w:rPr>
                <w:sz w:val="20"/>
                <w:szCs w:val="20"/>
                <w:lang w:eastAsia="pt-BR"/>
              </w:rPr>
              <w:t>Detenção/Retenção e Infiltração</w:t>
            </w:r>
          </w:p>
        </w:tc>
      </w:tr>
      <w:tr w:rsidR="001864D3" w:rsidTr="001864D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1864D3" w:rsidRDefault="001864D3">
            <w:pPr>
              <w:spacing w:before="40" w:after="40" w:line="240" w:lineRule="auto"/>
              <w:rPr>
                <w:sz w:val="20"/>
                <w:szCs w:val="20"/>
                <w:lang w:eastAsia="pt-BR"/>
              </w:rPr>
            </w:pPr>
            <w:r>
              <w:rPr>
                <w:sz w:val="20"/>
                <w:szCs w:val="20"/>
                <w:lang w:eastAsia="pt-BR"/>
              </w:rPr>
              <w:t>Obras lineares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1864D3" w:rsidRDefault="001864D3">
            <w:pPr>
              <w:spacing w:before="40" w:after="40" w:line="240" w:lineRule="auto"/>
              <w:rPr>
                <w:sz w:val="20"/>
                <w:szCs w:val="20"/>
                <w:lang w:eastAsia="pt-BR"/>
              </w:rPr>
            </w:pPr>
            <w:r>
              <w:rPr>
                <w:sz w:val="20"/>
                <w:szCs w:val="20"/>
                <w:lang w:eastAsia="pt-BR"/>
              </w:rPr>
              <w:t>Trincheiras</w:t>
            </w:r>
          </w:p>
          <w:p w:rsidR="001864D3" w:rsidRDefault="001864D3">
            <w:pPr>
              <w:spacing w:before="40" w:after="40" w:line="240" w:lineRule="auto"/>
              <w:rPr>
                <w:sz w:val="20"/>
                <w:szCs w:val="20"/>
                <w:lang w:eastAsia="pt-BR"/>
              </w:rPr>
            </w:pPr>
            <w:r>
              <w:rPr>
                <w:sz w:val="20"/>
                <w:szCs w:val="20"/>
                <w:lang w:eastAsia="pt-BR"/>
              </w:rPr>
              <w:t>Valas e Valetas</w:t>
            </w:r>
          </w:p>
        </w:tc>
      </w:tr>
      <w:tr w:rsidR="001864D3" w:rsidTr="001864D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864D3" w:rsidRDefault="001864D3">
            <w:pPr>
              <w:spacing w:line="240" w:lineRule="auto"/>
              <w:jc w:val="left"/>
              <w:rPr>
                <w:sz w:val="20"/>
                <w:szCs w:val="20"/>
                <w:lang w:eastAsia="pt-BR"/>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1864D3" w:rsidRDefault="001864D3">
            <w:pPr>
              <w:spacing w:before="40" w:after="40" w:line="240" w:lineRule="auto"/>
              <w:rPr>
                <w:sz w:val="20"/>
                <w:szCs w:val="20"/>
                <w:lang w:eastAsia="pt-BR"/>
              </w:rPr>
            </w:pPr>
            <w:r>
              <w:rPr>
                <w:sz w:val="20"/>
                <w:szCs w:val="20"/>
                <w:lang w:eastAsia="pt-BR"/>
              </w:rPr>
              <w:t>Pavimentos</w:t>
            </w:r>
          </w:p>
        </w:tc>
        <w:tc>
          <w:tcPr>
            <w:tcW w:w="0" w:type="auto"/>
            <w:tcBorders>
              <w:top w:val="single" w:sz="4" w:space="0" w:color="auto"/>
              <w:left w:val="single" w:sz="4" w:space="0" w:color="auto"/>
              <w:bottom w:val="single" w:sz="4" w:space="0" w:color="auto"/>
              <w:right w:val="single" w:sz="4" w:space="0" w:color="auto"/>
            </w:tcBorders>
            <w:vAlign w:val="center"/>
            <w:hideMark/>
          </w:tcPr>
          <w:p w:rsidR="001864D3" w:rsidRDefault="001864D3">
            <w:pPr>
              <w:spacing w:before="40" w:after="40" w:line="240" w:lineRule="auto"/>
              <w:rPr>
                <w:sz w:val="20"/>
                <w:szCs w:val="20"/>
                <w:lang w:eastAsia="pt-BR"/>
              </w:rPr>
            </w:pPr>
            <w:r>
              <w:rPr>
                <w:sz w:val="20"/>
                <w:szCs w:val="20"/>
                <w:lang w:eastAsia="pt-BR"/>
              </w:rPr>
              <w:t>Revestimentos permeáveis</w:t>
            </w:r>
          </w:p>
          <w:p w:rsidR="001864D3" w:rsidRDefault="001864D3">
            <w:pPr>
              <w:spacing w:before="40" w:after="40" w:line="240" w:lineRule="auto"/>
              <w:rPr>
                <w:sz w:val="20"/>
                <w:szCs w:val="20"/>
                <w:lang w:eastAsia="pt-BR"/>
              </w:rPr>
            </w:pPr>
            <w:r>
              <w:rPr>
                <w:sz w:val="20"/>
                <w:szCs w:val="20"/>
                <w:lang w:eastAsia="pt-BR"/>
              </w:rPr>
              <w:t>Pavimentos reservatório</w:t>
            </w:r>
          </w:p>
        </w:tc>
      </w:tr>
      <w:tr w:rsidR="001864D3" w:rsidTr="001864D3">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1864D3" w:rsidRDefault="001864D3">
            <w:pPr>
              <w:spacing w:before="40" w:after="40" w:line="240" w:lineRule="auto"/>
              <w:rPr>
                <w:sz w:val="20"/>
                <w:szCs w:val="20"/>
                <w:lang w:eastAsia="pt-BR"/>
              </w:rPr>
            </w:pPr>
            <w:r>
              <w:rPr>
                <w:sz w:val="20"/>
                <w:szCs w:val="20"/>
                <w:lang w:eastAsia="pt-BR"/>
              </w:rPr>
              <w:t>Obras pontuais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1864D3" w:rsidRDefault="001864D3">
            <w:pPr>
              <w:spacing w:before="40" w:after="40" w:line="240" w:lineRule="auto"/>
              <w:rPr>
                <w:sz w:val="20"/>
                <w:szCs w:val="20"/>
                <w:lang w:eastAsia="pt-BR"/>
              </w:rPr>
            </w:pPr>
            <w:r>
              <w:rPr>
                <w:sz w:val="20"/>
                <w:szCs w:val="20"/>
                <w:lang w:eastAsia="pt-BR"/>
              </w:rPr>
              <w:t>Poços de infiltração</w:t>
            </w:r>
          </w:p>
          <w:p w:rsidR="001864D3" w:rsidRDefault="001864D3">
            <w:pPr>
              <w:spacing w:before="40" w:after="40" w:line="240" w:lineRule="auto"/>
              <w:rPr>
                <w:sz w:val="20"/>
                <w:szCs w:val="20"/>
                <w:lang w:eastAsia="pt-BR"/>
              </w:rPr>
            </w:pPr>
            <w:r>
              <w:rPr>
                <w:sz w:val="20"/>
                <w:szCs w:val="20"/>
                <w:lang w:eastAsia="pt-BR"/>
              </w:rPr>
              <w:t>Telhados</w:t>
            </w:r>
          </w:p>
          <w:p w:rsidR="001864D3" w:rsidRDefault="001864D3">
            <w:pPr>
              <w:spacing w:before="40" w:after="40" w:line="240" w:lineRule="auto"/>
              <w:rPr>
                <w:sz w:val="20"/>
                <w:szCs w:val="20"/>
                <w:lang w:eastAsia="pt-BR"/>
              </w:rPr>
            </w:pPr>
            <w:r>
              <w:rPr>
                <w:sz w:val="20"/>
                <w:szCs w:val="20"/>
                <w:lang w:eastAsia="pt-BR"/>
              </w:rPr>
              <w:t>Técnicas adaptadas à parcela</w:t>
            </w:r>
          </w:p>
        </w:tc>
      </w:tr>
    </w:tbl>
    <w:p w:rsidR="001864D3" w:rsidRDefault="001864D3" w:rsidP="001864D3">
      <w:pPr>
        <w:pStyle w:val="Fonte"/>
      </w:pPr>
      <w:r>
        <w:t>Fonte: Adaptado de Baptista et al., 2005.</w:t>
      </w:r>
    </w:p>
    <w:p w:rsidR="001864D3" w:rsidRDefault="001864D3" w:rsidP="001864D3">
      <w:pPr>
        <w:ind w:firstLine="708"/>
        <w:rPr>
          <w:rFonts w:cs="Arial"/>
        </w:rPr>
      </w:pPr>
      <w:r>
        <w:rPr>
          <w:rFonts w:cs="Arial"/>
        </w:rPr>
        <w:t xml:space="preserve">De acordo com Canholi (2005), essas técnicas podem tanto ser para controle local ou regional, as quais são também classificadas como controle de jusante devido ao posicionamento relativo de suas estruturas na bacia, como também de controle na fonte, que são estruturas distribuídas na bacia que buscam o controle do escoamento superficial o mais próximo possível da fonte geradora como, por exemplo, nos loteamentos, praças e vias urbanas. Como exemplo de medidas de controle local ou regional tem-se as bacias de detenção/retenção. As outras técnicas apresentadas no </w:t>
      </w:r>
      <w:r>
        <w:rPr>
          <w:rFonts w:cs="Arial"/>
        </w:rPr>
        <w:fldChar w:fldCharType="begin"/>
      </w:r>
      <w:r>
        <w:rPr>
          <w:rFonts w:cs="Arial"/>
        </w:rPr>
        <w:instrText xml:space="preserve"> REF _Ref435004186 \h  \* MERGEFORMAT </w:instrText>
      </w:r>
      <w:r>
        <w:rPr>
          <w:rFonts w:cs="Arial"/>
        </w:rPr>
      </w:r>
      <w:r>
        <w:rPr>
          <w:rFonts w:cs="Arial"/>
        </w:rPr>
        <w:fldChar w:fldCharType="separate"/>
      </w:r>
      <w:r w:rsidR="004D1D76" w:rsidRPr="004D1D76">
        <w:rPr>
          <w:rFonts w:cs="Arial"/>
        </w:rPr>
        <w:t xml:space="preserve">Quadro </w:t>
      </w:r>
      <w:r w:rsidR="004D1D76" w:rsidRPr="004D1D76">
        <w:rPr>
          <w:rFonts w:cs="Arial"/>
          <w:noProof/>
        </w:rPr>
        <w:t>22</w:t>
      </w:r>
      <w:r>
        <w:rPr>
          <w:rFonts w:cs="Arial"/>
        </w:rPr>
        <w:fldChar w:fldCharType="end"/>
      </w:r>
      <w:r>
        <w:rPr>
          <w:rFonts w:cs="Arial"/>
        </w:rPr>
        <w:t xml:space="preserve"> (obras lineares e pontuais) são exemplos de medidas de controle na fonte. Todas essas medidas procuram agir diminuindo o pico do hidrograma na respectiva bacia.</w:t>
      </w:r>
    </w:p>
    <w:p w:rsidR="001864D3" w:rsidRDefault="001864D3" w:rsidP="001864D3">
      <w:pPr>
        <w:ind w:firstLine="708"/>
        <w:rPr>
          <w:rFonts w:cs="Arial"/>
        </w:rPr>
      </w:pPr>
      <w:r>
        <w:rPr>
          <w:rFonts w:cs="Arial"/>
        </w:rPr>
        <w:t xml:space="preserve">FEAM (2006) recomenda para bacias </w:t>
      </w:r>
      <w:r>
        <w:rPr>
          <w:rFonts w:cs="Arial"/>
          <w:b/>
          <w:i/>
        </w:rPr>
        <w:t xml:space="preserve">subparcialmente urbanizadas </w:t>
      </w:r>
      <w:r>
        <w:rPr>
          <w:rFonts w:cs="Arial"/>
        </w:rPr>
        <w:t>adotar a legislação municipal como instrumento eficaz que promova a retenção e a percolação no solo das águas pluviais no perímetro urbano, tais como valas de infiltração - sistemas de drenos implantados paralelos às ruas, estradas e conjuntos habitacionais (</w:t>
      </w:r>
      <w:r>
        <w:rPr>
          <w:rFonts w:cs="Arial"/>
        </w:rPr>
        <w:fldChar w:fldCharType="begin"/>
      </w:r>
      <w:r>
        <w:rPr>
          <w:rFonts w:cs="Arial"/>
        </w:rPr>
        <w:instrText xml:space="preserve"> REF _Ref483837226 \h </w:instrText>
      </w:r>
      <w:r>
        <w:rPr>
          <w:rFonts w:cs="Arial"/>
        </w:rPr>
      </w:r>
      <w:r>
        <w:rPr>
          <w:rFonts w:cs="Arial"/>
        </w:rPr>
        <w:fldChar w:fldCharType="separate"/>
      </w:r>
      <w:r w:rsidR="004D1D76">
        <w:t xml:space="preserve">Figura </w:t>
      </w:r>
      <w:r w:rsidR="004D1D76">
        <w:rPr>
          <w:noProof/>
        </w:rPr>
        <w:t>10</w:t>
      </w:r>
      <w:r>
        <w:rPr>
          <w:rFonts w:cs="Arial"/>
        </w:rPr>
        <w:fldChar w:fldCharType="end"/>
      </w:r>
      <w:r>
        <w:rPr>
          <w:rFonts w:cs="Arial"/>
        </w:rPr>
        <w:t>).</w:t>
      </w:r>
    </w:p>
    <w:p w:rsidR="001864D3" w:rsidRDefault="001864D3" w:rsidP="001864D3">
      <w:pPr>
        <w:ind w:firstLine="708"/>
        <w:rPr>
          <w:rFonts w:cs="Arial"/>
        </w:rPr>
      </w:pPr>
    </w:p>
    <w:p w:rsidR="001864D3" w:rsidRDefault="001864D3" w:rsidP="001864D3">
      <w:pPr>
        <w:pStyle w:val="Legenda"/>
        <w:rPr>
          <w:lang w:val="pt-BR"/>
        </w:rPr>
      </w:pPr>
      <w:bookmarkStart w:id="205" w:name="_Ref483837226"/>
      <w:bookmarkStart w:id="206" w:name="_Toc497469106"/>
      <w:r>
        <w:lastRenderedPageBreak/>
        <w:t xml:space="preserve">Figura </w:t>
      </w:r>
      <w:r w:rsidR="00D71C43">
        <w:fldChar w:fldCharType="begin"/>
      </w:r>
      <w:r w:rsidR="00D71C43">
        <w:instrText xml:space="preserve"> SEQ Figura \* ARABIC </w:instrText>
      </w:r>
      <w:r w:rsidR="00D71C43">
        <w:fldChar w:fldCharType="separate"/>
      </w:r>
      <w:r w:rsidR="004D1D76">
        <w:rPr>
          <w:noProof/>
        </w:rPr>
        <w:t>10</w:t>
      </w:r>
      <w:r w:rsidR="00D71C43">
        <w:rPr>
          <w:noProof/>
        </w:rPr>
        <w:fldChar w:fldCharType="end"/>
      </w:r>
      <w:bookmarkEnd w:id="205"/>
      <w:r>
        <w:rPr>
          <w:lang w:val="pt-BR"/>
        </w:rPr>
        <w:t xml:space="preserve"> </w:t>
      </w:r>
      <w:r w:rsidR="00A70202">
        <w:rPr>
          <w:lang w:val="pt-BR"/>
        </w:rPr>
        <w:t>-</w:t>
      </w:r>
      <w:r>
        <w:rPr>
          <w:lang w:val="pt-BR"/>
        </w:rPr>
        <w:t xml:space="preserve"> Esquema de vala de infiltração</w:t>
      </w:r>
      <w:bookmarkEnd w:id="206"/>
    </w:p>
    <w:p w:rsidR="001864D3" w:rsidRDefault="001864D3" w:rsidP="0081207B">
      <w:pPr>
        <w:pStyle w:val="figura"/>
      </w:pPr>
      <w:r>
        <w:rPr>
          <w:noProof/>
        </w:rPr>
        <w:drawing>
          <wp:inline distT="0" distB="0" distL="0" distR="0" wp14:anchorId="1E14B151" wp14:editId="1AE33609">
            <wp:extent cx="5932805" cy="1637665"/>
            <wp:effectExtent l="19050" t="19050" r="10795" b="19685"/>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2">
                      <a:extLst>
                        <a:ext uri="{28A0092B-C50C-407E-A947-70E740481C1C}">
                          <a14:useLocalDpi xmlns:a14="http://schemas.microsoft.com/office/drawing/2010/main"/>
                        </a:ext>
                      </a:extLst>
                    </a:blip>
                    <a:srcRect/>
                    <a:stretch>
                      <a:fillRect/>
                    </a:stretch>
                  </pic:blipFill>
                  <pic:spPr bwMode="auto">
                    <a:xfrm>
                      <a:off x="0" y="0"/>
                      <a:ext cx="5932805" cy="1637665"/>
                    </a:xfrm>
                    <a:prstGeom prst="rect">
                      <a:avLst/>
                    </a:prstGeom>
                    <a:noFill/>
                    <a:ln w="9525" cmpd="sng">
                      <a:solidFill>
                        <a:srgbClr val="000000"/>
                      </a:solidFill>
                      <a:miter lim="800000"/>
                      <a:headEnd/>
                      <a:tailEnd/>
                    </a:ln>
                    <a:effectLst/>
                  </pic:spPr>
                </pic:pic>
              </a:graphicData>
            </a:graphic>
          </wp:inline>
        </w:drawing>
      </w:r>
    </w:p>
    <w:p w:rsidR="001864D3" w:rsidRDefault="001864D3" w:rsidP="001864D3">
      <w:pPr>
        <w:spacing w:line="240" w:lineRule="auto"/>
        <w:jc w:val="center"/>
        <w:rPr>
          <w:rFonts w:cs="Arial"/>
          <w:sz w:val="22"/>
        </w:rPr>
      </w:pPr>
      <w:r>
        <w:rPr>
          <w:rFonts w:cs="Arial"/>
          <w:sz w:val="22"/>
        </w:rPr>
        <w:t>Fonte: SMDU, 2012.</w:t>
      </w:r>
    </w:p>
    <w:p w:rsidR="001864D3" w:rsidRDefault="001864D3" w:rsidP="001864D3">
      <w:pPr>
        <w:jc w:val="center"/>
        <w:rPr>
          <w:rFonts w:cs="Arial"/>
        </w:rPr>
      </w:pPr>
    </w:p>
    <w:p w:rsidR="001864D3" w:rsidRDefault="001864D3" w:rsidP="001864D3">
      <w:pPr>
        <w:ind w:firstLine="708"/>
        <w:rPr>
          <w:rFonts w:cs="Arial"/>
          <w:color w:val="231F1F"/>
          <w:szCs w:val="20"/>
        </w:rPr>
      </w:pPr>
      <w:r>
        <w:rPr>
          <w:rFonts w:cs="Arial"/>
          <w:color w:val="231F1F"/>
          <w:szCs w:val="20"/>
        </w:rPr>
        <w:t xml:space="preserve">FEAM (2006) também faz recomendações para situação de </w:t>
      </w:r>
      <w:r>
        <w:rPr>
          <w:rFonts w:cs="Arial"/>
          <w:b/>
          <w:i/>
          <w:color w:val="231F1F"/>
          <w:szCs w:val="20"/>
        </w:rPr>
        <w:t>bacias urbanizadas</w:t>
      </w:r>
      <w:r>
        <w:rPr>
          <w:rFonts w:cs="Arial"/>
          <w:color w:val="231F1F"/>
          <w:szCs w:val="20"/>
        </w:rPr>
        <w:t xml:space="preserve">, quando a ocupação das margens - e mesmo da calha do rio - encontra-se consolidada e, nestes casos, a renaturalização e mesmo uma revalorização ecológica são limitadas, restando ao administrador </w:t>
      </w:r>
      <w:r>
        <w:rPr>
          <w:rFonts w:cs="Arial"/>
          <w:b/>
          <w:i/>
          <w:color w:val="231F1F"/>
          <w:szCs w:val="20"/>
        </w:rPr>
        <w:t>intervir a</w:t>
      </w:r>
      <w:r>
        <w:rPr>
          <w:rFonts w:cs="Arial"/>
          <w:color w:val="231F1F"/>
          <w:szCs w:val="20"/>
        </w:rPr>
        <w:t xml:space="preserve"> </w:t>
      </w:r>
      <w:r>
        <w:rPr>
          <w:rFonts w:cs="Arial"/>
          <w:b/>
          <w:color w:val="231F1F"/>
          <w:szCs w:val="20"/>
        </w:rPr>
        <w:t>montante</w:t>
      </w:r>
      <w:r>
        <w:rPr>
          <w:rFonts w:cs="Arial"/>
          <w:color w:val="231F1F"/>
          <w:szCs w:val="20"/>
        </w:rPr>
        <w:t xml:space="preserve"> do trecho, buscando reduzir os picos de vazão. Algumas soluções para infiltração das águas superficiais para o solo são:</w:t>
      </w:r>
    </w:p>
    <w:p w:rsidR="001864D3" w:rsidRDefault="001864D3" w:rsidP="00A87269">
      <w:pPr>
        <w:numPr>
          <w:ilvl w:val="0"/>
          <w:numId w:val="52"/>
        </w:numPr>
        <w:rPr>
          <w:rFonts w:cs="Arial"/>
        </w:rPr>
      </w:pPr>
      <w:r>
        <w:rPr>
          <w:rFonts w:cs="Arial"/>
        </w:rPr>
        <w:t>Pequenos reservatórios em condomínios, parques, escolas.</w:t>
      </w:r>
    </w:p>
    <w:p w:rsidR="001864D3" w:rsidRDefault="001864D3" w:rsidP="00A87269">
      <w:pPr>
        <w:numPr>
          <w:ilvl w:val="0"/>
          <w:numId w:val="52"/>
        </w:numPr>
        <w:rPr>
          <w:rFonts w:cs="Arial"/>
        </w:rPr>
      </w:pPr>
      <w:r>
        <w:rPr>
          <w:rFonts w:cs="Arial"/>
        </w:rPr>
        <w:t>Bacia para amortecimento de cheias (</w:t>
      </w:r>
      <w:r>
        <w:rPr>
          <w:rFonts w:cs="Arial"/>
        </w:rPr>
        <w:fldChar w:fldCharType="begin"/>
      </w:r>
      <w:r>
        <w:rPr>
          <w:rFonts w:cs="Arial"/>
        </w:rPr>
        <w:instrText xml:space="preserve"> REF _Ref483843029 \h </w:instrText>
      </w:r>
      <w:r>
        <w:rPr>
          <w:rFonts w:cs="Arial"/>
        </w:rPr>
      </w:r>
      <w:r>
        <w:rPr>
          <w:rFonts w:cs="Arial"/>
        </w:rPr>
        <w:fldChar w:fldCharType="separate"/>
      </w:r>
      <w:r w:rsidR="004D1D76">
        <w:t xml:space="preserve">Figura </w:t>
      </w:r>
      <w:r w:rsidR="004D1D76">
        <w:rPr>
          <w:noProof/>
        </w:rPr>
        <w:t>11</w:t>
      </w:r>
      <w:r>
        <w:rPr>
          <w:rFonts w:cs="Arial"/>
        </w:rPr>
        <w:fldChar w:fldCharType="end"/>
      </w:r>
      <w:r>
        <w:rPr>
          <w:rFonts w:cs="Arial"/>
        </w:rPr>
        <w:t>).</w:t>
      </w:r>
    </w:p>
    <w:p w:rsidR="001864D3" w:rsidRDefault="001864D3" w:rsidP="00A87269">
      <w:pPr>
        <w:numPr>
          <w:ilvl w:val="0"/>
          <w:numId w:val="52"/>
        </w:numPr>
        <w:rPr>
          <w:rFonts w:cs="Arial"/>
        </w:rPr>
      </w:pPr>
      <w:r>
        <w:rPr>
          <w:rFonts w:cs="Arial"/>
        </w:rPr>
        <w:t>Pavimentação das ruas com revestimentos semipermeáveis ou permeáveis, como bloquetes e blocos de concretos vazados.</w:t>
      </w:r>
    </w:p>
    <w:p w:rsidR="001864D3" w:rsidRDefault="001864D3" w:rsidP="00A87269">
      <w:pPr>
        <w:numPr>
          <w:ilvl w:val="0"/>
          <w:numId w:val="52"/>
        </w:numPr>
        <w:rPr>
          <w:rFonts w:cs="Arial"/>
        </w:rPr>
      </w:pPr>
      <w:r>
        <w:rPr>
          <w:rFonts w:cs="Arial"/>
        </w:rPr>
        <w:t>Parques e áreas gramados.</w:t>
      </w:r>
    </w:p>
    <w:p w:rsidR="001864D3" w:rsidRDefault="001864D3" w:rsidP="00A87269">
      <w:pPr>
        <w:numPr>
          <w:ilvl w:val="0"/>
          <w:numId w:val="52"/>
        </w:numPr>
        <w:rPr>
          <w:rFonts w:cs="Arial"/>
        </w:rPr>
      </w:pPr>
      <w:r>
        <w:rPr>
          <w:rFonts w:cs="Arial"/>
        </w:rPr>
        <w:t>Medidas de apoio à população, sistema de alerta, de evacuação e de atendimento à comunidade atingida.</w:t>
      </w:r>
    </w:p>
    <w:p w:rsidR="001864D3" w:rsidRDefault="001864D3" w:rsidP="00A87269">
      <w:pPr>
        <w:numPr>
          <w:ilvl w:val="0"/>
          <w:numId w:val="52"/>
        </w:numPr>
        <w:rPr>
          <w:rFonts w:cs="Arial"/>
        </w:rPr>
      </w:pPr>
      <w:r>
        <w:rPr>
          <w:rFonts w:cs="Arial"/>
        </w:rPr>
        <w:t>Programa de educação ambiental.</w:t>
      </w:r>
    </w:p>
    <w:p w:rsidR="001864D3" w:rsidRDefault="001864D3" w:rsidP="00A87269">
      <w:pPr>
        <w:numPr>
          <w:ilvl w:val="0"/>
          <w:numId w:val="52"/>
        </w:numPr>
        <w:rPr>
          <w:rFonts w:cs="Arial"/>
        </w:rPr>
      </w:pPr>
      <w:r>
        <w:rPr>
          <w:rFonts w:cs="Arial"/>
        </w:rPr>
        <w:t>Implantação de interceptores de esgotos, viabilizando futuro tratamento.</w:t>
      </w:r>
    </w:p>
    <w:p w:rsidR="001864D3" w:rsidRDefault="001864D3" w:rsidP="001864D3"/>
    <w:p w:rsidR="001864D3" w:rsidRDefault="001864D3" w:rsidP="001864D3">
      <w:pPr>
        <w:pStyle w:val="Legenda"/>
        <w:rPr>
          <w:lang w:val="pt-BR"/>
        </w:rPr>
      </w:pPr>
      <w:bookmarkStart w:id="207" w:name="_Ref483843029"/>
      <w:bookmarkStart w:id="208" w:name="_Toc497469107"/>
      <w:r>
        <w:lastRenderedPageBreak/>
        <w:t xml:space="preserve">Figura </w:t>
      </w:r>
      <w:r w:rsidR="00D71C43">
        <w:fldChar w:fldCharType="begin"/>
      </w:r>
      <w:r w:rsidR="00D71C43">
        <w:instrText xml:space="preserve"> SEQ Figura \* ARABIC </w:instrText>
      </w:r>
      <w:r w:rsidR="00D71C43">
        <w:fldChar w:fldCharType="separate"/>
      </w:r>
      <w:r w:rsidR="004D1D76">
        <w:rPr>
          <w:noProof/>
        </w:rPr>
        <w:t>11</w:t>
      </w:r>
      <w:r w:rsidR="00D71C43">
        <w:rPr>
          <w:noProof/>
        </w:rPr>
        <w:fldChar w:fldCharType="end"/>
      </w:r>
      <w:bookmarkEnd w:id="207"/>
      <w:r w:rsidR="00A70202">
        <w:rPr>
          <w:lang w:val="pt-BR"/>
        </w:rPr>
        <w:t xml:space="preserve"> -</w:t>
      </w:r>
      <w:r>
        <w:rPr>
          <w:lang w:val="pt-BR"/>
        </w:rPr>
        <w:t xml:space="preserve"> Bacia de amortecimento transformada em espaço pra lazer</w:t>
      </w:r>
      <w:bookmarkEnd w:id="208"/>
    </w:p>
    <w:p w:rsidR="001864D3" w:rsidRDefault="001864D3" w:rsidP="0081207B">
      <w:pPr>
        <w:pStyle w:val="figura"/>
      </w:pPr>
      <w:r>
        <w:rPr>
          <w:noProof/>
        </w:rPr>
        <w:drawing>
          <wp:inline distT="0" distB="0" distL="0" distR="0" wp14:anchorId="199CC74C" wp14:editId="2E9661C9">
            <wp:extent cx="4061460" cy="2487930"/>
            <wp:effectExtent l="19050" t="19050" r="15240" b="2667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33" cstate="screen">
                      <a:extLst>
                        <a:ext uri="{28A0092B-C50C-407E-A947-70E740481C1C}">
                          <a14:useLocalDpi xmlns:a14="http://schemas.microsoft.com/office/drawing/2010/main"/>
                        </a:ext>
                      </a:extLst>
                    </a:blip>
                    <a:srcRect/>
                    <a:stretch>
                      <a:fillRect/>
                    </a:stretch>
                  </pic:blipFill>
                  <pic:spPr bwMode="auto">
                    <a:xfrm>
                      <a:off x="0" y="0"/>
                      <a:ext cx="4061460" cy="2487930"/>
                    </a:xfrm>
                    <a:prstGeom prst="rect">
                      <a:avLst/>
                    </a:prstGeom>
                    <a:noFill/>
                    <a:ln w="9525" cmpd="sng">
                      <a:solidFill>
                        <a:srgbClr val="000000"/>
                      </a:solidFill>
                      <a:miter lim="800000"/>
                      <a:headEnd/>
                      <a:tailEnd/>
                    </a:ln>
                    <a:effectLst/>
                  </pic:spPr>
                </pic:pic>
              </a:graphicData>
            </a:graphic>
          </wp:inline>
        </w:drawing>
      </w:r>
    </w:p>
    <w:p w:rsidR="001864D3" w:rsidRPr="00E358D9" w:rsidRDefault="001864D3" w:rsidP="001864D3">
      <w:pPr>
        <w:jc w:val="center"/>
        <w:rPr>
          <w:rFonts w:cs="Arial"/>
          <w:sz w:val="22"/>
        </w:rPr>
      </w:pPr>
      <w:r w:rsidRPr="00E358D9">
        <w:rPr>
          <w:rFonts w:cs="Arial"/>
          <w:sz w:val="22"/>
        </w:rPr>
        <w:t>Fonte: FEAM, 2012.</w:t>
      </w:r>
    </w:p>
    <w:p w:rsidR="001864D3" w:rsidRPr="00E358D9" w:rsidRDefault="001864D3" w:rsidP="001864D3">
      <w:pPr>
        <w:ind w:firstLine="708"/>
        <w:rPr>
          <w:rFonts w:cs="Arial"/>
          <w:lang w:eastAsia="pt-BR"/>
        </w:rPr>
      </w:pPr>
      <w:r w:rsidRPr="00E358D9">
        <w:rPr>
          <w:rFonts w:cs="Arial"/>
          <w:lang w:eastAsia="pt-BR"/>
        </w:rPr>
        <w:t>O diagnóstico do sistema de drenagem do município constatou que a sede sofre problemas com inundações. Desta forma, é imprescindível a adoção de medidas que atuem no controle do escoamento superficial.</w:t>
      </w:r>
    </w:p>
    <w:p w:rsidR="001864D3" w:rsidRPr="00E358D9" w:rsidRDefault="001864D3" w:rsidP="001864D3">
      <w:pPr>
        <w:ind w:firstLine="708"/>
        <w:rPr>
          <w:rFonts w:cs="Arial"/>
          <w:lang w:eastAsia="pt-BR"/>
        </w:rPr>
      </w:pPr>
      <w:r w:rsidRPr="00E358D9">
        <w:rPr>
          <w:rFonts w:cs="Arial"/>
          <w:lang w:eastAsia="pt-BR"/>
        </w:rPr>
        <w:t>Primeiramente, propõe-se a elaboração de um cadastro da rede de drenagem, visto que o município não possui esse tipo de informação sistematizada. O cadastro da rede de drenagem é um instrumento fundamental para o gerenciamento do sistema de micro e macrodrenagem, permitindo uma avaliação mais precisa das deficiências do sistema, subsidiando o planejamento da manutenção preventiva e facilitando a manutenção corretiva.</w:t>
      </w:r>
    </w:p>
    <w:p w:rsidR="001864D3" w:rsidRDefault="001864D3" w:rsidP="001864D3">
      <w:pPr>
        <w:ind w:firstLine="708"/>
        <w:rPr>
          <w:rFonts w:cs="Arial"/>
          <w:lang w:eastAsia="pt-BR"/>
        </w:rPr>
      </w:pPr>
      <w:r>
        <w:rPr>
          <w:rFonts w:cs="Arial"/>
          <w:lang w:eastAsia="pt-BR"/>
        </w:rPr>
        <w:t xml:space="preserve">A partir da elaboração desse cadastro, propõe-se a expansão e melhoria da rede de microdrenagem, </w:t>
      </w:r>
      <w:r w:rsidRPr="00E358D9">
        <w:rPr>
          <w:rFonts w:cs="Arial"/>
          <w:lang w:eastAsia="pt-BR"/>
        </w:rPr>
        <w:t>que é insuficiente no município. Além disso, é necessário realizar um planejamento da manutenção da rede de micro e macrodrenagem</w:t>
      </w:r>
      <w:r>
        <w:rPr>
          <w:rFonts w:cs="Arial"/>
          <w:lang w:eastAsia="pt-BR"/>
        </w:rPr>
        <w:t xml:space="preserve">, </w:t>
      </w:r>
      <w:r w:rsidR="00E358D9">
        <w:rPr>
          <w:rFonts w:cs="Arial"/>
          <w:lang w:eastAsia="pt-BR"/>
        </w:rPr>
        <w:t>que</w:t>
      </w:r>
      <w:r>
        <w:rPr>
          <w:rFonts w:cs="Arial"/>
          <w:lang w:eastAsia="pt-BR"/>
        </w:rPr>
        <w:t xml:space="preserve"> ainda são realizadas apenas em situações emergenciais.</w:t>
      </w:r>
    </w:p>
    <w:p w:rsidR="001864D3" w:rsidRPr="00E358D9" w:rsidRDefault="001864D3" w:rsidP="001864D3">
      <w:pPr>
        <w:ind w:firstLine="708"/>
        <w:rPr>
          <w:rFonts w:cs="Arial"/>
          <w:lang w:eastAsia="pt-BR"/>
        </w:rPr>
      </w:pPr>
      <w:r>
        <w:rPr>
          <w:rFonts w:cs="Arial"/>
          <w:lang w:eastAsia="pt-BR"/>
        </w:rPr>
        <w:t>Para o controle das enchentes</w:t>
      </w:r>
      <w:r w:rsidR="00E358D9">
        <w:rPr>
          <w:rFonts w:cs="Arial"/>
          <w:lang w:eastAsia="pt-BR"/>
        </w:rPr>
        <w:t>,</w:t>
      </w:r>
      <w:r>
        <w:rPr>
          <w:rFonts w:cs="Arial"/>
          <w:lang w:eastAsia="pt-BR"/>
        </w:rPr>
        <w:t xml:space="preserve"> a Prefeitura </w:t>
      </w:r>
      <w:r w:rsidR="00E358D9">
        <w:rPr>
          <w:rFonts w:cs="Arial"/>
          <w:lang w:eastAsia="pt-BR"/>
        </w:rPr>
        <w:t xml:space="preserve">Municipal </w:t>
      </w:r>
      <w:r>
        <w:rPr>
          <w:rFonts w:cs="Arial"/>
          <w:lang w:eastAsia="pt-BR"/>
        </w:rPr>
        <w:t xml:space="preserve">pode considerar a instalação de estruturas de bacias de retenção/detenção e/ou infiltração para diminuir os picos de vazão que as </w:t>
      </w:r>
      <w:r w:rsidRPr="00E358D9">
        <w:rPr>
          <w:rFonts w:cs="Arial"/>
          <w:lang w:eastAsia="pt-BR"/>
        </w:rPr>
        <w:t>provocam. Da mesma maneira, tanto na sede quanto na zona rural, é interessante a adoção de instrumentos eficazes que promovam retenção e percolação no solo das águas pluviais, tais como valas de infiltração, que consistem em sistemas de drenos implantados paralelos às ruas, estradas e conjuntos habitacionais.</w:t>
      </w:r>
    </w:p>
    <w:p w:rsidR="001864D3" w:rsidRDefault="001864D3" w:rsidP="001864D3">
      <w:pPr>
        <w:ind w:firstLine="708"/>
        <w:rPr>
          <w:rFonts w:cs="Arial"/>
        </w:rPr>
      </w:pPr>
      <w:r>
        <w:rPr>
          <w:rFonts w:cs="Arial"/>
        </w:rPr>
        <w:lastRenderedPageBreak/>
        <w:t xml:space="preserve">Assim como no caso das medidas de controle de erosão e assoreamento, é importante a combinação de medidas estruturais, como as propostas, e não estruturais, como o planejamento do uso e da ocupação do solo do município, </w:t>
      </w:r>
      <w:r w:rsidR="00DA41E5">
        <w:rPr>
          <w:rFonts w:cs="Arial"/>
        </w:rPr>
        <w:t xml:space="preserve">o </w:t>
      </w:r>
      <w:r>
        <w:rPr>
          <w:rFonts w:cs="Arial"/>
        </w:rPr>
        <w:t>que será discutido mais detalhadamente adiante.</w:t>
      </w:r>
    </w:p>
    <w:p w:rsidR="001864D3" w:rsidRDefault="001864D3" w:rsidP="002828C8">
      <w:pPr>
        <w:pStyle w:val="Ttulo3"/>
      </w:pPr>
      <w:bookmarkStart w:id="209" w:name="_Toc483818683"/>
      <w:bookmarkStart w:id="210" w:name="_Toc497469008"/>
      <w:r>
        <w:t>Diretrizes para o tratamento dos fundos de vale</w:t>
      </w:r>
      <w:bookmarkEnd w:id="209"/>
      <w:bookmarkEnd w:id="210"/>
    </w:p>
    <w:p w:rsidR="001864D3" w:rsidRDefault="001864D3" w:rsidP="001864D3">
      <w:pPr>
        <w:ind w:firstLine="708"/>
        <w:rPr>
          <w:rFonts w:cs="Arial"/>
        </w:rPr>
      </w:pPr>
      <w:r>
        <w:rPr>
          <w:rFonts w:cs="Arial"/>
        </w:rPr>
        <w:t>O lançamento de esgotos sem tratamento, a retirada da vegetação, a movimentação de terra e a ocupação intensiva do solo nos fundos de vale urbanos aceleram o escoamento superficial e a erosão do solo, assoreando os cursos d’água e provocando enchentes. Desta forma, os fundos de vale tornam-se áreas de risco para a população. Torna-se necessária a realização de planejamento detalhado desse uso do solo, que contemple os aspectos sociais, ambientais, econômicos e culturais da cidade, além das necessidades e aspirações da comunidade.</w:t>
      </w:r>
    </w:p>
    <w:p w:rsidR="001864D3" w:rsidRDefault="001864D3" w:rsidP="001864D3">
      <w:pPr>
        <w:ind w:firstLine="708"/>
        <w:rPr>
          <w:rFonts w:cs="Arial"/>
        </w:rPr>
      </w:pPr>
      <w:r>
        <w:rPr>
          <w:rFonts w:cs="Arial"/>
        </w:rPr>
        <w:t>Como forma de planejamento</w:t>
      </w:r>
      <w:r w:rsidR="00DA41E5">
        <w:rPr>
          <w:rFonts w:cs="Arial"/>
        </w:rPr>
        <w:t>,</w:t>
      </w:r>
      <w:r>
        <w:rPr>
          <w:rFonts w:cs="Arial"/>
        </w:rPr>
        <w:t xml:space="preserve"> o Estatuto das Cidades (Lei Federal nº 10.257/2001) define o Plano Diretor de Desenvolvimento Urbano como instrumento básico para orientar a política de desenvolvimento e de ordenamento da expansão urbana do município. Um dos instrumentos do Plano Diretor é a Lei de Uso e Ocupação do Solo, a qual, segundo Mota (1999), é considerada um instrumento essencial e obrigatório do controle do uso da terra, densidade populacional, localização, volume e finalidade das construções a serem edificadas, o que contribui para a adequada ocupação das áreas urbanas, evitando danos, não só para a população, como também para todo o meio físico e ambiental existente em seu entorno. Através dessa lei é definida a distribuição espacial das atividades socioeconômicas e da população, na cidade, através do zoneamento.</w:t>
      </w:r>
    </w:p>
    <w:p w:rsidR="001864D3" w:rsidRDefault="001864D3" w:rsidP="001864D3">
      <w:pPr>
        <w:ind w:firstLine="708"/>
        <w:rPr>
          <w:rFonts w:cs="Arial"/>
        </w:rPr>
      </w:pPr>
      <w:r>
        <w:rPr>
          <w:rFonts w:cs="Arial"/>
        </w:rPr>
        <w:t>Em complementação à Lei de Uso e Ocupação do Solo, existem as Leis de Zoneamento, que especificam as exatas localizações, em uma região, onde determinados usos do solo são aceitáveis ou não, definindo parâmetros como taxa de ocupação e densidades populacionais, bem como os tipos de atividades (comercial, industrial, residencial, institucional, etc.). O zoneamento pode ser usado para restringir a intensidade e o tipo de desenvolvimento em áreas de risco, como as várzeas inundáveis e encostas.</w:t>
      </w:r>
    </w:p>
    <w:p w:rsidR="001864D3" w:rsidRDefault="001864D3" w:rsidP="001864D3">
      <w:pPr>
        <w:ind w:firstLine="708"/>
        <w:rPr>
          <w:rStyle w:val="t1"/>
          <w:shd w:val="clear" w:color="auto" w:fill="FFFFFF"/>
        </w:rPr>
      </w:pPr>
      <w:r>
        <w:rPr>
          <w:rStyle w:val="t1"/>
          <w:shd w:val="clear" w:color="auto" w:fill="FFFFFF"/>
        </w:rPr>
        <w:lastRenderedPageBreak/>
        <w:t>Segundo a Lei de Parcelamento do Solo Urbano (Lei nº 6.766/1979), para o uso do solo em novos empreendimentos próximos às águas correntes, deve- se preservar uma faixa de 15 metros de cada lado do curso hídrico:</w:t>
      </w:r>
    </w:p>
    <w:p w:rsidR="001864D3" w:rsidRDefault="001864D3" w:rsidP="001864D3">
      <w:pPr>
        <w:spacing w:line="240" w:lineRule="auto"/>
        <w:ind w:left="2268"/>
        <w:rPr>
          <w:rStyle w:val="t1"/>
          <w:sz w:val="22"/>
          <w:shd w:val="clear" w:color="auto" w:fill="FFFFFF"/>
        </w:rPr>
      </w:pPr>
    </w:p>
    <w:p w:rsidR="001864D3" w:rsidRDefault="001864D3" w:rsidP="001864D3">
      <w:pPr>
        <w:spacing w:line="240" w:lineRule="auto"/>
        <w:ind w:left="2268"/>
        <w:rPr>
          <w:rFonts w:cs="Arial"/>
          <w:color w:val="000000"/>
        </w:rPr>
      </w:pPr>
      <w:r>
        <w:rPr>
          <w:rStyle w:val="t1"/>
          <w:sz w:val="22"/>
          <w:shd w:val="clear" w:color="auto" w:fill="FFFFFF"/>
        </w:rPr>
        <w:t>“Art</w:t>
      </w:r>
      <w:r>
        <w:rPr>
          <w:rFonts w:cs="Arial"/>
          <w:color w:val="000000"/>
          <w:sz w:val="22"/>
          <w:shd w:val="clear" w:color="auto" w:fill="FFFFFF"/>
        </w:rPr>
        <w:t>. 4º. Os loteamentos deverão atender, pelo menos, aos seguintes requisitos</w:t>
      </w:r>
    </w:p>
    <w:p w:rsidR="001864D3" w:rsidRDefault="001864D3" w:rsidP="001864D3">
      <w:pPr>
        <w:spacing w:line="240" w:lineRule="auto"/>
        <w:ind w:left="2268"/>
        <w:rPr>
          <w:rFonts w:cs="Arial"/>
          <w:sz w:val="22"/>
        </w:rPr>
      </w:pPr>
      <w:r>
        <w:rPr>
          <w:rFonts w:cs="Arial"/>
          <w:sz w:val="22"/>
        </w:rPr>
        <w:t>(...):</w:t>
      </w:r>
    </w:p>
    <w:p w:rsidR="001864D3" w:rsidRDefault="001864D3" w:rsidP="001864D3">
      <w:pPr>
        <w:spacing w:line="240" w:lineRule="auto"/>
        <w:ind w:left="2268"/>
        <w:rPr>
          <w:sz w:val="22"/>
        </w:rPr>
      </w:pPr>
      <w:r>
        <w:rPr>
          <w:rFonts w:cs="Arial"/>
          <w:color w:val="000000"/>
          <w:sz w:val="22"/>
          <w:shd w:val="clear" w:color="auto" w:fill="FFFFFF"/>
        </w:rPr>
        <w:t>III - ao longo das águas correntes e dormentes e das faixas de domínio público das rodovias e ferrovias, será obrigatória a reserva de uma faixa não edificável de 15 (quinze) metros de cada lado, salvo maiores exigências da legislação específica”.</w:t>
      </w:r>
    </w:p>
    <w:p w:rsidR="001864D3" w:rsidRDefault="001864D3" w:rsidP="001864D3">
      <w:pPr>
        <w:ind w:firstLine="708"/>
      </w:pPr>
    </w:p>
    <w:p w:rsidR="001864D3" w:rsidRDefault="001864D3" w:rsidP="001864D3">
      <w:pPr>
        <w:ind w:firstLine="708"/>
        <w:rPr>
          <w:rFonts w:cs="Arial"/>
        </w:rPr>
      </w:pPr>
      <w:r>
        <w:rPr>
          <w:rFonts w:cs="Arial"/>
        </w:rPr>
        <w:t>Em 2012, o Código Florestal (Lei nº 12.651/12) tornou-se mais restritivo à ocupação de APPs, vinculando o tamanho da faixa não edificável à largura do curso hídrico:</w:t>
      </w:r>
    </w:p>
    <w:p w:rsidR="001864D3" w:rsidRDefault="001864D3" w:rsidP="001864D3">
      <w:pPr>
        <w:pStyle w:val="texto1"/>
        <w:spacing w:before="0" w:beforeAutospacing="0" w:after="0" w:afterAutospacing="0"/>
        <w:ind w:left="2268"/>
        <w:jc w:val="both"/>
        <w:rPr>
          <w:rFonts w:ascii="Arial" w:eastAsia="Calibri" w:hAnsi="Arial"/>
          <w:sz w:val="22"/>
          <w:szCs w:val="22"/>
          <w:lang w:eastAsia="en-US"/>
        </w:rPr>
      </w:pPr>
      <w:r>
        <w:rPr>
          <w:rFonts w:ascii="Arial" w:eastAsia="Calibri" w:hAnsi="Arial"/>
          <w:sz w:val="22"/>
          <w:szCs w:val="22"/>
          <w:lang w:eastAsia="en-US"/>
        </w:rPr>
        <w:t>“Art. 4º Considera-se Área de Preservação Permanente, em zonas rurais ou urbanas, para os efeitos desta Lei:</w:t>
      </w:r>
    </w:p>
    <w:p w:rsidR="001864D3" w:rsidRDefault="001864D3" w:rsidP="001864D3">
      <w:pPr>
        <w:pStyle w:val="texto1"/>
        <w:spacing w:before="0" w:beforeAutospacing="0" w:after="0" w:afterAutospacing="0"/>
        <w:ind w:left="2268"/>
        <w:jc w:val="both"/>
        <w:rPr>
          <w:rFonts w:ascii="Arial" w:eastAsia="Calibri" w:hAnsi="Arial"/>
          <w:sz w:val="22"/>
          <w:szCs w:val="22"/>
          <w:lang w:eastAsia="en-US"/>
        </w:rPr>
      </w:pPr>
      <w:bookmarkStart w:id="211" w:name="art4i"/>
      <w:bookmarkEnd w:id="211"/>
      <w:r>
        <w:rPr>
          <w:rFonts w:ascii="Arial" w:eastAsia="Calibri" w:hAnsi="Arial"/>
          <w:sz w:val="22"/>
          <w:szCs w:val="22"/>
          <w:lang w:eastAsia="en-US"/>
        </w:rPr>
        <w:t xml:space="preserve">I - as faixas marginais de qualquer curso d’água natural perene e intermitente, excluídos os efêmeros, desde a borda da calha do leito regular, em largura mínima de: </w:t>
      </w:r>
    </w:p>
    <w:p w:rsidR="001864D3" w:rsidRDefault="001864D3" w:rsidP="001864D3">
      <w:pPr>
        <w:pStyle w:val="texto1"/>
        <w:spacing w:before="0" w:beforeAutospacing="0" w:after="0" w:afterAutospacing="0"/>
        <w:ind w:left="2268"/>
        <w:jc w:val="both"/>
        <w:rPr>
          <w:rFonts w:ascii="Arial" w:eastAsia="Calibri" w:hAnsi="Arial"/>
          <w:sz w:val="22"/>
          <w:szCs w:val="22"/>
          <w:lang w:eastAsia="en-US"/>
        </w:rPr>
      </w:pPr>
      <w:r>
        <w:rPr>
          <w:rFonts w:ascii="Arial" w:eastAsia="Calibri" w:hAnsi="Arial"/>
          <w:sz w:val="22"/>
          <w:szCs w:val="22"/>
          <w:lang w:eastAsia="en-US"/>
        </w:rPr>
        <w:t>a) 30 (trinta) metros, para os cursos d’água de menos de 10 (dez) metros de largura;</w:t>
      </w:r>
    </w:p>
    <w:p w:rsidR="001864D3" w:rsidRDefault="001864D3" w:rsidP="001864D3">
      <w:pPr>
        <w:pStyle w:val="texto1"/>
        <w:spacing w:before="0" w:beforeAutospacing="0" w:after="0" w:afterAutospacing="0"/>
        <w:ind w:left="2268"/>
        <w:jc w:val="both"/>
        <w:rPr>
          <w:rFonts w:ascii="Arial" w:eastAsia="Calibri" w:hAnsi="Arial"/>
          <w:sz w:val="22"/>
          <w:szCs w:val="22"/>
          <w:lang w:eastAsia="en-US"/>
        </w:rPr>
      </w:pPr>
      <w:r>
        <w:rPr>
          <w:rFonts w:ascii="Arial" w:eastAsia="Calibri" w:hAnsi="Arial"/>
          <w:sz w:val="22"/>
          <w:szCs w:val="22"/>
          <w:lang w:eastAsia="en-US"/>
        </w:rPr>
        <w:t>b) 50 (cinquenta) metros, para os cursos d’água que tenham de 10 (dez) a 50 (cinquenta) metros de largura;</w:t>
      </w:r>
    </w:p>
    <w:p w:rsidR="001864D3" w:rsidRDefault="001864D3" w:rsidP="001864D3">
      <w:pPr>
        <w:pStyle w:val="texto1"/>
        <w:spacing w:before="0" w:beforeAutospacing="0" w:after="0" w:afterAutospacing="0"/>
        <w:ind w:left="2268"/>
        <w:jc w:val="both"/>
        <w:rPr>
          <w:rFonts w:ascii="Arial" w:eastAsia="Calibri" w:hAnsi="Arial"/>
          <w:sz w:val="22"/>
          <w:szCs w:val="22"/>
          <w:lang w:eastAsia="en-US"/>
        </w:rPr>
      </w:pPr>
      <w:r>
        <w:rPr>
          <w:rFonts w:ascii="Arial" w:eastAsia="Calibri" w:hAnsi="Arial"/>
          <w:sz w:val="22"/>
          <w:szCs w:val="22"/>
          <w:lang w:eastAsia="en-US"/>
        </w:rPr>
        <w:t>c) 100 (cem) metros, para os cursos d’água que tenham de 50 (cinquenta) a 200 (duzentos) metros de largura;</w:t>
      </w:r>
    </w:p>
    <w:p w:rsidR="001864D3" w:rsidRDefault="001864D3" w:rsidP="001864D3">
      <w:pPr>
        <w:pStyle w:val="texto1"/>
        <w:spacing w:before="0" w:beforeAutospacing="0" w:after="0" w:afterAutospacing="0"/>
        <w:ind w:left="2268"/>
        <w:jc w:val="both"/>
        <w:rPr>
          <w:rFonts w:ascii="Arial" w:eastAsia="Calibri" w:hAnsi="Arial"/>
          <w:sz w:val="22"/>
          <w:szCs w:val="22"/>
          <w:lang w:eastAsia="en-US"/>
        </w:rPr>
      </w:pPr>
      <w:r>
        <w:rPr>
          <w:rFonts w:ascii="Arial" w:eastAsia="Calibri" w:hAnsi="Arial"/>
          <w:sz w:val="22"/>
          <w:szCs w:val="22"/>
          <w:lang w:eastAsia="en-US"/>
        </w:rPr>
        <w:t>d) 200 (duzentos) metros, para os cursos d’água que tenham de 200 (duzentos) a 600 (seiscentos) metros de largura;</w:t>
      </w:r>
    </w:p>
    <w:p w:rsidR="001864D3" w:rsidRDefault="001864D3" w:rsidP="001864D3">
      <w:pPr>
        <w:pStyle w:val="texto1"/>
        <w:spacing w:before="0" w:beforeAutospacing="0" w:after="0" w:afterAutospacing="0"/>
        <w:ind w:left="2268"/>
        <w:jc w:val="both"/>
        <w:rPr>
          <w:rFonts w:ascii="Arial" w:eastAsia="Calibri" w:hAnsi="Arial"/>
          <w:sz w:val="22"/>
          <w:szCs w:val="22"/>
          <w:lang w:eastAsia="en-US"/>
        </w:rPr>
      </w:pPr>
      <w:r>
        <w:rPr>
          <w:rFonts w:ascii="Arial" w:eastAsia="Calibri" w:hAnsi="Arial"/>
          <w:sz w:val="22"/>
          <w:szCs w:val="22"/>
          <w:lang w:eastAsia="en-US"/>
        </w:rPr>
        <w:t>e) 500 (quinhentos) metros, para os cursos d’água que tenham largura superior a 600 (seiscentos) metros;</w:t>
      </w:r>
    </w:p>
    <w:p w:rsidR="001864D3" w:rsidRDefault="001864D3" w:rsidP="001864D3">
      <w:pPr>
        <w:pStyle w:val="texto1"/>
        <w:spacing w:before="0" w:beforeAutospacing="0" w:after="0" w:afterAutospacing="0"/>
        <w:ind w:left="2268"/>
        <w:jc w:val="both"/>
        <w:rPr>
          <w:rFonts w:ascii="Arial" w:eastAsia="Calibri" w:hAnsi="Arial"/>
          <w:sz w:val="22"/>
          <w:szCs w:val="22"/>
          <w:lang w:eastAsia="en-US"/>
        </w:rPr>
      </w:pPr>
      <w:r>
        <w:rPr>
          <w:rFonts w:ascii="Arial" w:eastAsia="Calibri" w:hAnsi="Arial"/>
          <w:sz w:val="22"/>
          <w:szCs w:val="22"/>
          <w:lang w:eastAsia="en-US"/>
        </w:rPr>
        <w:t>II - as áreas no entorno dos lagos e lagoas naturais, em faixa com largura mínima de:</w:t>
      </w:r>
    </w:p>
    <w:p w:rsidR="001864D3" w:rsidRDefault="001864D3" w:rsidP="001864D3">
      <w:pPr>
        <w:pStyle w:val="texto1"/>
        <w:spacing w:before="0" w:beforeAutospacing="0" w:after="0" w:afterAutospacing="0"/>
        <w:ind w:left="2268"/>
        <w:jc w:val="both"/>
        <w:rPr>
          <w:rFonts w:ascii="Arial" w:eastAsia="Calibri" w:hAnsi="Arial"/>
          <w:sz w:val="22"/>
          <w:szCs w:val="22"/>
          <w:lang w:eastAsia="en-US"/>
        </w:rPr>
      </w:pPr>
      <w:r>
        <w:rPr>
          <w:rFonts w:ascii="Arial" w:eastAsia="Calibri" w:hAnsi="Arial"/>
          <w:sz w:val="22"/>
          <w:szCs w:val="22"/>
          <w:lang w:eastAsia="en-US"/>
        </w:rPr>
        <w:t>a) 100 (cem) metros, em zonas rurais, exceto para o corpo d’água com até 20 (vinte) hectares de superfície, cuja faixa marginal será de 50 (cinquenta) metros;</w:t>
      </w:r>
    </w:p>
    <w:p w:rsidR="001864D3" w:rsidRDefault="001864D3" w:rsidP="001864D3">
      <w:pPr>
        <w:pStyle w:val="texto1"/>
        <w:spacing w:before="0" w:beforeAutospacing="0" w:after="0" w:afterAutospacing="0"/>
        <w:ind w:left="2268"/>
        <w:jc w:val="both"/>
        <w:rPr>
          <w:rFonts w:ascii="Arial" w:eastAsia="Calibri" w:hAnsi="Arial"/>
          <w:sz w:val="22"/>
          <w:szCs w:val="22"/>
          <w:lang w:eastAsia="en-US"/>
        </w:rPr>
      </w:pPr>
      <w:r>
        <w:rPr>
          <w:rFonts w:ascii="Arial" w:eastAsia="Calibri" w:hAnsi="Arial"/>
          <w:sz w:val="22"/>
          <w:szCs w:val="22"/>
          <w:lang w:eastAsia="en-US"/>
        </w:rPr>
        <w:t>b) 30 (trinta) metros, em zonas urbanas;</w:t>
      </w:r>
    </w:p>
    <w:p w:rsidR="001864D3" w:rsidRDefault="001864D3" w:rsidP="001864D3">
      <w:pPr>
        <w:pStyle w:val="texto1"/>
        <w:spacing w:before="0" w:beforeAutospacing="0" w:after="0" w:afterAutospacing="0"/>
        <w:ind w:left="2268"/>
        <w:jc w:val="both"/>
        <w:rPr>
          <w:rFonts w:ascii="Arial" w:eastAsia="Calibri" w:hAnsi="Arial"/>
          <w:sz w:val="22"/>
          <w:szCs w:val="22"/>
          <w:lang w:eastAsia="en-US"/>
        </w:rPr>
      </w:pPr>
      <w:bookmarkStart w:id="212" w:name="art4iii"/>
      <w:bookmarkEnd w:id="212"/>
      <w:r>
        <w:rPr>
          <w:rFonts w:ascii="Arial" w:eastAsia="Calibri" w:hAnsi="Arial"/>
          <w:sz w:val="22"/>
          <w:szCs w:val="22"/>
          <w:lang w:eastAsia="en-US"/>
        </w:rPr>
        <w:t>III - as áreas no entorno dos reservatórios d’água artificiais, decorrentes de barramento ou represamento de cursos d’água naturais, na faixa definida na licença ambiental do empreendimento;</w:t>
      </w:r>
    </w:p>
    <w:p w:rsidR="001864D3" w:rsidRDefault="001864D3" w:rsidP="001864D3">
      <w:pPr>
        <w:pStyle w:val="texto1"/>
        <w:spacing w:before="0" w:beforeAutospacing="0" w:after="0" w:afterAutospacing="0"/>
        <w:ind w:left="2268"/>
        <w:jc w:val="both"/>
        <w:rPr>
          <w:rFonts w:ascii="Arial" w:eastAsia="Calibri" w:hAnsi="Arial"/>
          <w:sz w:val="22"/>
          <w:szCs w:val="22"/>
          <w:lang w:eastAsia="en-US"/>
        </w:rPr>
      </w:pPr>
      <w:bookmarkStart w:id="213" w:name="art4iv."/>
      <w:bookmarkEnd w:id="213"/>
      <w:r>
        <w:rPr>
          <w:rFonts w:ascii="Arial" w:eastAsia="Calibri" w:hAnsi="Arial"/>
          <w:sz w:val="22"/>
          <w:szCs w:val="22"/>
          <w:lang w:eastAsia="en-US"/>
        </w:rPr>
        <w:t>IV - as áreas no entorno das nascentes e dos olhos d’água perenes, qualquer que seja sua situação topográfica, no raio mínimo de 50 (cinquenta) metros;</w:t>
      </w:r>
    </w:p>
    <w:p w:rsidR="001864D3" w:rsidRDefault="001864D3" w:rsidP="001864D3">
      <w:pPr>
        <w:pStyle w:val="texto1"/>
        <w:spacing w:before="0" w:beforeAutospacing="0" w:after="0" w:afterAutospacing="0"/>
        <w:ind w:left="2268"/>
        <w:jc w:val="both"/>
        <w:rPr>
          <w:rFonts w:ascii="Arial" w:eastAsia="Calibri" w:hAnsi="Arial"/>
          <w:sz w:val="22"/>
          <w:szCs w:val="22"/>
          <w:lang w:eastAsia="en-US"/>
        </w:rPr>
      </w:pPr>
      <w:r>
        <w:rPr>
          <w:rFonts w:ascii="Arial" w:eastAsia="Calibri" w:hAnsi="Arial"/>
          <w:sz w:val="22"/>
          <w:szCs w:val="22"/>
          <w:lang w:eastAsia="en-US"/>
        </w:rPr>
        <w:t>V - as encostas ou partes destas com declividade superior a 45°, equivalente a 100% (cem por cento) na linha de maior declive”.</w:t>
      </w:r>
    </w:p>
    <w:p w:rsidR="001864D3" w:rsidRDefault="001864D3" w:rsidP="001864D3">
      <w:pPr>
        <w:rPr>
          <w:rFonts w:cs="Arial"/>
        </w:rPr>
      </w:pPr>
    </w:p>
    <w:p w:rsidR="001864D3" w:rsidRDefault="001864D3" w:rsidP="001864D3">
      <w:pPr>
        <w:ind w:firstLine="708"/>
        <w:rPr>
          <w:rFonts w:cs="Arial"/>
        </w:rPr>
      </w:pPr>
      <w:r>
        <w:rPr>
          <w:rFonts w:cs="Arial"/>
        </w:rPr>
        <w:lastRenderedPageBreak/>
        <w:t>O Código Florestal traz, ainda, normatizações específicas para APPs em zonas urbanas consolidadas e, neste caso, a faixa a ser conservada se assemelha aos valores da Lei do Parcelamento dos Solos:</w:t>
      </w:r>
    </w:p>
    <w:p w:rsidR="001864D3" w:rsidRDefault="001864D3" w:rsidP="001864D3">
      <w:pPr>
        <w:spacing w:line="240" w:lineRule="auto"/>
        <w:ind w:left="2268"/>
        <w:rPr>
          <w:sz w:val="22"/>
        </w:rPr>
      </w:pPr>
      <w:r>
        <w:rPr>
          <w:sz w:val="22"/>
        </w:rPr>
        <w:t xml:space="preserve">“Art. 65. Na regularização fundiária de interesse específico dos núcleos urbanos informais inseridos em área urbana consolidada e que ocupem Áreas de Preservação Permanente não identificadas como áreas de risco, a regularização ambiental será admitida por meio da aprovação do projeto de regularização fundiária, na forma da lei específica de regularização fundiária urbana </w:t>
      </w:r>
    </w:p>
    <w:p w:rsidR="001864D3" w:rsidRDefault="001864D3" w:rsidP="001864D3">
      <w:pPr>
        <w:spacing w:line="240" w:lineRule="auto"/>
        <w:ind w:left="2268"/>
        <w:rPr>
          <w:sz w:val="22"/>
        </w:rPr>
      </w:pPr>
      <w:r>
        <w:rPr>
          <w:sz w:val="22"/>
        </w:rPr>
        <w:t>(...)</w:t>
      </w:r>
    </w:p>
    <w:p w:rsidR="001864D3" w:rsidRDefault="001864D3" w:rsidP="001864D3">
      <w:pPr>
        <w:spacing w:line="240" w:lineRule="auto"/>
        <w:ind w:left="2268"/>
        <w:rPr>
          <w:sz w:val="22"/>
        </w:rPr>
      </w:pPr>
      <w:r>
        <w:rPr>
          <w:sz w:val="22"/>
        </w:rPr>
        <w:t>§ 2</w:t>
      </w:r>
      <w:r w:rsidR="00A90214">
        <w:rPr>
          <w:sz w:val="22"/>
        </w:rPr>
        <w:t>º</w:t>
      </w:r>
      <w:r>
        <w:rPr>
          <w:sz w:val="22"/>
        </w:rPr>
        <w:t>  Para fins da regularização ambiental prevista no caput, ao longo dos rios ou de qualquer curso d’água, será mantida faixa não edificável com largura mínima de 15 (quinze) metros de cada lado”.</w:t>
      </w:r>
    </w:p>
    <w:p w:rsidR="001864D3" w:rsidRDefault="001864D3" w:rsidP="001864D3">
      <w:pPr>
        <w:ind w:firstLine="708"/>
        <w:rPr>
          <w:rFonts w:cs="Arial"/>
        </w:rPr>
      </w:pPr>
      <w:bookmarkStart w:id="214" w:name="capituloxiiisecaoiii"/>
      <w:bookmarkEnd w:id="214"/>
    </w:p>
    <w:p w:rsidR="001864D3" w:rsidRDefault="001864D3" w:rsidP="001864D3">
      <w:pPr>
        <w:ind w:firstLine="708"/>
        <w:rPr>
          <w:rFonts w:cs="Arial"/>
        </w:rPr>
      </w:pPr>
      <w:r>
        <w:rPr>
          <w:rFonts w:cs="Arial"/>
        </w:rPr>
        <w:t>Um programa com diretrizes para fundos de vale deve ser desenvolvido considerando:</w:t>
      </w:r>
    </w:p>
    <w:p w:rsidR="001864D3" w:rsidRDefault="001864D3" w:rsidP="00A87269">
      <w:pPr>
        <w:numPr>
          <w:ilvl w:val="0"/>
          <w:numId w:val="52"/>
        </w:numPr>
        <w:rPr>
          <w:rFonts w:cs="Arial"/>
        </w:rPr>
      </w:pPr>
      <w:r>
        <w:rPr>
          <w:rFonts w:cs="Arial"/>
        </w:rPr>
        <w:t>Estudos hidrológicos considerando cheias com o tempo de retorno de 100 anos.</w:t>
      </w:r>
    </w:p>
    <w:p w:rsidR="001864D3" w:rsidRDefault="001864D3" w:rsidP="00A87269">
      <w:pPr>
        <w:numPr>
          <w:ilvl w:val="0"/>
          <w:numId w:val="52"/>
        </w:numPr>
        <w:rPr>
          <w:rFonts w:cs="Arial"/>
        </w:rPr>
      </w:pPr>
      <w:r>
        <w:rPr>
          <w:rFonts w:cs="Arial"/>
        </w:rPr>
        <w:t>Preservação dos recursos hídricos (quantitativos e qualitativos).</w:t>
      </w:r>
    </w:p>
    <w:p w:rsidR="001864D3" w:rsidRDefault="001864D3" w:rsidP="00A87269">
      <w:pPr>
        <w:numPr>
          <w:ilvl w:val="0"/>
          <w:numId w:val="52"/>
        </w:numPr>
        <w:rPr>
          <w:rFonts w:cs="Arial"/>
        </w:rPr>
      </w:pPr>
      <w:r>
        <w:rPr>
          <w:rFonts w:cs="Arial"/>
        </w:rPr>
        <w:t>Legislações específicas, sobretudo as que normatizam as faixas não edificáveis.</w:t>
      </w:r>
    </w:p>
    <w:p w:rsidR="001864D3" w:rsidRDefault="001864D3" w:rsidP="00A87269">
      <w:pPr>
        <w:numPr>
          <w:ilvl w:val="0"/>
          <w:numId w:val="52"/>
        </w:numPr>
        <w:rPr>
          <w:rFonts w:cs="Arial"/>
        </w:rPr>
      </w:pPr>
      <w:r>
        <w:rPr>
          <w:rFonts w:cs="Arial"/>
        </w:rPr>
        <w:t>Estudos geológicos e geotécnicos em áreas de riscos.</w:t>
      </w:r>
    </w:p>
    <w:p w:rsidR="001864D3" w:rsidRDefault="001864D3" w:rsidP="00A87269">
      <w:pPr>
        <w:numPr>
          <w:ilvl w:val="0"/>
          <w:numId w:val="52"/>
        </w:numPr>
        <w:rPr>
          <w:rFonts w:cs="Arial"/>
        </w:rPr>
      </w:pPr>
      <w:r>
        <w:rPr>
          <w:rFonts w:cs="Arial"/>
        </w:rPr>
        <w:t>Processos erosivos inerentes aos tipos de solo.</w:t>
      </w:r>
    </w:p>
    <w:p w:rsidR="001864D3" w:rsidRDefault="001864D3" w:rsidP="00A87269">
      <w:pPr>
        <w:numPr>
          <w:ilvl w:val="0"/>
          <w:numId w:val="52"/>
        </w:numPr>
        <w:rPr>
          <w:rFonts w:cs="Arial"/>
        </w:rPr>
      </w:pPr>
      <w:r>
        <w:rPr>
          <w:rFonts w:cs="Arial"/>
        </w:rPr>
        <w:t>Proteção do sistema natural de drenagem, preservando os caminhos do escoamento natural.</w:t>
      </w:r>
    </w:p>
    <w:p w:rsidR="001864D3" w:rsidRDefault="001864D3" w:rsidP="001864D3">
      <w:pPr>
        <w:spacing w:line="240" w:lineRule="auto"/>
        <w:rPr>
          <w:rFonts w:cs="Arial"/>
        </w:rPr>
      </w:pPr>
    </w:p>
    <w:p w:rsidR="001864D3" w:rsidRDefault="001864D3" w:rsidP="001864D3">
      <w:pPr>
        <w:ind w:firstLine="708"/>
        <w:rPr>
          <w:rFonts w:cs="Arial"/>
        </w:rPr>
      </w:pPr>
      <w:r>
        <w:rPr>
          <w:rFonts w:cs="Arial"/>
        </w:rPr>
        <w:t>Mota (2003) apresenta, de forma didática, como orientar as ocupações urbanas ao longo das margens de cursos hídricos (</w:t>
      </w:r>
      <w:r>
        <w:rPr>
          <w:rFonts w:cs="Arial"/>
        </w:rPr>
        <w:fldChar w:fldCharType="begin"/>
      </w:r>
      <w:r>
        <w:rPr>
          <w:rFonts w:cs="Arial"/>
        </w:rPr>
        <w:instrText xml:space="preserve"> REF _Ref483821288 \h  \* MERGEFORMAT </w:instrText>
      </w:r>
      <w:r>
        <w:rPr>
          <w:rFonts w:cs="Arial"/>
        </w:rPr>
      </w:r>
      <w:r>
        <w:rPr>
          <w:rFonts w:cs="Arial"/>
        </w:rPr>
        <w:fldChar w:fldCharType="separate"/>
      </w:r>
      <w:r w:rsidR="004D1D76" w:rsidRPr="004D1D76">
        <w:rPr>
          <w:rFonts w:cs="Arial"/>
        </w:rPr>
        <w:t>Figura 12</w:t>
      </w:r>
      <w:r>
        <w:rPr>
          <w:rFonts w:cs="Arial"/>
        </w:rPr>
        <w:fldChar w:fldCharType="end"/>
      </w:r>
      <w:r>
        <w:rPr>
          <w:rFonts w:cs="Arial"/>
        </w:rPr>
        <w:t>). Pode-se observar que as vias para veículos não acessam o fundo do vale (o que pode trazer resultados positivos a favor do não lançamento de resíduos), porém os pedestres têm acesso às áreas verdes e APPs instaladas nas faixas de proteção. Além disso, essas faixas podem ser maiores do que a legislação normatiza, funcionando como áreas de lazer. Mota exemplifica como fazer um loteamento respeitando os aspectos topográficos do terreno (</w:t>
      </w:r>
      <w:r>
        <w:rPr>
          <w:rFonts w:cs="Arial"/>
        </w:rPr>
        <w:fldChar w:fldCharType="begin"/>
      </w:r>
      <w:r>
        <w:rPr>
          <w:rFonts w:cs="Arial"/>
        </w:rPr>
        <w:instrText xml:space="preserve"> REF _Ref483841232 \h </w:instrText>
      </w:r>
      <w:r>
        <w:rPr>
          <w:rFonts w:cs="Arial"/>
        </w:rPr>
      </w:r>
      <w:r>
        <w:rPr>
          <w:rFonts w:cs="Arial"/>
        </w:rPr>
        <w:fldChar w:fldCharType="separate"/>
      </w:r>
      <w:r w:rsidR="004D1D76">
        <w:t xml:space="preserve">Figura </w:t>
      </w:r>
      <w:r w:rsidR="004D1D76">
        <w:rPr>
          <w:noProof/>
        </w:rPr>
        <w:t>13</w:t>
      </w:r>
      <w:r>
        <w:rPr>
          <w:rFonts w:cs="Arial"/>
        </w:rPr>
        <w:fldChar w:fldCharType="end"/>
      </w:r>
      <w:r>
        <w:rPr>
          <w:rFonts w:cs="Arial"/>
        </w:rPr>
        <w:t>).</w:t>
      </w:r>
    </w:p>
    <w:p w:rsidR="001864D3" w:rsidRDefault="001864D3" w:rsidP="001864D3">
      <w:pPr>
        <w:spacing w:line="240" w:lineRule="auto"/>
        <w:rPr>
          <w:rFonts w:cs="Arial"/>
        </w:rPr>
      </w:pPr>
    </w:p>
    <w:p w:rsidR="001864D3" w:rsidRDefault="001864D3" w:rsidP="001864D3">
      <w:pPr>
        <w:pStyle w:val="Legenda"/>
      </w:pPr>
      <w:bookmarkStart w:id="215" w:name="_Ref483821288"/>
      <w:bookmarkStart w:id="216" w:name="_Toc497469108"/>
      <w:r>
        <w:lastRenderedPageBreak/>
        <w:t xml:space="preserve">Figura </w:t>
      </w:r>
      <w:r w:rsidR="00D71C43">
        <w:fldChar w:fldCharType="begin"/>
      </w:r>
      <w:r w:rsidR="00D71C43">
        <w:instrText xml:space="preserve"> SEQ Figura \* ARABIC </w:instrText>
      </w:r>
      <w:r w:rsidR="00D71C43">
        <w:fldChar w:fldCharType="separate"/>
      </w:r>
      <w:r w:rsidR="004D1D76">
        <w:rPr>
          <w:noProof/>
        </w:rPr>
        <w:t>12</w:t>
      </w:r>
      <w:r w:rsidR="00D71C43">
        <w:rPr>
          <w:noProof/>
        </w:rPr>
        <w:fldChar w:fldCharType="end"/>
      </w:r>
      <w:bookmarkEnd w:id="215"/>
      <w:r w:rsidR="00A70202">
        <w:rPr>
          <w:lang w:val="pt-BR"/>
        </w:rPr>
        <w:t xml:space="preserve"> </w:t>
      </w:r>
      <w:r>
        <w:t>- Exemplo de distribuição de lotes e vias públicas nas margens de cursos d’agua</w:t>
      </w:r>
      <w:bookmarkEnd w:id="216"/>
    </w:p>
    <w:p w:rsidR="001864D3" w:rsidRDefault="001864D3" w:rsidP="0081207B">
      <w:pPr>
        <w:pStyle w:val="figura"/>
        <w:rPr>
          <w:lang w:eastAsia="x-none"/>
        </w:rPr>
      </w:pPr>
      <w:r>
        <w:rPr>
          <w:noProof/>
        </w:rPr>
        <w:drawing>
          <wp:inline distT="0" distB="0" distL="0" distR="0" wp14:anchorId="0A292EAB" wp14:editId="68EFFCB5">
            <wp:extent cx="4380865" cy="2700655"/>
            <wp:effectExtent l="19050" t="19050" r="19685" b="23495"/>
            <wp:docPr id="8" name="Imagem 8" descr="DOC_JPG_023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descr="DOC_JPG_023541"/>
                    <pic:cNvPicPr>
                      <a:picLocks noChangeAspect="1" noChangeArrowheads="1"/>
                    </pic:cNvPicPr>
                  </pic:nvPicPr>
                  <pic:blipFill>
                    <a:blip r:embed="rId34" cstate="screen">
                      <a:extLst>
                        <a:ext uri="{28A0092B-C50C-407E-A947-70E740481C1C}">
                          <a14:useLocalDpi xmlns:a14="http://schemas.microsoft.com/office/drawing/2010/main"/>
                        </a:ext>
                      </a:extLst>
                    </a:blip>
                    <a:srcRect/>
                    <a:stretch>
                      <a:fillRect/>
                    </a:stretch>
                  </pic:blipFill>
                  <pic:spPr bwMode="auto">
                    <a:xfrm>
                      <a:off x="0" y="0"/>
                      <a:ext cx="4380865" cy="2700655"/>
                    </a:xfrm>
                    <a:prstGeom prst="rect">
                      <a:avLst/>
                    </a:prstGeom>
                    <a:noFill/>
                    <a:ln w="9525" cmpd="sng">
                      <a:solidFill>
                        <a:srgbClr val="000000"/>
                      </a:solidFill>
                      <a:miter lim="800000"/>
                      <a:headEnd/>
                      <a:tailEnd/>
                    </a:ln>
                    <a:effectLst/>
                  </pic:spPr>
                </pic:pic>
              </a:graphicData>
            </a:graphic>
          </wp:inline>
        </w:drawing>
      </w:r>
    </w:p>
    <w:p w:rsidR="001864D3" w:rsidRDefault="001864D3" w:rsidP="001864D3">
      <w:pPr>
        <w:pStyle w:val="Fonte"/>
      </w:pPr>
      <w:r>
        <w:t>Fonte: Mota, 2003.</w:t>
      </w:r>
    </w:p>
    <w:p w:rsidR="001864D3" w:rsidRDefault="001864D3" w:rsidP="001864D3">
      <w:pPr>
        <w:pStyle w:val="Legenda"/>
      </w:pPr>
      <w:bookmarkStart w:id="217" w:name="_Ref483821733"/>
      <w:bookmarkStart w:id="218" w:name="_Ref483841232"/>
      <w:bookmarkStart w:id="219" w:name="_Toc497469109"/>
      <w:r>
        <w:t xml:space="preserve">Figura </w:t>
      </w:r>
      <w:r w:rsidR="00D71C43">
        <w:fldChar w:fldCharType="begin"/>
      </w:r>
      <w:r w:rsidR="00D71C43">
        <w:instrText xml:space="preserve"> SEQ Figura \* ARABIC </w:instrText>
      </w:r>
      <w:r w:rsidR="00D71C43">
        <w:fldChar w:fldCharType="separate"/>
      </w:r>
      <w:r w:rsidR="004D1D76">
        <w:rPr>
          <w:noProof/>
        </w:rPr>
        <w:t>13</w:t>
      </w:r>
      <w:r w:rsidR="00D71C43">
        <w:rPr>
          <w:noProof/>
        </w:rPr>
        <w:fldChar w:fldCharType="end"/>
      </w:r>
      <w:bookmarkEnd w:id="217"/>
      <w:bookmarkEnd w:id="218"/>
      <w:r w:rsidR="00A70202">
        <w:t xml:space="preserve"> </w:t>
      </w:r>
      <w:r w:rsidR="00A70202">
        <w:rPr>
          <w:lang w:val="pt-BR"/>
        </w:rPr>
        <w:t>-</w:t>
      </w:r>
      <w:r>
        <w:t xml:space="preserve"> Exemplo de parcelamento do solo considerando aspectos</w:t>
      </w:r>
      <w:bookmarkEnd w:id="219"/>
    </w:p>
    <w:p w:rsidR="001864D3" w:rsidRDefault="001864D3" w:rsidP="001864D3">
      <w:pPr>
        <w:pStyle w:val="Legenda"/>
      </w:pPr>
      <w:r>
        <w:t>topográficos e condições de drenagem natural do terreno</w:t>
      </w:r>
    </w:p>
    <w:p w:rsidR="001864D3" w:rsidRDefault="001864D3" w:rsidP="0081207B">
      <w:pPr>
        <w:pStyle w:val="figura"/>
        <w:rPr>
          <w:highlight w:val="lightGray"/>
        </w:rPr>
      </w:pPr>
      <w:r>
        <w:rPr>
          <w:noProof/>
        </w:rPr>
        <w:drawing>
          <wp:inline distT="0" distB="0" distL="0" distR="0" wp14:anchorId="59BE9A7F" wp14:editId="0039E5D0">
            <wp:extent cx="4200525" cy="4023117"/>
            <wp:effectExtent l="19050" t="19050" r="9525" b="15875"/>
            <wp:docPr id="1" name="Imagem 1" descr="cort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1" descr="corte 2"/>
                    <pic:cNvPicPr>
                      <a:picLocks noChangeAspect="1" noChangeArrowheads="1"/>
                    </pic:cNvPicPr>
                  </pic:nvPicPr>
                  <pic:blipFill>
                    <a:blip r:embed="rId35" cstate="screen">
                      <a:extLst>
                        <a:ext uri="{28A0092B-C50C-407E-A947-70E740481C1C}">
                          <a14:useLocalDpi xmlns:a14="http://schemas.microsoft.com/office/drawing/2010/main"/>
                        </a:ext>
                      </a:extLst>
                    </a:blip>
                    <a:srcRect/>
                    <a:stretch>
                      <a:fillRect/>
                    </a:stretch>
                  </pic:blipFill>
                  <pic:spPr bwMode="auto">
                    <a:xfrm>
                      <a:off x="0" y="0"/>
                      <a:ext cx="4199280" cy="4021925"/>
                    </a:xfrm>
                    <a:prstGeom prst="rect">
                      <a:avLst/>
                    </a:prstGeom>
                    <a:noFill/>
                    <a:ln w="9525" cmpd="sng">
                      <a:solidFill>
                        <a:srgbClr val="000000"/>
                      </a:solidFill>
                      <a:miter lim="800000"/>
                      <a:headEnd/>
                      <a:tailEnd/>
                    </a:ln>
                    <a:effectLst/>
                  </pic:spPr>
                </pic:pic>
              </a:graphicData>
            </a:graphic>
          </wp:inline>
        </w:drawing>
      </w:r>
    </w:p>
    <w:p w:rsidR="001864D3" w:rsidRDefault="001864D3" w:rsidP="001864D3">
      <w:pPr>
        <w:pStyle w:val="Fonte"/>
      </w:pPr>
      <w:r>
        <w:t>Fonte: Mota, 2003.</w:t>
      </w:r>
    </w:p>
    <w:p w:rsidR="00101AC9" w:rsidRPr="000A663F" w:rsidRDefault="00101AC9" w:rsidP="002828C8">
      <w:pPr>
        <w:pStyle w:val="Ttulo3"/>
      </w:pPr>
      <w:bookmarkStart w:id="220" w:name="_Ref435428131"/>
      <w:bookmarkStart w:id="221" w:name="_Toc487536181"/>
      <w:bookmarkStart w:id="222" w:name="_Toc497469009"/>
      <w:r w:rsidRPr="000A663F">
        <w:lastRenderedPageBreak/>
        <w:t>Eventos de Emergência e Contingência</w:t>
      </w:r>
      <w:bookmarkEnd w:id="220"/>
      <w:bookmarkEnd w:id="221"/>
      <w:bookmarkEnd w:id="222"/>
    </w:p>
    <w:p w:rsidR="00101AC9" w:rsidRPr="000A663F" w:rsidRDefault="00101AC9" w:rsidP="00101AC9">
      <w:pPr>
        <w:spacing w:before="120" w:after="120"/>
        <w:ind w:firstLine="708"/>
        <w:contextualSpacing/>
        <w:rPr>
          <w:rFonts w:cs="Arial"/>
          <w:szCs w:val="24"/>
          <w:lang w:eastAsia="pt-BR"/>
        </w:rPr>
      </w:pPr>
      <w:r w:rsidRPr="000A663F">
        <w:rPr>
          <w:rFonts w:cs="Arial"/>
          <w:szCs w:val="24"/>
          <w:lang w:eastAsia="pt-BR"/>
        </w:rPr>
        <w:t>Assim como foi realizado para o Sistema de Abastecimento de Água e para o Sistema de Esgotamento Sanitário, estão listados a seguir potenciais eventos de emergência e contingência relacionados ao sistema de drenagem.</w:t>
      </w:r>
    </w:p>
    <w:p w:rsidR="00101AC9" w:rsidRPr="000A663F" w:rsidRDefault="00101AC9" w:rsidP="002828C8">
      <w:pPr>
        <w:pStyle w:val="Ttulo4"/>
      </w:pPr>
      <w:bookmarkStart w:id="223" w:name="_Toc487536182"/>
      <w:bookmarkStart w:id="224" w:name="_Toc497469010"/>
      <w:r w:rsidRPr="000A663F">
        <w:t>Eventos operacionais</w:t>
      </w:r>
      <w:bookmarkEnd w:id="223"/>
      <w:bookmarkEnd w:id="224"/>
    </w:p>
    <w:p w:rsidR="00101AC9" w:rsidRPr="000A663F" w:rsidRDefault="00101AC9" w:rsidP="00101AC9">
      <w:pPr>
        <w:pStyle w:val="PargrafodaLista"/>
        <w:numPr>
          <w:ilvl w:val="0"/>
          <w:numId w:val="9"/>
        </w:numPr>
        <w:tabs>
          <w:tab w:val="left" w:pos="993"/>
        </w:tabs>
        <w:spacing w:before="120" w:after="120"/>
        <w:ind w:left="0" w:firstLine="709"/>
        <w:rPr>
          <w:rFonts w:eastAsia="Calibri"/>
          <w:szCs w:val="24"/>
        </w:rPr>
      </w:pPr>
      <w:r w:rsidRPr="000A663F">
        <w:rPr>
          <w:b/>
          <w:szCs w:val="24"/>
        </w:rPr>
        <w:t>Ocorrência de entupimento da rede de drenagem</w:t>
      </w:r>
      <w:r w:rsidRPr="000A663F">
        <w:rPr>
          <w:szCs w:val="24"/>
        </w:rPr>
        <w:t>: sedimentos, resíduos sólidos e esgotos sanitários na rede de microdrenagem podem causar entupimentos e levar à ocorrência de alagamentos e enchentes, principalmente quando há falta de manutenção da rede.</w:t>
      </w:r>
    </w:p>
    <w:p w:rsidR="00101AC9" w:rsidRPr="000A663F" w:rsidRDefault="00101AC9" w:rsidP="002828C8">
      <w:pPr>
        <w:pStyle w:val="Ttulo4"/>
      </w:pPr>
      <w:bookmarkStart w:id="225" w:name="_Toc487536183"/>
      <w:bookmarkStart w:id="226" w:name="_Toc497469011"/>
      <w:r w:rsidRPr="000A663F">
        <w:t>Eventos relacionados à gestão e ao gerenciamento</w:t>
      </w:r>
      <w:bookmarkEnd w:id="225"/>
      <w:bookmarkEnd w:id="226"/>
    </w:p>
    <w:p w:rsidR="00101AC9" w:rsidRPr="000A663F" w:rsidRDefault="00101AC9" w:rsidP="00101AC9">
      <w:pPr>
        <w:pStyle w:val="PargrafodaLista"/>
        <w:numPr>
          <w:ilvl w:val="0"/>
          <w:numId w:val="8"/>
        </w:numPr>
        <w:tabs>
          <w:tab w:val="left" w:pos="993"/>
        </w:tabs>
        <w:spacing w:before="120" w:after="120"/>
        <w:ind w:left="0" w:firstLine="709"/>
        <w:rPr>
          <w:szCs w:val="24"/>
        </w:rPr>
      </w:pPr>
      <w:r w:rsidRPr="000A663F">
        <w:rPr>
          <w:b/>
        </w:rPr>
        <w:t>Falta de financiamento para a realização de manutenções</w:t>
      </w:r>
      <w:r w:rsidRPr="000A663F">
        <w:t>: a falta de financiamento para a realização de manutenções na rede de drenagem urbana pode levar à ocorrência de alagamentos e enchentes.</w:t>
      </w:r>
    </w:p>
    <w:p w:rsidR="00101AC9" w:rsidRPr="000A663F" w:rsidRDefault="00101AC9" w:rsidP="002828C8">
      <w:pPr>
        <w:pStyle w:val="Ttulo4"/>
      </w:pPr>
      <w:bookmarkStart w:id="227" w:name="_Toc487536184"/>
      <w:bookmarkStart w:id="228" w:name="_Toc497469012"/>
      <w:r w:rsidRPr="000A663F">
        <w:t>Eventos imprevisíveis</w:t>
      </w:r>
      <w:bookmarkEnd w:id="227"/>
      <w:bookmarkEnd w:id="228"/>
    </w:p>
    <w:p w:rsidR="00101AC9" w:rsidRPr="000A663F" w:rsidRDefault="00101AC9" w:rsidP="00101AC9">
      <w:pPr>
        <w:pStyle w:val="PargrafodaLista"/>
        <w:numPr>
          <w:ilvl w:val="0"/>
          <w:numId w:val="9"/>
        </w:numPr>
        <w:tabs>
          <w:tab w:val="left" w:pos="993"/>
        </w:tabs>
        <w:spacing w:before="120" w:after="120"/>
        <w:ind w:left="0" w:firstLine="709"/>
        <w:rPr>
          <w:rFonts w:eastAsia="Calibri"/>
          <w:szCs w:val="24"/>
        </w:rPr>
      </w:pPr>
      <w:r w:rsidRPr="000A663F">
        <w:rPr>
          <w:rFonts w:eastAsia="Calibri"/>
          <w:b/>
          <w:szCs w:val="24"/>
        </w:rPr>
        <w:t>Ocorrência de rompimento de travessias e pontes por ocasião de eventos hidrológicos extremos</w:t>
      </w:r>
      <w:r w:rsidRPr="000A663F">
        <w:rPr>
          <w:rFonts w:eastAsia="Calibri"/>
          <w:szCs w:val="24"/>
        </w:rPr>
        <w:t>: no caso de chuvas fortes e enchentes, pode ocorrer o rompimento de tubulações, o transbordamento ou a ruptura de travessias e pontes, entre outros distúrbios, colocando em risco a segurança da população e podendo causar problemas a jusante.</w:t>
      </w:r>
    </w:p>
    <w:p w:rsidR="00101AC9" w:rsidRPr="000A663F" w:rsidRDefault="00101AC9" w:rsidP="00101AC9">
      <w:pPr>
        <w:pStyle w:val="PargrafodaLista"/>
        <w:numPr>
          <w:ilvl w:val="0"/>
          <w:numId w:val="9"/>
        </w:numPr>
        <w:tabs>
          <w:tab w:val="left" w:pos="993"/>
        </w:tabs>
        <w:spacing w:before="120" w:after="120"/>
        <w:ind w:left="0" w:firstLine="709"/>
        <w:rPr>
          <w:rFonts w:eastAsia="Calibri"/>
          <w:szCs w:val="24"/>
        </w:rPr>
      </w:pPr>
      <w:r w:rsidRPr="000A663F">
        <w:rPr>
          <w:rFonts w:eastAsia="Calibri"/>
          <w:b/>
          <w:szCs w:val="24"/>
        </w:rPr>
        <w:t>Desmoronamento de taludes e paredes de canais</w:t>
      </w:r>
      <w:r w:rsidRPr="000A663F">
        <w:rPr>
          <w:rFonts w:eastAsia="Calibri"/>
          <w:szCs w:val="24"/>
        </w:rPr>
        <w:t>: o desmoronamento de taludes e paredes de canais representa um risco à segurança da população, bem como pode causar ou agravar o assoreamento do corpo hídrico, podendo levar à ocorrência de enchentes.</w:t>
      </w:r>
    </w:p>
    <w:p w:rsidR="00101AC9" w:rsidRPr="000A663F" w:rsidRDefault="00101AC9" w:rsidP="00101AC9">
      <w:pPr>
        <w:pStyle w:val="PargrafodaLista"/>
        <w:numPr>
          <w:ilvl w:val="0"/>
          <w:numId w:val="9"/>
        </w:numPr>
        <w:tabs>
          <w:tab w:val="left" w:pos="993"/>
        </w:tabs>
        <w:spacing w:before="120" w:after="120"/>
        <w:ind w:left="0" w:firstLine="709"/>
        <w:rPr>
          <w:rFonts w:eastAsia="Calibri"/>
          <w:szCs w:val="24"/>
        </w:rPr>
      </w:pPr>
      <w:r w:rsidRPr="000A663F">
        <w:rPr>
          <w:b/>
          <w:szCs w:val="24"/>
        </w:rPr>
        <w:t>Ocorrência de deslizamentos de terra</w:t>
      </w:r>
      <w:r w:rsidRPr="000A663F">
        <w:rPr>
          <w:szCs w:val="24"/>
        </w:rPr>
        <w:t>: a ocorrência de deslizamentos de terra pode colocar em risco a segurança da população, bem como causar perdas materiais e até mesmo de vidas. Além disso, pode causar ou agravar o assoreamento de corpos hídricos.</w:t>
      </w:r>
    </w:p>
    <w:p w:rsidR="00101AC9" w:rsidRPr="000A663F" w:rsidRDefault="00101AC9" w:rsidP="00101AC9">
      <w:pPr>
        <w:pStyle w:val="PargrafodaLista"/>
        <w:numPr>
          <w:ilvl w:val="0"/>
          <w:numId w:val="9"/>
        </w:numPr>
        <w:tabs>
          <w:tab w:val="left" w:pos="993"/>
        </w:tabs>
        <w:spacing w:before="120" w:after="120"/>
        <w:ind w:left="0" w:firstLine="709"/>
        <w:rPr>
          <w:rFonts w:eastAsia="Calibri"/>
          <w:szCs w:val="24"/>
        </w:rPr>
      </w:pPr>
      <w:r w:rsidRPr="000A663F">
        <w:rPr>
          <w:b/>
          <w:szCs w:val="24"/>
        </w:rPr>
        <w:t>Ocorrência de enchentes e alagamentos</w:t>
      </w:r>
      <w:r w:rsidRPr="000A663F">
        <w:rPr>
          <w:szCs w:val="24"/>
        </w:rPr>
        <w:t xml:space="preserve">: a ocorrência de enchentes e alagamentos coloca em risco a segurança e a saúde da população, bem como pode </w:t>
      </w:r>
      <w:r w:rsidRPr="000A663F">
        <w:rPr>
          <w:szCs w:val="24"/>
        </w:rPr>
        <w:lastRenderedPageBreak/>
        <w:t>causar perdas materiais e até mesmo de vidas. Além disso, pode causar ou agravar o assoreamento do corpo hídrico a jusante.</w:t>
      </w:r>
    </w:p>
    <w:p w:rsidR="00C57ADC" w:rsidRPr="006009F5" w:rsidRDefault="00C57ADC" w:rsidP="002828C8">
      <w:pPr>
        <w:pStyle w:val="SHS-Ttulo02"/>
      </w:pPr>
      <w:bookmarkStart w:id="229" w:name="_Toc497469013"/>
      <w:r w:rsidRPr="006009F5">
        <w:t>Sistema de Limpeza Urbana e Manejo de Resíduos Sólidos</w:t>
      </w:r>
      <w:bookmarkEnd w:id="229"/>
      <w:r w:rsidRPr="006009F5">
        <w:t xml:space="preserve"> </w:t>
      </w:r>
    </w:p>
    <w:p w:rsidR="00C57ADC" w:rsidRPr="006009F5" w:rsidRDefault="00C57ADC" w:rsidP="002828C8">
      <w:pPr>
        <w:pStyle w:val="Ttulo3"/>
      </w:pPr>
      <w:bookmarkStart w:id="230" w:name="_Toc497469014"/>
      <w:r w:rsidRPr="006009F5">
        <w:t>Projeções e estimativa de demanda do Sistema de Limpeza Urbana e Manejo de Resíduos Sólidos</w:t>
      </w:r>
      <w:bookmarkEnd w:id="230"/>
    </w:p>
    <w:p w:rsidR="00193B74" w:rsidRPr="006009F5" w:rsidRDefault="00193B74" w:rsidP="002828C8">
      <w:pPr>
        <w:pStyle w:val="Ttulo4"/>
      </w:pPr>
      <w:bookmarkStart w:id="231" w:name="_Toc497469015"/>
      <w:r w:rsidRPr="006009F5">
        <w:t>Resíduos sólidos domiciliares</w:t>
      </w:r>
      <w:bookmarkEnd w:id="231"/>
    </w:p>
    <w:p w:rsidR="00193B74" w:rsidRPr="006009F5" w:rsidRDefault="00193B74" w:rsidP="00193B74">
      <w:pPr>
        <w:ind w:firstLine="709"/>
        <w:rPr>
          <w:rFonts w:cs="Arial"/>
        </w:rPr>
      </w:pPr>
      <w:r w:rsidRPr="006009F5">
        <w:rPr>
          <w:rFonts w:cs="Arial"/>
        </w:rPr>
        <w:t xml:space="preserve">Utilizando a metodologia apresentada pelo Ministério do Meio Ambiente (2013), é possível prever o crescimento da demanda pelos serviços de manejo de resíduos sólidos e limpeza urbana a partir da projeção populacional, considerando a produção de resíduos urbanos </w:t>
      </w:r>
      <w:r w:rsidRPr="006009F5">
        <w:rPr>
          <w:rFonts w:cs="Arial"/>
          <w:i/>
        </w:rPr>
        <w:t>per capita</w:t>
      </w:r>
      <w:r w:rsidRPr="006009F5">
        <w:rPr>
          <w:rFonts w:cs="Arial"/>
        </w:rPr>
        <w:t xml:space="preserve"> até o ano de 2038. A média da massa de RSU, </w:t>
      </w:r>
      <w:r w:rsidRPr="006009F5">
        <w:rPr>
          <w:rFonts w:cs="Arial"/>
          <w:i/>
        </w:rPr>
        <w:t>per capita</w:t>
      </w:r>
      <w:r w:rsidRPr="006009F5">
        <w:rPr>
          <w:rFonts w:cs="Arial"/>
        </w:rPr>
        <w:t xml:space="preserve"> em relação à população urbana, por faixa populacional utilizada nesta projeção é de 0,81kg/hab.dia para municípios com até 30 mil habitantes</w:t>
      </w:r>
      <w:r w:rsidR="007D34F7">
        <w:rPr>
          <w:rFonts w:cs="Arial"/>
        </w:rPr>
        <w:t>,</w:t>
      </w:r>
      <w:r w:rsidRPr="006009F5">
        <w:rPr>
          <w:rFonts w:cs="Arial"/>
        </w:rPr>
        <w:t xml:space="preserve"> de acordo com MMA (2012). O </w:t>
      </w:r>
      <w:r w:rsidRPr="006009F5">
        <w:rPr>
          <w:rFonts w:cs="Arial"/>
        </w:rPr>
        <w:fldChar w:fldCharType="begin"/>
      </w:r>
      <w:r w:rsidRPr="006009F5">
        <w:rPr>
          <w:rFonts w:cs="Arial"/>
        </w:rPr>
        <w:instrText xml:space="preserve"> REF _Ref394389056 \h  \* MERGEFORMAT </w:instrText>
      </w:r>
      <w:r w:rsidRPr="006009F5">
        <w:rPr>
          <w:rFonts w:cs="Arial"/>
        </w:rPr>
      </w:r>
      <w:r w:rsidRPr="006009F5">
        <w:rPr>
          <w:rFonts w:cs="Arial"/>
        </w:rPr>
        <w:fldChar w:fldCharType="separate"/>
      </w:r>
      <w:r w:rsidR="004D1D76" w:rsidRPr="004D1D76">
        <w:rPr>
          <w:rFonts w:cs="Arial"/>
        </w:rPr>
        <w:t>Quadro 23</w:t>
      </w:r>
      <w:r w:rsidRPr="006009F5">
        <w:rPr>
          <w:rFonts w:cs="Arial"/>
        </w:rPr>
        <w:fldChar w:fldCharType="end"/>
      </w:r>
      <w:r w:rsidRPr="006009F5">
        <w:rPr>
          <w:rFonts w:cs="Arial"/>
        </w:rPr>
        <w:t xml:space="preserve"> apresenta a projeção da geração de resíduos ano a ano para o horizonte de planejamento.</w:t>
      </w:r>
    </w:p>
    <w:p w:rsidR="00193B74" w:rsidRPr="006009F5" w:rsidRDefault="00193B74" w:rsidP="00193B74">
      <w:pPr>
        <w:pStyle w:val="Legenda"/>
        <w:rPr>
          <w:lang w:val="pt-BR"/>
        </w:rPr>
      </w:pPr>
      <w:bookmarkStart w:id="232" w:name="_Ref394389056"/>
      <w:bookmarkStart w:id="233" w:name="_Toc357156181"/>
      <w:bookmarkStart w:id="234" w:name="_Toc360804340"/>
      <w:bookmarkStart w:id="235" w:name="_Toc360809048"/>
      <w:bookmarkStart w:id="236" w:name="_Toc360809768"/>
      <w:bookmarkStart w:id="237" w:name="_Toc372128564"/>
      <w:bookmarkStart w:id="238" w:name="_Toc404326617"/>
      <w:bookmarkStart w:id="239" w:name="_Toc441657119"/>
      <w:bookmarkStart w:id="240" w:name="_Toc497469144"/>
      <w:r w:rsidRPr="006009F5">
        <w:t xml:space="preserve">Quadro </w:t>
      </w:r>
      <w:r w:rsidR="00D71C43">
        <w:fldChar w:fldCharType="begin"/>
      </w:r>
      <w:r w:rsidR="00D71C43">
        <w:instrText xml:space="preserve"> SEQ Quadro \* ARABIC </w:instrText>
      </w:r>
      <w:r w:rsidR="00D71C43">
        <w:fldChar w:fldCharType="separate"/>
      </w:r>
      <w:r w:rsidR="004D1D76">
        <w:rPr>
          <w:noProof/>
        </w:rPr>
        <w:t>23</w:t>
      </w:r>
      <w:r w:rsidR="00D71C43">
        <w:rPr>
          <w:noProof/>
        </w:rPr>
        <w:fldChar w:fldCharType="end"/>
      </w:r>
      <w:bookmarkEnd w:id="232"/>
      <w:r w:rsidRPr="006009F5">
        <w:t xml:space="preserve"> - Projeção da geração de resíduos</w:t>
      </w:r>
      <w:bookmarkEnd w:id="233"/>
      <w:bookmarkEnd w:id="234"/>
      <w:bookmarkEnd w:id="235"/>
      <w:bookmarkEnd w:id="236"/>
      <w:r w:rsidRPr="006009F5">
        <w:t>.</w:t>
      </w:r>
      <w:bookmarkEnd w:id="237"/>
      <w:bookmarkEnd w:id="238"/>
      <w:bookmarkEnd w:id="239"/>
      <w:bookmarkEnd w:id="240"/>
    </w:p>
    <w:tbl>
      <w:tblPr>
        <w:tblW w:w="0" w:type="auto"/>
        <w:tblInd w:w="55" w:type="dxa"/>
        <w:tblCellMar>
          <w:left w:w="70" w:type="dxa"/>
          <w:right w:w="70" w:type="dxa"/>
        </w:tblCellMar>
        <w:tblLook w:val="04A0" w:firstRow="1" w:lastRow="0" w:firstColumn="1" w:lastColumn="0" w:noHBand="0" w:noVBand="1"/>
      </w:tblPr>
      <w:tblGrid>
        <w:gridCol w:w="585"/>
        <w:gridCol w:w="1558"/>
        <w:gridCol w:w="1486"/>
        <w:gridCol w:w="1479"/>
        <w:gridCol w:w="2155"/>
        <w:gridCol w:w="2176"/>
      </w:tblGrid>
      <w:tr w:rsidR="006009F5" w:rsidRPr="006009F5" w:rsidTr="0081207B">
        <w:trPr>
          <w:trHeight w:val="312"/>
          <w:tblHead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Ano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6009F5" w:rsidRPr="006009F5" w:rsidRDefault="006009F5" w:rsidP="0081207B">
            <w:pPr>
              <w:spacing w:before="20" w:after="2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População urbana (hab)</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6009F5" w:rsidRPr="006009F5" w:rsidRDefault="006009F5" w:rsidP="0081207B">
            <w:pPr>
              <w:spacing w:before="20" w:after="2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População rural (hab)</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6009F5" w:rsidRPr="006009F5" w:rsidRDefault="006009F5" w:rsidP="0081207B">
            <w:pPr>
              <w:spacing w:before="20" w:after="2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População total (hab)</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6009F5" w:rsidRPr="006009F5" w:rsidRDefault="006009F5" w:rsidP="0081207B">
            <w:pPr>
              <w:spacing w:before="20" w:after="2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Quantidade de resíduos gerados (ton/dia)</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6009F5" w:rsidRPr="006009F5" w:rsidRDefault="006009F5" w:rsidP="0081207B">
            <w:pPr>
              <w:spacing w:before="20" w:after="2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Quantidade de resíduos gerados (ton/ano)</w:t>
            </w:r>
          </w:p>
        </w:tc>
      </w:tr>
      <w:tr w:rsidR="006009F5" w:rsidRPr="006009F5" w:rsidTr="0081207B">
        <w:trPr>
          <w:trHeight w:val="31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2017</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1.983</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883</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2.866</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2,3</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847,3</w:t>
            </w:r>
          </w:p>
        </w:tc>
      </w:tr>
      <w:tr w:rsidR="006009F5" w:rsidRPr="006009F5" w:rsidTr="0081207B">
        <w:trPr>
          <w:trHeight w:val="31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2018</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1.969</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846</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2.815</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2,3</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832,3</w:t>
            </w:r>
          </w:p>
        </w:tc>
      </w:tr>
      <w:tr w:rsidR="006009F5" w:rsidRPr="006009F5" w:rsidTr="0081207B">
        <w:trPr>
          <w:trHeight w:val="31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2019</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1.959</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810</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2.769</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2,2</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818,7</w:t>
            </w:r>
          </w:p>
        </w:tc>
      </w:tr>
      <w:tr w:rsidR="006009F5" w:rsidRPr="006009F5" w:rsidTr="0081207B">
        <w:trPr>
          <w:trHeight w:val="31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2020</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1.956</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790</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2.746</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2,2</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811,9</w:t>
            </w:r>
          </w:p>
        </w:tc>
      </w:tr>
      <w:tr w:rsidR="006009F5" w:rsidRPr="006009F5" w:rsidTr="0081207B">
        <w:trPr>
          <w:trHeight w:val="31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2021</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1.942</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767</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2.709</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2,2</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800,9</w:t>
            </w:r>
          </w:p>
        </w:tc>
      </w:tr>
      <w:tr w:rsidR="006009F5" w:rsidRPr="006009F5" w:rsidTr="0081207B">
        <w:trPr>
          <w:trHeight w:val="31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2022</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1.925</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742</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2.667</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2,2</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788,5</w:t>
            </w:r>
          </w:p>
        </w:tc>
      </w:tr>
      <w:tr w:rsidR="006009F5" w:rsidRPr="006009F5" w:rsidTr="0081207B">
        <w:trPr>
          <w:trHeight w:val="31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2023</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1.910</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714</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2.624</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2,1</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775,8</w:t>
            </w:r>
          </w:p>
        </w:tc>
      </w:tr>
      <w:tr w:rsidR="006009F5" w:rsidRPr="006009F5" w:rsidTr="0081207B">
        <w:trPr>
          <w:trHeight w:val="31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2024</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1.906</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691</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2.597</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2,1</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767,8</w:t>
            </w:r>
          </w:p>
        </w:tc>
      </w:tr>
      <w:tr w:rsidR="006009F5" w:rsidRPr="006009F5" w:rsidTr="0081207B">
        <w:trPr>
          <w:trHeight w:val="31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2025</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1.891</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675</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2.566</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2,1</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758,6</w:t>
            </w:r>
          </w:p>
        </w:tc>
      </w:tr>
      <w:tr w:rsidR="006009F5" w:rsidRPr="006009F5" w:rsidTr="0081207B">
        <w:trPr>
          <w:trHeight w:val="31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2026</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1.881</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653</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2.534</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2,1</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749,2</w:t>
            </w:r>
          </w:p>
        </w:tc>
      </w:tr>
      <w:tr w:rsidR="006009F5" w:rsidRPr="006009F5" w:rsidTr="0081207B">
        <w:trPr>
          <w:trHeight w:val="31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2027</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1.862</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624</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2.486</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2,0</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735,0</w:t>
            </w:r>
          </w:p>
        </w:tc>
      </w:tr>
      <w:tr w:rsidR="006009F5" w:rsidRPr="006009F5" w:rsidTr="0081207B">
        <w:trPr>
          <w:trHeight w:val="31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2028</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1.851</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600</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2.451</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2,0</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724,6</w:t>
            </w:r>
          </w:p>
        </w:tc>
      </w:tr>
      <w:tr w:rsidR="006009F5" w:rsidRPr="006009F5" w:rsidTr="0081207B">
        <w:trPr>
          <w:trHeight w:val="31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2029</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1.836</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584</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2.420</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2,0</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715,5</w:t>
            </w:r>
          </w:p>
        </w:tc>
      </w:tr>
      <w:tr w:rsidR="006009F5" w:rsidRPr="006009F5" w:rsidTr="0081207B">
        <w:trPr>
          <w:trHeight w:val="31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2030</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1.813</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565</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2.378</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1,9</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703,1</w:t>
            </w:r>
          </w:p>
        </w:tc>
      </w:tr>
      <w:tr w:rsidR="006009F5" w:rsidRPr="006009F5" w:rsidTr="0081207B">
        <w:trPr>
          <w:trHeight w:val="31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2031</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1.795</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546</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2.341</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1,9</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692,1</w:t>
            </w:r>
          </w:p>
        </w:tc>
      </w:tr>
      <w:tr w:rsidR="006009F5" w:rsidRPr="006009F5" w:rsidTr="0081207B">
        <w:trPr>
          <w:trHeight w:val="31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2032</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1.779</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514</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2.293</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1,9</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677,9</w:t>
            </w:r>
          </w:p>
        </w:tc>
      </w:tr>
      <w:tr w:rsidR="006009F5" w:rsidRPr="006009F5" w:rsidTr="0081207B">
        <w:trPr>
          <w:trHeight w:val="31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2033</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1.770</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496</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2.266</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1,8</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669,9</w:t>
            </w:r>
          </w:p>
        </w:tc>
      </w:tr>
      <w:tr w:rsidR="006009F5" w:rsidRPr="006009F5" w:rsidTr="0081207B">
        <w:trPr>
          <w:trHeight w:val="31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lastRenderedPageBreak/>
              <w:t>2034</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1.751</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483</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2.234</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1,8</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660,5</w:t>
            </w:r>
          </w:p>
        </w:tc>
      </w:tr>
      <w:tr w:rsidR="006009F5" w:rsidRPr="006009F5" w:rsidTr="0081207B">
        <w:trPr>
          <w:trHeight w:val="31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2035</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1.730</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471</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2.201</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1,8</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650,7</w:t>
            </w:r>
          </w:p>
        </w:tc>
      </w:tr>
      <w:tr w:rsidR="006009F5" w:rsidRPr="006009F5" w:rsidTr="0081207B">
        <w:trPr>
          <w:trHeight w:val="31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2036</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1.711</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450</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2.161</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1,8</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638,9</w:t>
            </w:r>
          </w:p>
        </w:tc>
      </w:tr>
      <w:tr w:rsidR="006009F5" w:rsidRPr="006009F5" w:rsidTr="0081207B">
        <w:trPr>
          <w:trHeight w:val="31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2037</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1.702</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434</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2.136</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1,7</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631,5</w:t>
            </w:r>
          </w:p>
        </w:tc>
      </w:tr>
      <w:tr w:rsidR="006009F5" w:rsidRPr="006009F5" w:rsidTr="0081207B">
        <w:trPr>
          <w:trHeight w:val="312"/>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2038</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1.691</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427</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2.118</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1,7</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81207B">
            <w:pPr>
              <w:spacing w:before="20" w:after="2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626,2</w:t>
            </w:r>
          </w:p>
        </w:tc>
      </w:tr>
    </w:tbl>
    <w:p w:rsidR="00193B74" w:rsidRPr="006009F5" w:rsidRDefault="00193B74" w:rsidP="00193B74">
      <w:pPr>
        <w:pStyle w:val="Fonte"/>
      </w:pPr>
      <w:r w:rsidRPr="006009F5">
        <w:t>Fonte: SHS, 2017.</w:t>
      </w:r>
    </w:p>
    <w:p w:rsidR="00193B74" w:rsidRPr="006009F5" w:rsidRDefault="00193B74" w:rsidP="002828C8">
      <w:pPr>
        <w:pStyle w:val="Ttulo4"/>
      </w:pPr>
      <w:bookmarkStart w:id="241" w:name="_Toc497469016"/>
      <w:r w:rsidRPr="006009F5">
        <w:t>Resíduos recicláveis</w:t>
      </w:r>
      <w:bookmarkEnd w:id="241"/>
    </w:p>
    <w:p w:rsidR="006009F5" w:rsidRDefault="00193B74" w:rsidP="006009F5">
      <w:pPr>
        <w:ind w:firstLine="709"/>
        <w:rPr>
          <w:rFonts w:cs="Arial"/>
          <w:szCs w:val="24"/>
        </w:rPr>
      </w:pPr>
      <w:r w:rsidRPr="006009F5">
        <w:rPr>
          <w:rFonts w:cs="Arial"/>
          <w:szCs w:val="24"/>
        </w:rPr>
        <w:t xml:space="preserve">Para a realização dos estudos de projeção de demanda dos serviços de manejo de resíduos sólidos para resíduos passíveis de reciclagem, foram utilizados valores médios da composição gravimétrica dos resíduos sólidos gerados no </w:t>
      </w:r>
      <w:r w:rsidR="006009F5" w:rsidRPr="006009F5">
        <w:rPr>
          <w:rFonts w:cs="Arial"/>
          <w:szCs w:val="24"/>
        </w:rPr>
        <w:t>município de Córrego Novo</w:t>
      </w:r>
      <w:r w:rsidRPr="006009F5">
        <w:rPr>
          <w:rFonts w:cs="Arial"/>
          <w:szCs w:val="24"/>
        </w:rPr>
        <w:t>, conforme apresentado em 201</w:t>
      </w:r>
      <w:r w:rsidR="006009F5" w:rsidRPr="006009F5">
        <w:rPr>
          <w:rFonts w:cs="Arial"/>
          <w:szCs w:val="24"/>
        </w:rPr>
        <w:t>5</w:t>
      </w:r>
      <w:r w:rsidRPr="006009F5">
        <w:rPr>
          <w:rFonts w:cs="Arial"/>
          <w:szCs w:val="24"/>
        </w:rPr>
        <w:t xml:space="preserve"> n</w:t>
      </w:r>
      <w:r w:rsidR="006009F5" w:rsidRPr="006009F5">
        <w:rPr>
          <w:rFonts w:cs="Arial"/>
          <w:szCs w:val="24"/>
        </w:rPr>
        <w:t>o PMGIRS</w:t>
      </w:r>
      <w:r w:rsidR="007D34F7">
        <w:rPr>
          <w:rFonts w:cs="Arial"/>
          <w:szCs w:val="24"/>
        </w:rPr>
        <w:t xml:space="preserve"> e mostrado no </w:t>
      </w:r>
      <w:r w:rsidR="007D34F7">
        <w:rPr>
          <w:rFonts w:cs="Arial"/>
          <w:szCs w:val="24"/>
        </w:rPr>
        <w:fldChar w:fldCharType="begin"/>
      </w:r>
      <w:r w:rsidR="007D34F7">
        <w:rPr>
          <w:rFonts w:cs="Arial"/>
          <w:szCs w:val="24"/>
        </w:rPr>
        <w:instrText xml:space="preserve"> REF _Ref487727471 \h </w:instrText>
      </w:r>
      <w:r w:rsidR="007D34F7">
        <w:rPr>
          <w:rFonts w:cs="Arial"/>
          <w:szCs w:val="24"/>
        </w:rPr>
      </w:r>
      <w:r w:rsidR="007D34F7">
        <w:rPr>
          <w:rFonts w:cs="Arial"/>
          <w:szCs w:val="24"/>
        </w:rPr>
        <w:fldChar w:fldCharType="separate"/>
      </w:r>
      <w:r w:rsidR="004D1D76">
        <w:t xml:space="preserve">Quadro </w:t>
      </w:r>
      <w:r w:rsidR="004D1D76">
        <w:rPr>
          <w:noProof/>
        </w:rPr>
        <w:t>24</w:t>
      </w:r>
      <w:r w:rsidR="007D34F7">
        <w:rPr>
          <w:rFonts w:cs="Arial"/>
          <w:szCs w:val="24"/>
        </w:rPr>
        <w:fldChar w:fldCharType="end"/>
      </w:r>
      <w:r w:rsidR="007D34F7">
        <w:rPr>
          <w:rFonts w:cs="Arial"/>
          <w:szCs w:val="24"/>
        </w:rPr>
        <w:t>.</w:t>
      </w:r>
    </w:p>
    <w:p w:rsidR="007D34F7" w:rsidRPr="007D34F7" w:rsidRDefault="007D34F7" w:rsidP="007D34F7">
      <w:pPr>
        <w:pStyle w:val="Legenda"/>
      </w:pPr>
      <w:bookmarkStart w:id="242" w:name="_Ref487727471"/>
      <w:bookmarkStart w:id="243" w:name="_Toc497469145"/>
      <w:r>
        <w:t xml:space="preserve">Quadro </w:t>
      </w:r>
      <w:r w:rsidR="00D71C43">
        <w:fldChar w:fldCharType="begin"/>
      </w:r>
      <w:r w:rsidR="00D71C43">
        <w:instrText xml:space="preserve"> SEQ Quadro \* ARABIC </w:instrText>
      </w:r>
      <w:r w:rsidR="00D71C43">
        <w:fldChar w:fldCharType="separate"/>
      </w:r>
      <w:r w:rsidR="004D1D76">
        <w:rPr>
          <w:noProof/>
        </w:rPr>
        <w:t>24</w:t>
      </w:r>
      <w:r w:rsidR="00D71C43">
        <w:rPr>
          <w:noProof/>
        </w:rPr>
        <w:fldChar w:fldCharType="end"/>
      </w:r>
      <w:bookmarkEnd w:id="242"/>
      <w:r>
        <w:rPr>
          <w:lang w:val="pt-BR"/>
        </w:rPr>
        <w:t xml:space="preserve"> - </w:t>
      </w:r>
      <w:r w:rsidRPr="007D34F7">
        <w:t>Composição gravimétrica resíduos sólidos urbanos</w:t>
      </w:r>
      <w:bookmarkEnd w:id="243"/>
    </w:p>
    <w:p w:rsidR="007D34F7" w:rsidRPr="007D34F7" w:rsidRDefault="007D34F7" w:rsidP="007D34F7">
      <w:pPr>
        <w:widowControl w:val="0"/>
        <w:spacing w:line="240" w:lineRule="auto"/>
        <w:jc w:val="center"/>
        <w:rPr>
          <w:rFonts w:eastAsia="Times New Roman" w:cs="Arial"/>
          <w:sz w:val="22"/>
          <w:szCs w:val="20"/>
          <w:lang w:eastAsia="pt-BR"/>
        </w:rPr>
      </w:pPr>
      <w:r w:rsidRPr="007D34F7">
        <w:rPr>
          <w:rFonts w:eastAsia="Times New Roman" w:cs="Arial"/>
          <w:noProof/>
          <w:sz w:val="22"/>
          <w:szCs w:val="20"/>
          <w:lang w:eastAsia="pt-BR"/>
        </w:rPr>
        <w:drawing>
          <wp:inline distT="0" distB="0" distL="0" distR="0" wp14:anchorId="199CB58A" wp14:editId="2BED2A54">
            <wp:extent cx="4680000" cy="4443941"/>
            <wp:effectExtent l="0" t="0" r="6350" b="0"/>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36">
                      <a:extLst>
                        <a:ext uri="{28A0092B-C50C-407E-A947-70E740481C1C}">
                          <a14:useLocalDpi xmlns:a14="http://schemas.microsoft.com/office/drawing/2010/main"/>
                        </a:ext>
                      </a:extLst>
                    </a:blip>
                    <a:srcRect/>
                    <a:stretch>
                      <a:fillRect/>
                    </a:stretch>
                  </pic:blipFill>
                  <pic:spPr bwMode="auto">
                    <a:xfrm>
                      <a:off x="0" y="0"/>
                      <a:ext cx="4680000" cy="4443941"/>
                    </a:xfrm>
                    <a:prstGeom prst="rect">
                      <a:avLst/>
                    </a:prstGeom>
                    <a:noFill/>
                    <a:ln>
                      <a:noFill/>
                    </a:ln>
                  </pic:spPr>
                </pic:pic>
              </a:graphicData>
            </a:graphic>
          </wp:inline>
        </w:drawing>
      </w:r>
    </w:p>
    <w:p w:rsidR="007D34F7" w:rsidRPr="007D34F7" w:rsidRDefault="007D34F7" w:rsidP="007D34F7">
      <w:pPr>
        <w:spacing w:before="120" w:after="120"/>
        <w:contextualSpacing/>
        <w:jc w:val="center"/>
        <w:rPr>
          <w:rFonts w:eastAsia="Times New Roman"/>
          <w:sz w:val="22"/>
          <w:lang w:eastAsia="pt-BR"/>
        </w:rPr>
      </w:pPr>
      <w:r w:rsidRPr="007D34F7">
        <w:rPr>
          <w:rFonts w:eastAsia="Times New Roman"/>
          <w:sz w:val="22"/>
          <w:lang w:eastAsia="pt-BR"/>
        </w:rPr>
        <w:t>Fonte: PMGIRS, 2015.</w:t>
      </w:r>
    </w:p>
    <w:p w:rsidR="00193B74" w:rsidRPr="006009F5" w:rsidRDefault="00193B74" w:rsidP="00193B74">
      <w:pPr>
        <w:ind w:firstLine="709"/>
        <w:rPr>
          <w:rFonts w:cs="Arial"/>
          <w:szCs w:val="24"/>
        </w:rPr>
      </w:pPr>
      <w:r w:rsidRPr="006009F5">
        <w:rPr>
          <w:rFonts w:cs="Arial"/>
          <w:szCs w:val="24"/>
        </w:rPr>
        <w:lastRenderedPageBreak/>
        <w:t xml:space="preserve">Considerou-se a média nacional de resíduos recicláveis na massa de resíduos gerados de </w:t>
      </w:r>
      <w:r w:rsidR="006009F5" w:rsidRPr="006009F5">
        <w:rPr>
          <w:rFonts w:cs="Arial"/>
          <w:szCs w:val="24"/>
        </w:rPr>
        <w:t>35,94</w:t>
      </w:r>
      <w:r w:rsidRPr="006009F5">
        <w:rPr>
          <w:rFonts w:cs="Arial"/>
          <w:szCs w:val="24"/>
        </w:rPr>
        <w:t xml:space="preserve">% para projetar uma redução de </w:t>
      </w:r>
      <w:r w:rsidR="007C625B" w:rsidRPr="006009F5">
        <w:rPr>
          <w:rFonts w:cs="Arial"/>
          <w:szCs w:val="24"/>
        </w:rPr>
        <w:t>10</w:t>
      </w:r>
      <w:r w:rsidRPr="006009F5">
        <w:rPr>
          <w:rFonts w:cs="Arial"/>
          <w:szCs w:val="24"/>
        </w:rPr>
        <w:t xml:space="preserve">0% desse tipo de resíduo a ser enviado à disposição final em aterro sanitário até o ano de 2038, conforme mostrado no </w:t>
      </w:r>
      <w:r w:rsidRPr="006009F5">
        <w:rPr>
          <w:rFonts w:cs="Arial"/>
          <w:szCs w:val="24"/>
        </w:rPr>
        <w:fldChar w:fldCharType="begin"/>
      </w:r>
      <w:r w:rsidRPr="006009F5">
        <w:rPr>
          <w:rFonts w:cs="Arial"/>
          <w:szCs w:val="24"/>
        </w:rPr>
        <w:instrText xml:space="preserve"> REF _Ref433808963 \h  \* MERGEFORMAT </w:instrText>
      </w:r>
      <w:r w:rsidRPr="006009F5">
        <w:rPr>
          <w:rFonts w:cs="Arial"/>
          <w:szCs w:val="24"/>
        </w:rPr>
      </w:r>
      <w:r w:rsidRPr="006009F5">
        <w:rPr>
          <w:rFonts w:cs="Arial"/>
          <w:szCs w:val="24"/>
        </w:rPr>
        <w:fldChar w:fldCharType="separate"/>
      </w:r>
      <w:r w:rsidR="004D1D76" w:rsidRPr="006009F5">
        <w:t xml:space="preserve">Quadro </w:t>
      </w:r>
      <w:r w:rsidR="004D1D76">
        <w:rPr>
          <w:noProof/>
        </w:rPr>
        <w:t>25</w:t>
      </w:r>
      <w:r w:rsidRPr="006009F5">
        <w:rPr>
          <w:rFonts w:cs="Arial"/>
          <w:szCs w:val="24"/>
        </w:rPr>
        <w:fldChar w:fldCharType="end"/>
      </w:r>
      <w:r w:rsidRPr="006009F5">
        <w:rPr>
          <w:rFonts w:cs="Arial"/>
          <w:szCs w:val="24"/>
        </w:rPr>
        <w:t>. Assim, o quadro apresenta o cenário projetado para a redução (incidente sobre os parâmetros atuais de disposição) dos resíduos a serem dispostos no aterro, considerando somente o reaproveitamento dos resíduos secos passíveis de reciclagem.</w:t>
      </w:r>
    </w:p>
    <w:p w:rsidR="00193B74" w:rsidRPr="006009F5" w:rsidRDefault="00193B74" w:rsidP="00193B74">
      <w:pPr>
        <w:pStyle w:val="Legenda"/>
        <w:rPr>
          <w:lang w:val="pt-BR"/>
        </w:rPr>
      </w:pPr>
      <w:bookmarkStart w:id="244" w:name="_Ref433808963"/>
      <w:bookmarkStart w:id="245" w:name="_Toc360804341"/>
      <w:bookmarkStart w:id="246" w:name="_Toc360809049"/>
      <w:bookmarkStart w:id="247" w:name="_Toc360809769"/>
      <w:bookmarkStart w:id="248" w:name="_Toc372128565"/>
      <w:bookmarkStart w:id="249" w:name="_Toc404326619"/>
      <w:bookmarkStart w:id="250" w:name="_Toc441657121"/>
      <w:bookmarkStart w:id="251" w:name="_Toc497469146"/>
      <w:r w:rsidRPr="006009F5">
        <w:t xml:space="preserve">Quadro </w:t>
      </w:r>
      <w:r w:rsidR="00D71C43">
        <w:fldChar w:fldCharType="begin"/>
      </w:r>
      <w:r w:rsidR="00D71C43">
        <w:instrText xml:space="preserve"> SEQ Quadro \* ARABIC </w:instrText>
      </w:r>
      <w:r w:rsidR="00D71C43">
        <w:fldChar w:fldCharType="separate"/>
      </w:r>
      <w:r w:rsidR="004D1D76">
        <w:rPr>
          <w:noProof/>
        </w:rPr>
        <w:t>25</w:t>
      </w:r>
      <w:r w:rsidR="00D71C43">
        <w:rPr>
          <w:noProof/>
        </w:rPr>
        <w:fldChar w:fldCharType="end"/>
      </w:r>
      <w:bookmarkEnd w:id="244"/>
      <w:r w:rsidRPr="006009F5">
        <w:t xml:space="preserve"> - Metas para redução de resíduos secos recicláveis </w:t>
      </w:r>
      <w:bookmarkEnd w:id="245"/>
      <w:bookmarkEnd w:id="246"/>
      <w:bookmarkEnd w:id="247"/>
      <w:bookmarkEnd w:id="248"/>
      <w:bookmarkEnd w:id="249"/>
      <w:r w:rsidRPr="006009F5">
        <w:t>enviados à disposição final</w:t>
      </w:r>
      <w:bookmarkEnd w:id="250"/>
      <w:bookmarkEnd w:id="251"/>
    </w:p>
    <w:tbl>
      <w:tblPr>
        <w:tblW w:w="0" w:type="auto"/>
        <w:tblInd w:w="55" w:type="dxa"/>
        <w:tblCellMar>
          <w:left w:w="70" w:type="dxa"/>
          <w:right w:w="70" w:type="dxa"/>
        </w:tblCellMar>
        <w:tblLook w:val="04A0" w:firstRow="1" w:lastRow="0" w:firstColumn="1" w:lastColumn="0" w:noHBand="0" w:noVBand="1"/>
      </w:tblPr>
      <w:tblGrid>
        <w:gridCol w:w="585"/>
        <w:gridCol w:w="1533"/>
        <w:gridCol w:w="1704"/>
        <w:gridCol w:w="2104"/>
        <w:gridCol w:w="1880"/>
        <w:gridCol w:w="1633"/>
      </w:tblGrid>
      <w:tr w:rsidR="006009F5" w:rsidRPr="006009F5" w:rsidTr="006009F5">
        <w:trPr>
          <w:trHeight w:val="340"/>
          <w:tblHead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Ano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6009F5" w:rsidRPr="006009F5" w:rsidRDefault="006009F5" w:rsidP="004A1F7E">
            <w:pPr>
              <w:spacing w:before="60" w:after="6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Quantidade de resíduos gerados (ton/ano)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6009F5" w:rsidRPr="006009F5" w:rsidRDefault="006009F5" w:rsidP="004A1F7E">
            <w:pPr>
              <w:spacing w:before="60" w:after="6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Quantidade de resíduos recicláveis secos gerados (ton/ano)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6009F5" w:rsidRPr="006009F5" w:rsidRDefault="006009F5" w:rsidP="004A1F7E">
            <w:pPr>
              <w:spacing w:before="60" w:after="6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Percentual de aproveitamento dos resíduos recicláveis secos (%)</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6009F5" w:rsidRPr="006009F5" w:rsidRDefault="006009F5" w:rsidP="004A1F7E">
            <w:pPr>
              <w:spacing w:before="60" w:after="6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Quantidade de resíduos recicláveis secos aproveitados (ton/ano)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6009F5" w:rsidRPr="006009F5" w:rsidRDefault="006009F5" w:rsidP="004A1F7E">
            <w:pPr>
              <w:spacing w:before="60" w:after="6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Quantidade de resíduos enviados ao aterro (ton/ano)</w:t>
            </w:r>
          </w:p>
        </w:tc>
      </w:tr>
      <w:tr w:rsidR="006009F5" w:rsidRPr="006009F5" w:rsidTr="006009F5">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2017</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847</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305</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847</w:t>
            </w:r>
          </w:p>
        </w:tc>
      </w:tr>
      <w:tr w:rsidR="006009F5" w:rsidRPr="006009F5" w:rsidTr="006009F5">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2018</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832</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299</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832</w:t>
            </w:r>
          </w:p>
        </w:tc>
      </w:tr>
      <w:tr w:rsidR="006009F5" w:rsidRPr="006009F5" w:rsidTr="006009F5">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2019</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819</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294</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5</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15</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804</w:t>
            </w:r>
          </w:p>
        </w:tc>
      </w:tr>
      <w:tr w:rsidR="006009F5" w:rsidRPr="006009F5" w:rsidTr="006009F5">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2020</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812</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292</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10</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29</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783</w:t>
            </w:r>
          </w:p>
        </w:tc>
      </w:tr>
      <w:tr w:rsidR="006009F5" w:rsidRPr="006009F5" w:rsidTr="006009F5">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2021</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801</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288</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15</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43</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758</w:t>
            </w:r>
          </w:p>
        </w:tc>
      </w:tr>
      <w:tr w:rsidR="006009F5" w:rsidRPr="006009F5" w:rsidTr="006009F5">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2022</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788</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283</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20</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57</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732</w:t>
            </w:r>
          </w:p>
        </w:tc>
      </w:tr>
      <w:tr w:rsidR="006009F5" w:rsidRPr="006009F5" w:rsidTr="006009F5">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2023</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776</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279</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25</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70</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706</w:t>
            </w:r>
          </w:p>
        </w:tc>
      </w:tr>
      <w:tr w:rsidR="006009F5" w:rsidRPr="006009F5" w:rsidTr="006009F5">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2024</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768</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276</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30</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83</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685</w:t>
            </w:r>
          </w:p>
        </w:tc>
      </w:tr>
      <w:tr w:rsidR="006009F5" w:rsidRPr="006009F5" w:rsidTr="006009F5">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2025</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759</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273</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35</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95</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663</w:t>
            </w:r>
          </w:p>
        </w:tc>
      </w:tr>
      <w:tr w:rsidR="006009F5" w:rsidRPr="006009F5" w:rsidTr="006009F5">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2026</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749</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269</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40</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108</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641</w:t>
            </w:r>
          </w:p>
        </w:tc>
      </w:tr>
      <w:tr w:rsidR="006009F5" w:rsidRPr="006009F5" w:rsidTr="006009F5">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2027</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735</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264</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45</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119</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616</w:t>
            </w:r>
          </w:p>
        </w:tc>
      </w:tr>
      <w:tr w:rsidR="006009F5" w:rsidRPr="006009F5" w:rsidTr="006009F5">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2028</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725</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260</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50</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130</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594</w:t>
            </w:r>
          </w:p>
        </w:tc>
      </w:tr>
      <w:tr w:rsidR="006009F5" w:rsidRPr="006009F5" w:rsidTr="006009F5">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2029</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715</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257</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55</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141</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574</w:t>
            </w:r>
          </w:p>
        </w:tc>
      </w:tr>
      <w:tr w:rsidR="006009F5" w:rsidRPr="006009F5" w:rsidTr="006009F5">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2030</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703</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253</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60</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152</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551</w:t>
            </w:r>
          </w:p>
        </w:tc>
      </w:tr>
      <w:tr w:rsidR="006009F5" w:rsidRPr="006009F5" w:rsidTr="006009F5">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2031</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692</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249</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65</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162</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530</w:t>
            </w:r>
          </w:p>
        </w:tc>
      </w:tr>
      <w:tr w:rsidR="006009F5" w:rsidRPr="006009F5" w:rsidTr="006009F5">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2032</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678</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244</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70</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171</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507</w:t>
            </w:r>
          </w:p>
        </w:tc>
      </w:tr>
      <w:tr w:rsidR="006009F5" w:rsidRPr="006009F5" w:rsidTr="006009F5">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2033</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670</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241</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75</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181</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489</w:t>
            </w:r>
          </w:p>
        </w:tc>
      </w:tr>
      <w:tr w:rsidR="006009F5" w:rsidRPr="006009F5" w:rsidTr="006009F5">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2034</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660</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237</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80</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190</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471</w:t>
            </w:r>
          </w:p>
        </w:tc>
      </w:tr>
      <w:tr w:rsidR="006009F5" w:rsidRPr="006009F5" w:rsidTr="006009F5">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2035</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651</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234</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85</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199</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452</w:t>
            </w:r>
          </w:p>
        </w:tc>
      </w:tr>
      <w:tr w:rsidR="006009F5" w:rsidRPr="006009F5" w:rsidTr="006009F5">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2036</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639</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230</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90</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207</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432</w:t>
            </w:r>
          </w:p>
        </w:tc>
      </w:tr>
      <w:tr w:rsidR="006009F5" w:rsidRPr="006009F5" w:rsidTr="006009F5">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2037</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632</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227</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95</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216</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416</w:t>
            </w:r>
          </w:p>
        </w:tc>
      </w:tr>
      <w:tr w:rsidR="006009F5" w:rsidRPr="006009F5" w:rsidTr="006009F5">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b/>
                <w:bCs/>
                <w:color w:val="000000"/>
                <w:sz w:val="20"/>
                <w:szCs w:val="20"/>
                <w:lang w:eastAsia="pt-BR"/>
              </w:rPr>
            </w:pPr>
            <w:r w:rsidRPr="006009F5">
              <w:rPr>
                <w:rFonts w:eastAsia="Times New Roman" w:cs="Arial"/>
                <w:b/>
                <w:bCs/>
                <w:color w:val="000000"/>
                <w:sz w:val="20"/>
                <w:szCs w:val="20"/>
                <w:lang w:eastAsia="pt-BR"/>
              </w:rPr>
              <w:t>2038</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626</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225</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100</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225</w:t>
            </w:r>
          </w:p>
        </w:tc>
        <w:tc>
          <w:tcPr>
            <w:tcW w:w="0" w:type="auto"/>
            <w:tcBorders>
              <w:top w:val="nil"/>
              <w:left w:val="nil"/>
              <w:bottom w:val="single" w:sz="4" w:space="0" w:color="auto"/>
              <w:right w:val="single" w:sz="4" w:space="0" w:color="auto"/>
            </w:tcBorders>
            <w:shd w:val="clear" w:color="auto" w:fill="auto"/>
            <w:noWrap/>
            <w:vAlign w:val="center"/>
            <w:hideMark/>
          </w:tcPr>
          <w:p w:rsidR="006009F5" w:rsidRPr="006009F5" w:rsidRDefault="006009F5" w:rsidP="004A1F7E">
            <w:pPr>
              <w:spacing w:before="60" w:after="60" w:line="240" w:lineRule="auto"/>
              <w:jc w:val="center"/>
              <w:rPr>
                <w:rFonts w:eastAsia="Times New Roman" w:cs="Arial"/>
                <w:color w:val="000000"/>
                <w:sz w:val="20"/>
                <w:szCs w:val="20"/>
                <w:lang w:eastAsia="pt-BR"/>
              </w:rPr>
            </w:pPr>
            <w:r w:rsidRPr="006009F5">
              <w:rPr>
                <w:rFonts w:eastAsia="Times New Roman" w:cs="Arial"/>
                <w:color w:val="000000"/>
                <w:sz w:val="20"/>
                <w:szCs w:val="20"/>
                <w:lang w:eastAsia="pt-BR"/>
              </w:rPr>
              <w:t>401</w:t>
            </w:r>
          </w:p>
        </w:tc>
      </w:tr>
    </w:tbl>
    <w:p w:rsidR="00193B74" w:rsidRDefault="00193B74" w:rsidP="00193B74">
      <w:pPr>
        <w:pStyle w:val="Fonte"/>
      </w:pPr>
      <w:r w:rsidRPr="006009F5">
        <w:t>Fonte: SHS, 2017.</w:t>
      </w:r>
    </w:p>
    <w:p w:rsidR="00193B74" w:rsidRPr="006009F5" w:rsidRDefault="00193B74" w:rsidP="002828C8">
      <w:pPr>
        <w:pStyle w:val="Ttulo4"/>
      </w:pPr>
      <w:bookmarkStart w:id="252" w:name="_Toc497469017"/>
      <w:r w:rsidRPr="006009F5">
        <w:lastRenderedPageBreak/>
        <w:t>Resíduos orgânicos</w:t>
      </w:r>
      <w:bookmarkEnd w:id="252"/>
      <w:r w:rsidRPr="006009F5">
        <w:t xml:space="preserve"> </w:t>
      </w:r>
    </w:p>
    <w:p w:rsidR="00193B74" w:rsidRPr="006009F5" w:rsidRDefault="00193B74" w:rsidP="00193B74">
      <w:pPr>
        <w:ind w:firstLine="709"/>
        <w:rPr>
          <w:rFonts w:cs="Arial"/>
          <w:szCs w:val="24"/>
        </w:rPr>
      </w:pPr>
      <w:r w:rsidRPr="006009F5">
        <w:rPr>
          <w:rFonts w:cs="Arial"/>
          <w:szCs w:val="24"/>
        </w:rPr>
        <w:t>A matéria orgânica presente nos resíduos domiciliares é passível de ser destinada a processos de tratamento, podendo ser considerada como resíduo úmido reciclável. Considerando a composição gravimétrica média dos resíduos urbanos</w:t>
      </w:r>
      <w:r w:rsidR="006009F5" w:rsidRPr="006009F5">
        <w:rPr>
          <w:rFonts w:cs="Arial"/>
          <w:szCs w:val="24"/>
        </w:rPr>
        <w:t xml:space="preserve"> do município de Córrego Novo,</w:t>
      </w:r>
      <w:r w:rsidRPr="006009F5">
        <w:rPr>
          <w:rFonts w:cs="Arial"/>
          <w:szCs w:val="24"/>
        </w:rPr>
        <w:t xml:space="preserve"> a matéria orgânica possui uma contribuição expressiva de 5</w:t>
      </w:r>
      <w:r w:rsidR="006009F5" w:rsidRPr="006009F5">
        <w:rPr>
          <w:rFonts w:cs="Arial"/>
          <w:szCs w:val="24"/>
        </w:rPr>
        <w:t>2</w:t>
      </w:r>
      <w:r w:rsidRPr="006009F5">
        <w:rPr>
          <w:rFonts w:cs="Arial"/>
          <w:szCs w:val="24"/>
        </w:rPr>
        <w:t>,4</w:t>
      </w:r>
      <w:r w:rsidR="006009F5" w:rsidRPr="006009F5">
        <w:rPr>
          <w:rFonts w:cs="Arial"/>
          <w:szCs w:val="24"/>
        </w:rPr>
        <w:t>2</w:t>
      </w:r>
      <w:r w:rsidRPr="006009F5">
        <w:rPr>
          <w:rFonts w:cs="Arial"/>
          <w:szCs w:val="24"/>
        </w:rPr>
        <w:t>% em peso. Sendo assim, sua destinação para processos de reaproveitamento, como a compostagem e a adubação (resíduos de poda e capina), poderia contribuir de forma significativa para reduzir a quantidade de resíduos dispostos em aterros.</w:t>
      </w:r>
    </w:p>
    <w:p w:rsidR="00193B74" w:rsidRPr="006009F5" w:rsidRDefault="00193B74" w:rsidP="00193B74">
      <w:pPr>
        <w:ind w:firstLine="709"/>
        <w:rPr>
          <w:rFonts w:cs="Arial"/>
          <w:szCs w:val="24"/>
        </w:rPr>
      </w:pPr>
      <w:r w:rsidRPr="006009F5">
        <w:rPr>
          <w:rFonts w:cs="Arial"/>
          <w:szCs w:val="24"/>
        </w:rPr>
        <w:t>Para a estimativa de redução de resíduos enviados à disposição final em aterro sanitário devido ao reaproveitamento de resíduos úmidos recicláveis, foi considerada a média nacional de 5</w:t>
      </w:r>
      <w:r w:rsidR="006009F5" w:rsidRPr="006009F5">
        <w:rPr>
          <w:rFonts w:cs="Arial"/>
          <w:szCs w:val="24"/>
        </w:rPr>
        <w:t>2</w:t>
      </w:r>
      <w:r w:rsidRPr="006009F5">
        <w:rPr>
          <w:rFonts w:cs="Arial"/>
          <w:szCs w:val="24"/>
        </w:rPr>
        <w:t>,4</w:t>
      </w:r>
      <w:r w:rsidR="006009F5" w:rsidRPr="006009F5">
        <w:rPr>
          <w:rFonts w:cs="Arial"/>
          <w:szCs w:val="24"/>
        </w:rPr>
        <w:t>2</w:t>
      </w:r>
      <w:r w:rsidRPr="006009F5">
        <w:rPr>
          <w:rFonts w:cs="Arial"/>
          <w:szCs w:val="24"/>
        </w:rPr>
        <w:t xml:space="preserve">% e uma meta de reciclagem destes de </w:t>
      </w:r>
      <w:r w:rsidR="007C625B" w:rsidRPr="006009F5">
        <w:rPr>
          <w:rFonts w:cs="Arial"/>
          <w:szCs w:val="24"/>
        </w:rPr>
        <w:t>100</w:t>
      </w:r>
      <w:r w:rsidRPr="006009F5">
        <w:rPr>
          <w:rFonts w:cs="Arial"/>
          <w:szCs w:val="24"/>
        </w:rPr>
        <w:t xml:space="preserve">%, a ser alcançada em 2038. Assim, o </w:t>
      </w:r>
      <w:r w:rsidRPr="006009F5">
        <w:rPr>
          <w:rFonts w:cs="Arial"/>
          <w:szCs w:val="24"/>
        </w:rPr>
        <w:fldChar w:fldCharType="begin"/>
      </w:r>
      <w:r w:rsidRPr="006009F5">
        <w:rPr>
          <w:rFonts w:cs="Arial"/>
          <w:szCs w:val="24"/>
        </w:rPr>
        <w:instrText xml:space="preserve"> REF _Ref436052683 \h  \* MERGEFORMAT </w:instrText>
      </w:r>
      <w:r w:rsidRPr="006009F5">
        <w:rPr>
          <w:rFonts w:cs="Arial"/>
          <w:szCs w:val="24"/>
        </w:rPr>
      </w:r>
      <w:r w:rsidRPr="006009F5">
        <w:rPr>
          <w:rFonts w:cs="Arial"/>
          <w:szCs w:val="24"/>
        </w:rPr>
        <w:fldChar w:fldCharType="separate"/>
      </w:r>
      <w:r w:rsidR="004D1D76" w:rsidRPr="00C512B5">
        <w:t xml:space="preserve">Quadro </w:t>
      </w:r>
      <w:r w:rsidR="004D1D76">
        <w:rPr>
          <w:noProof/>
        </w:rPr>
        <w:t>26</w:t>
      </w:r>
      <w:r w:rsidRPr="006009F5">
        <w:rPr>
          <w:rFonts w:cs="Arial"/>
          <w:szCs w:val="24"/>
        </w:rPr>
        <w:fldChar w:fldCharType="end"/>
      </w:r>
      <w:r w:rsidRPr="006009F5">
        <w:rPr>
          <w:rFonts w:cs="Arial"/>
          <w:szCs w:val="24"/>
        </w:rPr>
        <w:t xml:space="preserve"> apresenta o cenário projetado para a redução (incidente sobre os parâmetros atuais de disposição) dos resíduos a serem dispostos no aterro considerando somente o reaproveitamento dos resíduos úmidos passíveis de reciclagem.</w:t>
      </w:r>
    </w:p>
    <w:p w:rsidR="00193B74" w:rsidRPr="00C512B5" w:rsidRDefault="00193B74" w:rsidP="00193B74">
      <w:pPr>
        <w:pStyle w:val="Legenda"/>
        <w:rPr>
          <w:lang w:val="pt-BR"/>
        </w:rPr>
      </w:pPr>
      <w:bookmarkStart w:id="253" w:name="_Ref436052683"/>
      <w:bookmarkStart w:id="254" w:name="_Toc441657122"/>
      <w:bookmarkStart w:id="255" w:name="_Toc497469147"/>
      <w:r w:rsidRPr="00C512B5">
        <w:t xml:space="preserve">Quadro </w:t>
      </w:r>
      <w:r w:rsidR="00D71C43">
        <w:fldChar w:fldCharType="begin"/>
      </w:r>
      <w:r w:rsidR="00D71C43">
        <w:instrText xml:space="preserve"> SEQ Quadro \* ARABIC </w:instrText>
      </w:r>
      <w:r w:rsidR="00D71C43">
        <w:fldChar w:fldCharType="separate"/>
      </w:r>
      <w:r w:rsidR="004D1D76">
        <w:rPr>
          <w:noProof/>
        </w:rPr>
        <w:t>26</w:t>
      </w:r>
      <w:r w:rsidR="00D71C43">
        <w:rPr>
          <w:noProof/>
        </w:rPr>
        <w:fldChar w:fldCharType="end"/>
      </w:r>
      <w:bookmarkEnd w:id="253"/>
      <w:r w:rsidRPr="00C512B5">
        <w:t xml:space="preserve"> - Metas para redução de resíduos orgânicos enviados à disposição final</w:t>
      </w:r>
      <w:bookmarkEnd w:id="254"/>
      <w:bookmarkEnd w:id="255"/>
    </w:p>
    <w:tbl>
      <w:tblPr>
        <w:tblW w:w="0" w:type="auto"/>
        <w:tblInd w:w="55" w:type="dxa"/>
        <w:tblCellMar>
          <w:left w:w="70" w:type="dxa"/>
          <w:right w:w="70" w:type="dxa"/>
        </w:tblCellMar>
        <w:tblLook w:val="04A0" w:firstRow="1" w:lastRow="0" w:firstColumn="1" w:lastColumn="0" w:noHBand="0" w:noVBand="1"/>
      </w:tblPr>
      <w:tblGrid>
        <w:gridCol w:w="585"/>
        <w:gridCol w:w="1546"/>
        <w:gridCol w:w="1659"/>
        <w:gridCol w:w="2166"/>
        <w:gridCol w:w="1831"/>
        <w:gridCol w:w="1652"/>
      </w:tblGrid>
      <w:tr w:rsidR="00C512B5" w:rsidRPr="00C512B5" w:rsidTr="0081207B">
        <w:trPr>
          <w:trHeight w:val="283"/>
          <w:tblHead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Ano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Quantidade de resíduos gerados (ton/ano)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Quantidade de resíduos  orgânicos gerados (ton/ano)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Percentual de aproveitamento dos resíduos orgânicos recicláveis (%)</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Quantidade de resíduos orgânicos aproveitados (ton/ano)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Quantidade de resíduos enviados ao aterro (ton/ano)</w:t>
            </w:r>
          </w:p>
        </w:tc>
      </w:tr>
      <w:tr w:rsidR="00C512B5" w:rsidRPr="00C512B5" w:rsidTr="00C512B5">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2017</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847</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444</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847</w:t>
            </w:r>
          </w:p>
        </w:tc>
      </w:tr>
      <w:tr w:rsidR="00C512B5" w:rsidRPr="00C512B5" w:rsidTr="00C512B5">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2018</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832</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436</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832</w:t>
            </w:r>
          </w:p>
        </w:tc>
      </w:tr>
      <w:tr w:rsidR="00C512B5" w:rsidRPr="00C512B5" w:rsidTr="00C512B5">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2019</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819</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429</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5</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21</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797</w:t>
            </w:r>
          </w:p>
        </w:tc>
      </w:tr>
      <w:tr w:rsidR="00C512B5" w:rsidRPr="00C512B5" w:rsidTr="00C512B5">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2020</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812</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426</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10</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43</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769</w:t>
            </w:r>
          </w:p>
        </w:tc>
      </w:tr>
      <w:tr w:rsidR="00C512B5" w:rsidRPr="00C512B5" w:rsidTr="00C512B5">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2021</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801</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420</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15</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63</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738</w:t>
            </w:r>
          </w:p>
        </w:tc>
      </w:tr>
      <w:tr w:rsidR="00C512B5" w:rsidRPr="00C512B5" w:rsidTr="00C512B5">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2022</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788</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413</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20</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83</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706</w:t>
            </w:r>
          </w:p>
        </w:tc>
      </w:tr>
      <w:tr w:rsidR="00C512B5" w:rsidRPr="00C512B5" w:rsidTr="00C512B5">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2023</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776</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407</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25</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102</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674</w:t>
            </w:r>
          </w:p>
        </w:tc>
      </w:tr>
      <w:tr w:rsidR="00C512B5" w:rsidRPr="00C512B5" w:rsidTr="00C512B5">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2024</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768</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402</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30</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121</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647</w:t>
            </w:r>
          </w:p>
        </w:tc>
      </w:tr>
      <w:tr w:rsidR="00C512B5" w:rsidRPr="00C512B5" w:rsidTr="00C512B5">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2025</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759</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398</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35</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139</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619</w:t>
            </w:r>
          </w:p>
        </w:tc>
      </w:tr>
      <w:tr w:rsidR="00C512B5" w:rsidRPr="00C512B5" w:rsidTr="00C512B5">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2026</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749</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393</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40</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157</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592</w:t>
            </w:r>
          </w:p>
        </w:tc>
      </w:tr>
      <w:tr w:rsidR="00C512B5" w:rsidRPr="00C512B5" w:rsidTr="00C512B5">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2027</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735</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385</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45</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173</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562</w:t>
            </w:r>
          </w:p>
        </w:tc>
      </w:tr>
      <w:tr w:rsidR="00C512B5" w:rsidRPr="00C512B5" w:rsidTr="00C512B5">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2028</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725</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380</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50</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190</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535</w:t>
            </w:r>
          </w:p>
        </w:tc>
      </w:tr>
      <w:tr w:rsidR="00C512B5" w:rsidRPr="00C512B5" w:rsidTr="00C512B5">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2029</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715</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375</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55</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206</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509</w:t>
            </w:r>
          </w:p>
        </w:tc>
      </w:tr>
      <w:tr w:rsidR="00C512B5" w:rsidRPr="00C512B5" w:rsidTr="00C512B5">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2030</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703</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369</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60</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221</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482</w:t>
            </w:r>
          </w:p>
        </w:tc>
      </w:tr>
      <w:tr w:rsidR="00C512B5" w:rsidRPr="00C512B5" w:rsidTr="00C512B5">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lastRenderedPageBreak/>
              <w:t>2031</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692</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363</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65</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236</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456</w:t>
            </w:r>
          </w:p>
        </w:tc>
      </w:tr>
      <w:tr w:rsidR="00C512B5" w:rsidRPr="00C512B5" w:rsidTr="00C512B5">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2032</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678</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355</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70</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249</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429</w:t>
            </w:r>
          </w:p>
        </w:tc>
      </w:tr>
      <w:tr w:rsidR="00C512B5" w:rsidRPr="00C512B5" w:rsidTr="00C512B5">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2033</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670</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351</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75</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263</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407</w:t>
            </w:r>
          </w:p>
        </w:tc>
      </w:tr>
      <w:tr w:rsidR="00C512B5" w:rsidRPr="00C512B5" w:rsidTr="00C512B5">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2034</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660</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346</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80</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277</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384</w:t>
            </w:r>
          </w:p>
        </w:tc>
      </w:tr>
      <w:tr w:rsidR="00C512B5" w:rsidRPr="00C512B5" w:rsidTr="00C512B5">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2035</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651</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341</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85</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290</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361</w:t>
            </w:r>
          </w:p>
        </w:tc>
      </w:tr>
      <w:tr w:rsidR="00C512B5" w:rsidRPr="00C512B5" w:rsidTr="00C512B5">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2036</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639</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335</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90</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301</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337</w:t>
            </w:r>
          </w:p>
        </w:tc>
      </w:tr>
      <w:tr w:rsidR="00C512B5" w:rsidRPr="00C512B5" w:rsidTr="00C512B5">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2037</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632</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331</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95</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314</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317</w:t>
            </w:r>
          </w:p>
        </w:tc>
      </w:tr>
      <w:tr w:rsidR="00C512B5" w:rsidRPr="00C512B5" w:rsidTr="00C512B5">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2038</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626</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328</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100</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328</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298</w:t>
            </w:r>
          </w:p>
        </w:tc>
      </w:tr>
    </w:tbl>
    <w:p w:rsidR="00193B74" w:rsidRPr="00C512B5" w:rsidRDefault="00193B74" w:rsidP="00193B74">
      <w:pPr>
        <w:pStyle w:val="Fonte"/>
      </w:pPr>
      <w:r w:rsidRPr="00C512B5">
        <w:t>Fonte: SHS, 2017.</w:t>
      </w:r>
    </w:p>
    <w:p w:rsidR="00193B74" w:rsidRPr="00C512B5" w:rsidRDefault="00193B74" w:rsidP="002828C8">
      <w:pPr>
        <w:pStyle w:val="Ttulo4"/>
      </w:pPr>
      <w:bookmarkStart w:id="256" w:name="_Toc497469018"/>
      <w:r w:rsidRPr="00C512B5">
        <w:t>Rejeitos</w:t>
      </w:r>
      <w:bookmarkEnd w:id="256"/>
    </w:p>
    <w:p w:rsidR="00193B74" w:rsidRPr="00C512B5" w:rsidRDefault="00193B74" w:rsidP="00193B74">
      <w:pPr>
        <w:ind w:firstLine="709"/>
        <w:rPr>
          <w:rFonts w:cs="Arial"/>
          <w:szCs w:val="24"/>
        </w:rPr>
      </w:pPr>
      <w:r w:rsidRPr="00C512B5">
        <w:rPr>
          <w:rFonts w:cs="Arial"/>
          <w:szCs w:val="24"/>
        </w:rPr>
        <w:t>Os rejeitos podem ser definidos como resíduos sólidos que não podem ser aproveitados, cuja disposição final ambientalmente adequada é feita em um aterro sanitário. A destinação de resíduos recicláveis secos e úmidos para processos de reciclagem e compostagem reduz, de forma significativa, a quantidade de material disposta em aterros.</w:t>
      </w:r>
    </w:p>
    <w:p w:rsidR="00193B74" w:rsidRPr="00C512B5" w:rsidRDefault="00193B74" w:rsidP="00193B74">
      <w:pPr>
        <w:ind w:firstLine="709"/>
        <w:rPr>
          <w:rFonts w:cs="Arial"/>
          <w:szCs w:val="24"/>
        </w:rPr>
      </w:pPr>
      <w:r w:rsidRPr="00C512B5">
        <w:rPr>
          <w:rFonts w:cs="Arial"/>
          <w:szCs w:val="24"/>
        </w:rPr>
        <w:t xml:space="preserve">O </w:t>
      </w:r>
      <w:r w:rsidRPr="00C512B5">
        <w:fldChar w:fldCharType="begin"/>
      </w:r>
      <w:r w:rsidRPr="00C512B5">
        <w:instrText xml:space="preserve"> REF _Ref359592791 \h  \* MERGEFORMAT </w:instrText>
      </w:r>
      <w:r w:rsidRPr="00C512B5">
        <w:fldChar w:fldCharType="separate"/>
      </w:r>
      <w:r w:rsidR="004D1D76" w:rsidRPr="004D1D76">
        <w:rPr>
          <w:rFonts w:cs="Arial"/>
        </w:rPr>
        <w:t>Quadro 27</w:t>
      </w:r>
      <w:r w:rsidRPr="00C512B5">
        <w:fldChar w:fldCharType="end"/>
      </w:r>
      <w:r w:rsidRPr="00C512B5">
        <w:rPr>
          <w:rFonts w:cs="Arial"/>
          <w:szCs w:val="24"/>
        </w:rPr>
        <w:t xml:space="preserve"> apresenta o cenário projetado para </w:t>
      </w:r>
      <w:r w:rsidR="007A2B6D" w:rsidRPr="00C512B5">
        <w:rPr>
          <w:rFonts w:cs="Arial"/>
          <w:szCs w:val="24"/>
        </w:rPr>
        <w:t>Córrego Novo</w:t>
      </w:r>
      <w:r w:rsidRPr="00C512B5">
        <w:rPr>
          <w:rFonts w:cs="Arial"/>
          <w:szCs w:val="24"/>
        </w:rPr>
        <w:t xml:space="preserve"> em relação aos rejeitos, considerando o cumprimento das metas estabelecidas para reaproveitamento dos resíduos recicláveis secos e orgânicos.</w:t>
      </w:r>
    </w:p>
    <w:p w:rsidR="00193B74" w:rsidRPr="00C512B5" w:rsidRDefault="00193B74" w:rsidP="00193B74">
      <w:pPr>
        <w:pStyle w:val="Legenda"/>
      </w:pPr>
      <w:bookmarkStart w:id="257" w:name="_Ref359592791"/>
      <w:bookmarkStart w:id="258" w:name="_Toc360804345"/>
      <w:bookmarkStart w:id="259" w:name="_Toc360809053"/>
      <w:bookmarkStart w:id="260" w:name="_Toc360809773"/>
      <w:bookmarkStart w:id="261" w:name="_Toc372128569"/>
      <w:bookmarkStart w:id="262" w:name="_Toc404326623"/>
      <w:bookmarkStart w:id="263" w:name="_Toc441657123"/>
      <w:bookmarkStart w:id="264" w:name="_Toc497469148"/>
      <w:r w:rsidRPr="00C512B5">
        <w:t xml:space="preserve">Quadro </w:t>
      </w:r>
      <w:r w:rsidR="00D71C43">
        <w:fldChar w:fldCharType="begin"/>
      </w:r>
      <w:r w:rsidR="00D71C43">
        <w:instrText xml:space="preserve"> SEQ Quadro \* ARABIC </w:instrText>
      </w:r>
      <w:r w:rsidR="00D71C43">
        <w:fldChar w:fldCharType="separate"/>
      </w:r>
      <w:r w:rsidR="004D1D76">
        <w:rPr>
          <w:noProof/>
        </w:rPr>
        <w:t>27</w:t>
      </w:r>
      <w:r w:rsidR="00D71C43">
        <w:rPr>
          <w:noProof/>
        </w:rPr>
        <w:fldChar w:fldCharType="end"/>
      </w:r>
      <w:bookmarkEnd w:id="257"/>
      <w:r w:rsidRPr="00C512B5">
        <w:t xml:space="preserve"> - Cenário projetado para os rejeitos</w:t>
      </w:r>
      <w:bookmarkEnd w:id="258"/>
      <w:bookmarkEnd w:id="259"/>
      <w:bookmarkEnd w:id="260"/>
      <w:bookmarkEnd w:id="261"/>
      <w:bookmarkEnd w:id="262"/>
      <w:r w:rsidRPr="00C512B5">
        <w:t xml:space="preserve"> enviados à disposição final</w:t>
      </w:r>
      <w:bookmarkEnd w:id="263"/>
      <w:bookmarkEnd w:id="264"/>
    </w:p>
    <w:tbl>
      <w:tblPr>
        <w:tblW w:w="0" w:type="auto"/>
        <w:tblInd w:w="55" w:type="dxa"/>
        <w:tblCellMar>
          <w:left w:w="70" w:type="dxa"/>
          <w:right w:w="70" w:type="dxa"/>
        </w:tblCellMar>
        <w:tblLook w:val="04A0" w:firstRow="1" w:lastRow="0" w:firstColumn="1" w:lastColumn="0" w:noHBand="0" w:noVBand="1"/>
      </w:tblPr>
      <w:tblGrid>
        <w:gridCol w:w="585"/>
        <w:gridCol w:w="1533"/>
        <w:gridCol w:w="1879"/>
        <w:gridCol w:w="1810"/>
        <w:gridCol w:w="1633"/>
        <w:gridCol w:w="1999"/>
      </w:tblGrid>
      <w:tr w:rsidR="00C512B5" w:rsidRPr="00C512B5" w:rsidTr="0081207B">
        <w:trPr>
          <w:trHeight w:val="283"/>
          <w:tblHead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Ano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Quantidade de resíduos gerados (ton/ano)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Quantidade de resíduos recicláveis secos aproveitados (ton/ano)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Quantidade de resíduos orgânicos aproveitados (ton/ano)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Quantidade de resíduos enviados ao aterro (ton/ano)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Porcentagem de resíduos aproveitados não enviados à disposição final (%)</w:t>
            </w:r>
          </w:p>
        </w:tc>
      </w:tr>
      <w:tr w:rsidR="00C512B5" w:rsidRPr="00C512B5" w:rsidTr="00C512B5">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2017</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847</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847</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0</w:t>
            </w:r>
          </w:p>
        </w:tc>
      </w:tr>
      <w:tr w:rsidR="00C512B5" w:rsidRPr="00C512B5" w:rsidTr="00C512B5">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2018</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832</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0</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832</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0</w:t>
            </w:r>
          </w:p>
        </w:tc>
      </w:tr>
      <w:tr w:rsidR="00C512B5" w:rsidRPr="00C512B5" w:rsidTr="00C512B5">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2019</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819</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15</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21</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782</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4</w:t>
            </w:r>
          </w:p>
        </w:tc>
      </w:tr>
      <w:tr w:rsidR="00C512B5" w:rsidRPr="00C512B5" w:rsidTr="00C512B5">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2020</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812</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29</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43</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740</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9</w:t>
            </w:r>
          </w:p>
        </w:tc>
      </w:tr>
      <w:tr w:rsidR="00C512B5" w:rsidRPr="00C512B5" w:rsidTr="00C512B5">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2021</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801</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43</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63</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695</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13</w:t>
            </w:r>
          </w:p>
        </w:tc>
      </w:tr>
      <w:tr w:rsidR="00C512B5" w:rsidRPr="00C512B5" w:rsidTr="00C512B5">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2022</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788</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57</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83</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649</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18</w:t>
            </w:r>
          </w:p>
        </w:tc>
      </w:tr>
      <w:tr w:rsidR="00C512B5" w:rsidRPr="00C512B5" w:rsidTr="00C512B5">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2023</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776</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70</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102</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604</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22</w:t>
            </w:r>
          </w:p>
        </w:tc>
      </w:tr>
      <w:tr w:rsidR="00C512B5" w:rsidRPr="00C512B5" w:rsidTr="00C512B5">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lastRenderedPageBreak/>
              <w:t>2024</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768</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83</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121</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564</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27</w:t>
            </w:r>
          </w:p>
        </w:tc>
      </w:tr>
      <w:tr w:rsidR="00C512B5" w:rsidRPr="00C512B5" w:rsidTr="00C512B5">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2025</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759</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95</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139</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524</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31</w:t>
            </w:r>
          </w:p>
        </w:tc>
      </w:tr>
      <w:tr w:rsidR="00C512B5" w:rsidRPr="00C512B5" w:rsidTr="00C512B5">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2026</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749</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108</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157</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484</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35</w:t>
            </w:r>
          </w:p>
        </w:tc>
      </w:tr>
      <w:tr w:rsidR="00C512B5" w:rsidRPr="00C512B5" w:rsidTr="00C512B5">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2027</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735</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119</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173</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443</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40</w:t>
            </w:r>
          </w:p>
        </w:tc>
      </w:tr>
      <w:tr w:rsidR="00C512B5" w:rsidRPr="00C512B5" w:rsidTr="00C512B5">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2028</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725</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130</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190</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404</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44</w:t>
            </w:r>
          </w:p>
        </w:tc>
      </w:tr>
      <w:tr w:rsidR="00C512B5" w:rsidRPr="00C512B5" w:rsidTr="00C512B5">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2029</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715</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141</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206</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368</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49</w:t>
            </w:r>
          </w:p>
        </w:tc>
      </w:tr>
      <w:tr w:rsidR="00C512B5" w:rsidRPr="00C512B5" w:rsidTr="00C512B5">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2030</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703</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152</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221</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330</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53</w:t>
            </w:r>
          </w:p>
        </w:tc>
      </w:tr>
      <w:tr w:rsidR="00C512B5" w:rsidRPr="00C512B5" w:rsidTr="00C512B5">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2031</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692</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162</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236</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295</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57</w:t>
            </w:r>
          </w:p>
        </w:tc>
      </w:tr>
      <w:tr w:rsidR="00C512B5" w:rsidRPr="00C512B5" w:rsidTr="00C512B5">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2032</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678</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171</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249</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259</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62</w:t>
            </w:r>
          </w:p>
        </w:tc>
      </w:tr>
      <w:tr w:rsidR="00C512B5" w:rsidRPr="00C512B5" w:rsidTr="00C512B5">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2033</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670</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181</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263</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226</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66</w:t>
            </w:r>
          </w:p>
        </w:tc>
      </w:tr>
      <w:tr w:rsidR="00C512B5" w:rsidRPr="00C512B5" w:rsidTr="00C512B5">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2034</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660</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190</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277</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194</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71</w:t>
            </w:r>
          </w:p>
        </w:tc>
      </w:tr>
      <w:tr w:rsidR="00C512B5" w:rsidRPr="00C512B5" w:rsidTr="00C512B5">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2035</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651</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199</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290</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162</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75</w:t>
            </w:r>
          </w:p>
        </w:tc>
      </w:tr>
      <w:tr w:rsidR="00C512B5" w:rsidRPr="00C512B5" w:rsidTr="00C512B5">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2036</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639</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207</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301</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131</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80</w:t>
            </w:r>
          </w:p>
        </w:tc>
      </w:tr>
      <w:tr w:rsidR="00C512B5" w:rsidRPr="00C512B5" w:rsidTr="00C512B5">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2037</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632</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216</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314</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101</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84</w:t>
            </w:r>
          </w:p>
        </w:tc>
      </w:tr>
      <w:tr w:rsidR="00C512B5" w:rsidRPr="00C512B5" w:rsidTr="00C512B5">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b/>
                <w:bCs/>
                <w:color w:val="000000"/>
                <w:sz w:val="20"/>
                <w:szCs w:val="20"/>
                <w:lang w:eastAsia="pt-BR"/>
              </w:rPr>
            </w:pPr>
            <w:r w:rsidRPr="00C512B5">
              <w:rPr>
                <w:rFonts w:eastAsia="Times New Roman" w:cs="Arial"/>
                <w:b/>
                <w:bCs/>
                <w:color w:val="000000"/>
                <w:sz w:val="20"/>
                <w:szCs w:val="20"/>
                <w:lang w:eastAsia="pt-BR"/>
              </w:rPr>
              <w:t>2038</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626</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225</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328</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73</w:t>
            </w:r>
          </w:p>
        </w:tc>
        <w:tc>
          <w:tcPr>
            <w:tcW w:w="0" w:type="auto"/>
            <w:tcBorders>
              <w:top w:val="nil"/>
              <w:left w:val="nil"/>
              <w:bottom w:val="single" w:sz="4" w:space="0" w:color="auto"/>
              <w:right w:val="single" w:sz="4" w:space="0" w:color="auto"/>
            </w:tcBorders>
            <w:shd w:val="clear" w:color="auto" w:fill="auto"/>
            <w:noWrap/>
            <w:vAlign w:val="center"/>
            <w:hideMark/>
          </w:tcPr>
          <w:p w:rsidR="00C512B5" w:rsidRPr="00C512B5" w:rsidRDefault="00C512B5" w:rsidP="004A1F7E">
            <w:pPr>
              <w:spacing w:before="60" w:after="60" w:line="240" w:lineRule="auto"/>
              <w:jc w:val="center"/>
              <w:rPr>
                <w:rFonts w:eastAsia="Times New Roman" w:cs="Arial"/>
                <w:color w:val="000000"/>
                <w:sz w:val="20"/>
                <w:szCs w:val="20"/>
                <w:lang w:eastAsia="pt-BR"/>
              </w:rPr>
            </w:pPr>
            <w:r w:rsidRPr="00C512B5">
              <w:rPr>
                <w:rFonts w:eastAsia="Times New Roman" w:cs="Arial"/>
                <w:color w:val="000000"/>
                <w:sz w:val="20"/>
                <w:szCs w:val="20"/>
                <w:lang w:eastAsia="pt-BR"/>
              </w:rPr>
              <w:t>88</w:t>
            </w:r>
          </w:p>
        </w:tc>
      </w:tr>
    </w:tbl>
    <w:p w:rsidR="00193B74" w:rsidRPr="00C512B5" w:rsidRDefault="00193B74" w:rsidP="00193B74">
      <w:pPr>
        <w:pStyle w:val="Fonte"/>
      </w:pPr>
      <w:r w:rsidRPr="00C512B5">
        <w:t>Fonte: SHS, 2017.</w:t>
      </w:r>
    </w:p>
    <w:p w:rsidR="00193B74" w:rsidRPr="00C512B5" w:rsidRDefault="00193B74" w:rsidP="00193B74">
      <w:pPr>
        <w:ind w:firstLine="709"/>
        <w:rPr>
          <w:rFonts w:cs="Arial"/>
          <w:szCs w:val="24"/>
        </w:rPr>
      </w:pPr>
      <w:r w:rsidRPr="00C512B5">
        <w:rPr>
          <w:rFonts w:cs="Arial"/>
          <w:szCs w:val="24"/>
        </w:rPr>
        <w:t xml:space="preserve">Como apontado pelos dados apresentados no </w:t>
      </w:r>
      <w:r w:rsidRPr="00C512B5">
        <w:fldChar w:fldCharType="begin"/>
      </w:r>
      <w:r w:rsidRPr="00C512B5">
        <w:instrText xml:space="preserve"> REF _Ref359592791 \h  \* MERGEFORMAT </w:instrText>
      </w:r>
      <w:r w:rsidRPr="00C512B5">
        <w:fldChar w:fldCharType="separate"/>
      </w:r>
      <w:r w:rsidR="004D1D76" w:rsidRPr="004D1D76">
        <w:rPr>
          <w:rFonts w:cs="Arial"/>
          <w:szCs w:val="24"/>
        </w:rPr>
        <w:t>Quadro 27</w:t>
      </w:r>
      <w:r w:rsidRPr="00C512B5">
        <w:fldChar w:fldCharType="end"/>
      </w:r>
      <w:r w:rsidRPr="00C512B5">
        <w:rPr>
          <w:rFonts w:cs="Arial"/>
          <w:szCs w:val="24"/>
        </w:rPr>
        <w:t>, a quantidade de resíduos dispostos em aterros sanitários é significativamente reduzida quando se procede com a reciclagem de ao menos parte dos resíduos recicláveis secos e orgânicos. Isso aumenta a vida útil do aterro sanitário, bem como diminui os custos de disposição final dos rejeitos.</w:t>
      </w:r>
    </w:p>
    <w:p w:rsidR="00193B74" w:rsidRPr="00C512B5" w:rsidRDefault="00193B74" w:rsidP="00193B74">
      <w:pPr>
        <w:ind w:firstLine="709"/>
        <w:rPr>
          <w:rFonts w:cs="Arial"/>
          <w:szCs w:val="24"/>
        </w:rPr>
      </w:pPr>
      <w:r w:rsidRPr="00C512B5">
        <w:rPr>
          <w:rFonts w:cs="Arial"/>
          <w:szCs w:val="24"/>
        </w:rPr>
        <w:t xml:space="preserve">A projeção aponta que, sem considerar as metas de redução e reaproveitamento de resíduos recicláveis e orgânicos, a quantidade de resíduos aterrados teria uma pequena diminuição ao longo dos anos, sendo, para o ano de 2038, </w:t>
      </w:r>
      <w:r w:rsidR="00C512B5" w:rsidRPr="00C512B5">
        <w:rPr>
          <w:rFonts w:cs="Arial"/>
          <w:szCs w:val="24"/>
        </w:rPr>
        <w:t>626</w:t>
      </w:r>
      <w:r w:rsidRPr="00C512B5">
        <w:rPr>
          <w:rFonts w:cs="Arial"/>
          <w:szCs w:val="24"/>
        </w:rPr>
        <w:t xml:space="preserve"> ton/ano. Entretanto, caso atingidas as metas de reciclagem dos resíduos recicláveis secos e dos resíduos orgânicos, haveria uma redução mais expressiva da quantidade de resíduos aterrados, de até </w:t>
      </w:r>
      <w:r w:rsidR="005A32F8" w:rsidRPr="00C512B5">
        <w:rPr>
          <w:rFonts w:cs="Arial"/>
          <w:szCs w:val="24"/>
        </w:rPr>
        <w:t>100</w:t>
      </w:r>
      <w:r w:rsidRPr="00C512B5">
        <w:rPr>
          <w:rFonts w:cs="Arial"/>
          <w:szCs w:val="24"/>
        </w:rPr>
        <w:t xml:space="preserve">% para 2038, sendo enviado para disposição final </w:t>
      </w:r>
      <w:r w:rsidR="00C512B5" w:rsidRPr="00C512B5">
        <w:rPr>
          <w:rFonts w:cs="Arial"/>
          <w:szCs w:val="24"/>
        </w:rPr>
        <w:t>73</w:t>
      </w:r>
      <w:r w:rsidRPr="00C512B5">
        <w:rPr>
          <w:rFonts w:cs="Arial"/>
          <w:szCs w:val="24"/>
        </w:rPr>
        <w:t xml:space="preserve"> ton/ano.</w:t>
      </w:r>
    </w:p>
    <w:p w:rsidR="00193B74" w:rsidRPr="00C512B5" w:rsidRDefault="00193B74" w:rsidP="00193B74">
      <w:pPr>
        <w:ind w:firstLine="709"/>
        <w:rPr>
          <w:rFonts w:cs="Arial"/>
          <w:szCs w:val="24"/>
        </w:rPr>
      </w:pPr>
      <w:r w:rsidRPr="00C512B5">
        <w:rPr>
          <w:rFonts w:cs="Arial"/>
          <w:szCs w:val="24"/>
        </w:rPr>
        <w:t xml:space="preserve">Neste sentido, ficam evidentes as vantagens do estabelecimento de programas e ações para que se aproveite ao máximo os resíduos recicláveis secos e orgânicos </w:t>
      </w:r>
      <w:r w:rsidRPr="00C512B5">
        <w:rPr>
          <w:rFonts w:cs="Arial"/>
          <w:szCs w:val="24"/>
        </w:rPr>
        <w:lastRenderedPageBreak/>
        <w:t>presentes nos resíduos sólidos urbanos. A recuperação desses materiais permit</w:t>
      </w:r>
      <w:r w:rsidR="00C512B5" w:rsidRPr="00C512B5">
        <w:rPr>
          <w:rFonts w:cs="Arial"/>
          <w:szCs w:val="24"/>
        </w:rPr>
        <w:t>e</w:t>
      </w:r>
      <w:r w:rsidRPr="00C512B5">
        <w:rPr>
          <w:rFonts w:cs="Arial"/>
          <w:szCs w:val="24"/>
        </w:rPr>
        <w:t>, além de substancial redução nos custos de disposição final e aumento da vida útil de aterros, o incentivo a projetos de iniciativa socioambiental, como a formação ou o fortalecimento de associações ou cooperativas de catadores, gerando alternativas de emprego e renda. Outro aspecto interessante é o uso dos insumos orgânicos gerados pelo reaproveitamento ou compostagem dos resíduos orgânicos em hortas comunitárias e espaços públicos, bem como a comercialização dos mesmos.</w:t>
      </w:r>
    </w:p>
    <w:p w:rsidR="00C57ADC" w:rsidRPr="00C512B5" w:rsidRDefault="00C57ADC" w:rsidP="002828C8">
      <w:pPr>
        <w:pStyle w:val="Ttulo3"/>
      </w:pPr>
      <w:bookmarkStart w:id="265" w:name="_Toc497469019"/>
      <w:r w:rsidRPr="00C512B5">
        <w:t>Cálculo dos custos da prestação dos serviços</w:t>
      </w:r>
      <w:bookmarkEnd w:id="265"/>
    </w:p>
    <w:p w:rsidR="00193B74" w:rsidRDefault="00193B74" w:rsidP="00193B74">
      <w:pPr>
        <w:ind w:firstLine="708"/>
        <w:rPr>
          <w:rFonts w:cs="Arial"/>
        </w:rPr>
      </w:pPr>
      <w:r w:rsidRPr="00C512B5">
        <w:rPr>
          <w:rFonts w:cs="Arial"/>
          <w:szCs w:val="24"/>
        </w:rPr>
        <w:t xml:space="preserve">Os objetivos deste item são analisar as receitas e despesas do município oriundas da </w:t>
      </w:r>
      <w:r w:rsidRPr="00C512B5">
        <w:rPr>
          <w:rFonts w:cs="Arial"/>
        </w:rPr>
        <w:t>prestação dos serviços públicos de limpeza urbana e manejo de resíduos sólidos e propor métodos de cálculo e formas de cobrança para as taxas aplicadas aos mesmos.</w:t>
      </w:r>
    </w:p>
    <w:p w:rsidR="00193B74" w:rsidRPr="00C512B5" w:rsidRDefault="00193B74" w:rsidP="002828C8">
      <w:pPr>
        <w:pStyle w:val="Ttulo4"/>
      </w:pPr>
      <w:bookmarkStart w:id="266" w:name="_Toc447896753"/>
      <w:bookmarkStart w:id="267" w:name="_Toc497469020"/>
      <w:r w:rsidRPr="00C512B5">
        <w:t>Panorama do setor</w:t>
      </w:r>
      <w:bookmarkEnd w:id="266"/>
      <w:bookmarkEnd w:id="267"/>
    </w:p>
    <w:p w:rsidR="00C512B5" w:rsidRPr="00C512B5" w:rsidRDefault="00C512B5" w:rsidP="00C512B5">
      <w:pPr>
        <w:spacing w:before="120" w:after="120"/>
        <w:ind w:firstLine="709"/>
        <w:contextualSpacing/>
        <w:rPr>
          <w:rFonts w:cs="Arial"/>
          <w:szCs w:val="24"/>
          <w:lang w:eastAsia="pt-BR"/>
        </w:rPr>
      </w:pPr>
      <w:r w:rsidRPr="00C512B5">
        <w:rPr>
          <w:rFonts w:cs="Arial"/>
          <w:szCs w:val="24"/>
          <w:lang w:eastAsia="pt-BR"/>
        </w:rPr>
        <w:t xml:space="preserve">O </w:t>
      </w:r>
      <w:r w:rsidRPr="00C512B5">
        <w:rPr>
          <w:rFonts w:cs="Arial"/>
          <w:szCs w:val="24"/>
          <w:lang w:eastAsia="pt-BR"/>
        </w:rPr>
        <w:fldChar w:fldCharType="begin"/>
      </w:r>
      <w:r w:rsidRPr="00C512B5">
        <w:rPr>
          <w:rFonts w:cs="Arial"/>
          <w:szCs w:val="24"/>
          <w:lang w:eastAsia="pt-BR"/>
        </w:rPr>
        <w:instrText xml:space="preserve"> REF _Ref479256820 \h  \* MERGEFORMAT </w:instrText>
      </w:r>
      <w:r w:rsidRPr="00C512B5">
        <w:rPr>
          <w:rFonts w:cs="Arial"/>
          <w:szCs w:val="24"/>
          <w:lang w:eastAsia="pt-BR"/>
        </w:rPr>
      </w:r>
      <w:r w:rsidRPr="00C512B5">
        <w:rPr>
          <w:rFonts w:cs="Arial"/>
          <w:szCs w:val="24"/>
          <w:lang w:eastAsia="pt-BR"/>
        </w:rPr>
        <w:fldChar w:fldCharType="separate"/>
      </w:r>
      <w:r w:rsidR="004D1D76" w:rsidRPr="00C512B5">
        <w:t xml:space="preserve">Quadro </w:t>
      </w:r>
      <w:r w:rsidR="004D1D76">
        <w:rPr>
          <w:noProof/>
        </w:rPr>
        <w:t>28</w:t>
      </w:r>
      <w:r w:rsidRPr="00C512B5">
        <w:rPr>
          <w:rFonts w:cs="Arial"/>
          <w:szCs w:val="24"/>
          <w:lang w:eastAsia="pt-BR"/>
        </w:rPr>
        <w:fldChar w:fldCharType="end"/>
      </w:r>
      <w:r w:rsidRPr="00C512B5">
        <w:rPr>
          <w:rFonts w:cs="Arial"/>
          <w:szCs w:val="24"/>
          <w:lang w:eastAsia="pt-BR"/>
        </w:rPr>
        <w:t xml:space="preserve"> apresenta as despesas e receitas associadas à prestação de serviços de manejo de resíduos sólidos do município de Córrego Novo, conforme dados do SNIS de 2009, pois não foram apresentadas informações desde então.</w:t>
      </w:r>
    </w:p>
    <w:p w:rsidR="00C512B5" w:rsidRPr="00C512B5" w:rsidRDefault="00C512B5" w:rsidP="00C512B5">
      <w:pPr>
        <w:pStyle w:val="Legenda"/>
      </w:pPr>
      <w:bookmarkStart w:id="268" w:name="_Ref479256820"/>
      <w:bookmarkStart w:id="269" w:name="_Toc479242200"/>
      <w:bookmarkStart w:id="270" w:name="_Toc486860212"/>
      <w:bookmarkStart w:id="271" w:name="_Toc497469149"/>
      <w:r w:rsidRPr="00C512B5">
        <w:t xml:space="preserve">Quadro </w:t>
      </w:r>
      <w:r w:rsidR="00D71C43">
        <w:fldChar w:fldCharType="begin"/>
      </w:r>
      <w:r w:rsidR="00D71C43">
        <w:instrText xml:space="preserve"> SEQ Quadro \* ARABIC </w:instrText>
      </w:r>
      <w:r w:rsidR="00D71C43">
        <w:fldChar w:fldCharType="separate"/>
      </w:r>
      <w:r w:rsidR="004D1D76">
        <w:rPr>
          <w:noProof/>
        </w:rPr>
        <w:t>28</w:t>
      </w:r>
      <w:r w:rsidR="00D71C43">
        <w:rPr>
          <w:noProof/>
        </w:rPr>
        <w:fldChar w:fldCharType="end"/>
      </w:r>
      <w:bookmarkEnd w:id="268"/>
      <w:r w:rsidRPr="00C512B5">
        <w:t xml:space="preserve"> - Informações sobre o manejo de resíduos sólidos</w:t>
      </w:r>
      <w:bookmarkEnd w:id="269"/>
      <w:bookmarkEnd w:id="270"/>
      <w:bookmarkEnd w:id="271"/>
    </w:p>
    <w:tbl>
      <w:tblPr>
        <w:tblW w:w="0" w:type="auto"/>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1"/>
        <w:gridCol w:w="1575"/>
        <w:gridCol w:w="1882"/>
      </w:tblGrid>
      <w:tr w:rsidR="00C512B5" w:rsidRPr="00C512B5" w:rsidTr="0081207B">
        <w:trPr>
          <w:trHeight w:val="340"/>
          <w:tblHead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C512B5" w:rsidRPr="00C512B5" w:rsidRDefault="00C512B5" w:rsidP="0081207B">
            <w:pPr>
              <w:spacing w:line="240" w:lineRule="auto"/>
              <w:jc w:val="center"/>
              <w:rPr>
                <w:rFonts w:cs="Arial"/>
                <w:b/>
                <w:sz w:val="20"/>
                <w:szCs w:val="20"/>
              </w:rPr>
            </w:pPr>
            <w:r w:rsidRPr="00C512B5">
              <w:rPr>
                <w:rFonts w:cs="Arial"/>
                <w:b/>
                <w:sz w:val="20"/>
                <w:szCs w:val="20"/>
              </w:rPr>
              <w:t>Descrição</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C512B5" w:rsidRPr="00C512B5" w:rsidRDefault="00C512B5" w:rsidP="0081207B">
            <w:pPr>
              <w:spacing w:line="240" w:lineRule="auto"/>
              <w:jc w:val="center"/>
              <w:rPr>
                <w:rFonts w:cs="Arial"/>
                <w:b/>
                <w:sz w:val="20"/>
                <w:szCs w:val="20"/>
              </w:rPr>
            </w:pPr>
            <w:r w:rsidRPr="00C512B5">
              <w:rPr>
                <w:rFonts w:cs="Arial"/>
                <w:b/>
                <w:sz w:val="20"/>
                <w:szCs w:val="20"/>
              </w:rPr>
              <w:t>Unidade</w:t>
            </w:r>
          </w:p>
        </w:tc>
        <w:tc>
          <w:tcPr>
            <w:tcW w:w="0" w:type="auto"/>
            <w:tcBorders>
              <w:top w:val="single" w:sz="4" w:space="0" w:color="auto"/>
              <w:left w:val="single" w:sz="4" w:space="0" w:color="auto"/>
              <w:bottom w:val="single" w:sz="4" w:space="0" w:color="auto"/>
              <w:right w:val="single" w:sz="4" w:space="0" w:color="auto"/>
            </w:tcBorders>
            <w:vAlign w:val="center"/>
            <w:hideMark/>
          </w:tcPr>
          <w:p w:rsidR="00C512B5" w:rsidRPr="00C512B5" w:rsidRDefault="00C512B5" w:rsidP="0081207B">
            <w:pPr>
              <w:spacing w:line="240" w:lineRule="auto"/>
              <w:jc w:val="center"/>
              <w:rPr>
                <w:rFonts w:cs="Arial"/>
                <w:b/>
                <w:sz w:val="20"/>
                <w:szCs w:val="20"/>
              </w:rPr>
            </w:pPr>
            <w:r w:rsidRPr="00C512B5">
              <w:rPr>
                <w:rFonts w:cs="Arial"/>
                <w:b/>
                <w:sz w:val="20"/>
                <w:szCs w:val="20"/>
              </w:rPr>
              <w:t>Ano de Referência</w:t>
            </w:r>
          </w:p>
        </w:tc>
      </w:tr>
      <w:tr w:rsidR="00C512B5" w:rsidRPr="00C512B5" w:rsidTr="0081207B">
        <w:trPr>
          <w:trHeight w:val="34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512B5" w:rsidRPr="00C512B5" w:rsidRDefault="00C512B5" w:rsidP="0081207B">
            <w:pPr>
              <w:spacing w:line="240" w:lineRule="auto"/>
              <w:rPr>
                <w:rFonts w:cs="Arial"/>
                <w:b/>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512B5" w:rsidRPr="00C512B5" w:rsidRDefault="00C512B5" w:rsidP="0081207B">
            <w:pPr>
              <w:spacing w:line="240" w:lineRule="auto"/>
              <w:rPr>
                <w:rFonts w:cs="Arial"/>
                <w:b/>
                <w:sz w:val="20"/>
                <w:szCs w:val="20"/>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C512B5" w:rsidRPr="00C512B5" w:rsidRDefault="00C512B5" w:rsidP="0081207B">
            <w:pPr>
              <w:spacing w:line="240" w:lineRule="auto"/>
              <w:jc w:val="center"/>
              <w:rPr>
                <w:rFonts w:cs="Arial"/>
                <w:b/>
                <w:sz w:val="20"/>
                <w:szCs w:val="20"/>
              </w:rPr>
            </w:pPr>
            <w:r w:rsidRPr="00C512B5">
              <w:rPr>
                <w:rFonts w:cs="Arial"/>
                <w:b/>
                <w:sz w:val="20"/>
                <w:szCs w:val="20"/>
              </w:rPr>
              <w:t>2009</w:t>
            </w:r>
          </w:p>
        </w:tc>
      </w:tr>
      <w:tr w:rsidR="00C512B5" w:rsidRPr="00C512B5" w:rsidTr="0081207B">
        <w:trPr>
          <w:trHeight w:val="340"/>
        </w:trPr>
        <w:tc>
          <w:tcPr>
            <w:tcW w:w="0" w:type="auto"/>
            <w:tcBorders>
              <w:top w:val="single" w:sz="4" w:space="0" w:color="auto"/>
              <w:left w:val="single" w:sz="4" w:space="0" w:color="auto"/>
              <w:bottom w:val="single" w:sz="4" w:space="0" w:color="auto"/>
              <w:right w:val="single" w:sz="4" w:space="0" w:color="auto"/>
            </w:tcBorders>
            <w:vAlign w:val="center"/>
            <w:hideMark/>
          </w:tcPr>
          <w:p w:rsidR="00C512B5" w:rsidRPr="00C512B5" w:rsidRDefault="00C512B5" w:rsidP="0081207B">
            <w:pPr>
              <w:autoSpaceDE w:val="0"/>
              <w:autoSpaceDN w:val="0"/>
              <w:adjustRightInd w:val="0"/>
              <w:spacing w:line="240" w:lineRule="auto"/>
              <w:rPr>
                <w:rFonts w:cs="Arial"/>
                <w:sz w:val="20"/>
                <w:szCs w:val="20"/>
                <w:lang w:eastAsia="pt-BR"/>
              </w:rPr>
            </w:pPr>
            <w:r w:rsidRPr="00C512B5">
              <w:rPr>
                <w:rFonts w:cs="Arial"/>
                <w:sz w:val="20"/>
                <w:szCs w:val="20"/>
                <w:lang w:eastAsia="pt-BR"/>
              </w:rPr>
              <w:t>Custo unitário médio do serviço de coleta (RDO + RPU)</w:t>
            </w:r>
          </w:p>
        </w:tc>
        <w:tc>
          <w:tcPr>
            <w:tcW w:w="0" w:type="auto"/>
            <w:tcBorders>
              <w:top w:val="single" w:sz="4" w:space="0" w:color="auto"/>
              <w:left w:val="single" w:sz="4" w:space="0" w:color="auto"/>
              <w:bottom w:val="single" w:sz="4" w:space="0" w:color="auto"/>
              <w:right w:val="single" w:sz="4" w:space="0" w:color="auto"/>
            </w:tcBorders>
            <w:vAlign w:val="center"/>
          </w:tcPr>
          <w:p w:rsidR="00C512B5" w:rsidRPr="00C512B5" w:rsidRDefault="00C512B5" w:rsidP="0081207B">
            <w:pPr>
              <w:autoSpaceDE w:val="0"/>
              <w:autoSpaceDN w:val="0"/>
              <w:adjustRightInd w:val="0"/>
              <w:spacing w:line="240" w:lineRule="auto"/>
              <w:jc w:val="center"/>
              <w:rPr>
                <w:rFonts w:cs="Arial"/>
                <w:sz w:val="20"/>
                <w:szCs w:val="20"/>
                <w:lang w:eastAsia="pt-BR"/>
              </w:rPr>
            </w:pPr>
            <w:r w:rsidRPr="00C512B5">
              <w:rPr>
                <w:rFonts w:cs="Arial"/>
                <w:sz w:val="20"/>
                <w:szCs w:val="20"/>
                <w:lang w:eastAsia="pt-BR"/>
              </w:rPr>
              <w:t>R$/tonelada</w:t>
            </w:r>
          </w:p>
        </w:tc>
        <w:tc>
          <w:tcPr>
            <w:tcW w:w="0" w:type="auto"/>
            <w:tcBorders>
              <w:top w:val="single" w:sz="4" w:space="0" w:color="auto"/>
              <w:left w:val="single" w:sz="4" w:space="0" w:color="auto"/>
              <w:bottom w:val="single" w:sz="4" w:space="0" w:color="auto"/>
              <w:right w:val="single" w:sz="4" w:space="0" w:color="auto"/>
            </w:tcBorders>
            <w:vAlign w:val="center"/>
          </w:tcPr>
          <w:p w:rsidR="00C512B5" w:rsidRPr="00C512B5" w:rsidRDefault="00C512B5" w:rsidP="0081207B">
            <w:pPr>
              <w:spacing w:line="240" w:lineRule="auto"/>
              <w:jc w:val="right"/>
              <w:rPr>
                <w:rFonts w:cs="Arial"/>
                <w:sz w:val="20"/>
                <w:szCs w:val="20"/>
              </w:rPr>
            </w:pPr>
            <w:r w:rsidRPr="00C512B5">
              <w:rPr>
                <w:rFonts w:cs="Arial"/>
                <w:sz w:val="20"/>
                <w:szCs w:val="20"/>
              </w:rPr>
              <w:t>50,74</w:t>
            </w:r>
          </w:p>
        </w:tc>
      </w:tr>
      <w:tr w:rsidR="00C512B5" w:rsidRPr="00C512B5" w:rsidTr="0081207B">
        <w:trPr>
          <w:trHeight w:val="340"/>
        </w:trPr>
        <w:tc>
          <w:tcPr>
            <w:tcW w:w="0" w:type="auto"/>
            <w:tcBorders>
              <w:top w:val="single" w:sz="4" w:space="0" w:color="auto"/>
              <w:left w:val="single" w:sz="4" w:space="0" w:color="auto"/>
              <w:bottom w:val="single" w:sz="4" w:space="0" w:color="auto"/>
              <w:right w:val="single" w:sz="4" w:space="0" w:color="auto"/>
            </w:tcBorders>
            <w:vAlign w:val="center"/>
            <w:hideMark/>
          </w:tcPr>
          <w:p w:rsidR="00C512B5" w:rsidRPr="00C512B5" w:rsidRDefault="00C512B5" w:rsidP="0081207B">
            <w:pPr>
              <w:autoSpaceDE w:val="0"/>
              <w:autoSpaceDN w:val="0"/>
              <w:adjustRightInd w:val="0"/>
              <w:spacing w:line="240" w:lineRule="auto"/>
              <w:rPr>
                <w:rFonts w:cs="Arial"/>
                <w:sz w:val="20"/>
                <w:szCs w:val="20"/>
                <w:lang w:eastAsia="pt-BR"/>
              </w:rPr>
            </w:pPr>
            <w:r w:rsidRPr="00C512B5">
              <w:rPr>
                <w:rFonts w:cs="Arial"/>
                <w:sz w:val="20"/>
                <w:szCs w:val="20"/>
                <w:lang w:eastAsia="pt-BR"/>
              </w:rPr>
              <w:t>Receita orçada com serviços de manejo de RSU</w:t>
            </w:r>
          </w:p>
        </w:tc>
        <w:tc>
          <w:tcPr>
            <w:tcW w:w="0" w:type="auto"/>
            <w:tcBorders>
              <w:top w:val="single" w:sz="4" w:space="0" w:color="auto"/>
              <w:left w:val="single" w:sz="4" w:space="0" w:color="auto"/>
              <w:bottom w:val="single" w:sz="4" w:space="0" w:color="auto"/>
              <w:right w:val="single" w:sz="4" w:space="0" w:color="auto"/>
            </w:tcBorders>
            <w:vAlign w:val="center"/>
          </w:tcPr>
          <w:p w:rsidR="00C512B5" w:rsidRPr="00C512B5" w:rsidRDefault="00C512B5" w:rsidP="0081207B">
            <w:pPr>
              <w:autoSpaceDE w:val="0"/>
              <w:autoSpaceDN w:val="0"/>
              <w:adjustRightInd w:val="0"/>
              <w:spacing w:line="240" w:lineRule="auto"/>
              <w:jc w:val="center"/>
              <w:rPr>
                <w:rFonts w:cs="Arial"/>
                <w:sz w:val="20"/>
                <w:szCs w:val="20"/>
                <w:lang w:eastAsia="pt-BR"/>
              </w:rPr>
            </w:pPr>
            <w:r w:rsidRPr="00C512B5">
              <w:rPr>
                <w:rFonts w:cs="Arial"/>
                <w:sz w:val="20"/>
                <w:szCs w:val="20"/>
                <w:lang w:eastAsia="pt-BR"/>
              </w:rPr>
              <w:t>R$/ano</w:t>
            </w:r>
          </w:p>
        </w:tc>
        <w:tc>
          <w:tcPr>
            <w:tcW w:w="0" w:type="auto"/>
            <w:tcBorders>
              <w:top w:val="single" w:sz="4" w:space="0" w:color="auto"/>
              <w:left w:val="single" w:sz="4" w:space="0" w:color="auto"/>
              <w:bottom w:val="single" w:sz="4" w:space="0" w:color="auto"/>
              <w:right w:val="single" w:sz="4" w:space="0" w:color="auto"/>
            </w:tcBorders>
            <w:vAlign w:val="center"/>
          </w:tcPr>
          <w:p w:rsidR="00C512B5" w:rsidRPr="00C512B5" w:rsidRDefault="00C512B5" w:rsidP="0081207B">
            <w:pPr>
              <w:spacing w:line="240" w:lineRule="auto"/>
              <w:jc w:val="right"/>
              <w:rPr>
                <w:rFonts w:cs="Arial"/>
                <w:sz w:val="20"/>
                <w:szCs w:val="20"/>
              </w:rPr>
            </w:pPr>
            <w:r w:rsidRPr="00C512B5">
              <w:rPr>
                <w:rFonts w:cs="Arial"/>
                <w:sz w:val="20"/>
                <w:szCs w:val="20"/>
              </w:rPr>
              <w:t>500</w:t>
            </w:r>
          </w:p>
        </w:tc>
      </w:tr>
      <w:tr w:rsidR="00C512B5" w:rsidRPr="00C512B5" w:rsidTr="0081207B">
        <w:trPr>
          <w:trHeight w:val="340"/>
        </w:trPr>
        <w:tc>
          <w:tcPr>
            <w:tcW w:w="0" w:type="auto"/>
            <w:tcBorders>
              <w:top w:val="single" w:sz="4" w:space="0" w:color="auto"/>
              <w:left w:val="single" w:sz="4" w:space="0" w:color="auto"/>
              <w:bottom w:val="single" w:sz="4" w:space="0" w:color="auto"/>
              <w:right w:val="single" w:sz="4" w:space="0" w:color="auto"/>
            </w:tcBorders>
            <w:vAlign w:val="center"/>
            <w:hideMark/>
          </w:tcPr>
          <w:p w:rsidR="00C512B5" w:rsidRPr="00C512B5" w:rsidRDefault="00C512B5" w:rsidP="0081207B">
            <w:pPr>
              <w:autoSpaceDE w:val="0"/>
              <w:autoSpaceDN w:val="0"/>
              <w:adjustRightInd w:val="0"/>
              <w:spacing w:line="240" w:lineRule="auto"/>
              <w:rPr>
                <w:rFonts w:cs="Arial"/>
                <w:sz w:val="20"/>
                <w:szCs w:val="20"/>
                <w:lang w:eastAsia="pt-BR"/>
              </w:rPr>
            </w:pPr>
            <w:r w:rsidRPr="00C512B5">
              <w:rPr>
                <w:rFonts w:cs="Arial"/>
                <w:sz w:val="20"/>
                <w:szCs w:val="20"/>
                <w:lang w:eastAsia="pt-BR"/>
              </w:rPr>
              <w:t>Receita arrecadada com serviços de manejo de RSU</w:t>
            </w:r>
          </w:p>
        </w:tc>
        <w:tc>
          <w:tcPr>
            <w:tcW w:w="0" w:type="auto"/>
            <w:tcBorders>
              <w:top w:val="single" w:sz="4" w:space="0" w:color="auto"/>
              <w:left w:val="single" w:sz="4" w:space="0" w:color="auto"/>
              <w:bottom w:val="single" w:sz="4" w:space="0" w:color="auto"/>
              <w:right w:val="single" w:sz="4" w:space="0" w:color="auto"/>
            </w:tcBorders>
            <w:vAlign w:val="center"/>
          </w:tcPr>
          <w:p w:rsidR="00C512B5" w:rsidRPr="00C512B5" w:rsidRDefault="00C512B5" w:rsidP="0081207B">
            <w:pPr>
              <w:autoSpaceDE w:val="0"/>
              <w:autoSpaceDN w:val="0"/>
              <w:adjustRightInd w:val="0"/>
              <w:spacing w:line="240" w:lineRule="auto"/>
              <w:jc w:val="center"/>
              <w:rPr>
                <w:rFonts w:cs="Arial"/>
                <w:sz w:val="20"/>
                <w:szCs w:val="20"/>
                <w:lang w:eastAsia="pt-BR"/>
              </w:rPr>
            </w:pPr>
            <w:r w:rsidRPr="00C512B5">
              <w:rPr>
                <w:rFonts w:cs="Arial"/>
                <w:sz w:val="20"/>
                <w:szCs w:val="20"/>
                <w:lang w:eastAsia="pt-BR"/>
              </w:rPr>
              <w:t>R$/ano</w:t>
            </w:r>
          </w:p>
        </w:tc>
        <w:tc>
          <w:tcPr>
            <w:tcW w:w="0" w:type="auto"/>
            <w:tcBorders>
              <w:top w:val="single" w:sz="4" w:space="0" w:color="auto"/>
              <w:left w:val="single" w:sz="4" w:space="0" w:color="auto"/>
              <w:bottom w:val="single" w:sz="4" w:space="0" w:color="auto"/>
            </w:tcBorders>
            <w:vAlign w:val="center"/>
          </w:tcPr>
          <w:p w:rsidR="00C512B5" w:rsidRPr="00C512B5" w:rsidRDefault="00C512B5" w:rsidP="0081207B">
            <w:pPr>
              <w:spacing w:line="240" w:lineRule="auto"/>
              <w:jc w:val="right"/>
              <w:rPr>
                <w:rFonts w:cs="Arial"/>
                <w:sz w:val="20"/>
                <w:szCs w:val="20"/>
              </w:rPr>
            </w:pPr>
            <w:r w:rsidRPr="00C512B5">
              <w:rPr>
                <w:rFonts w:cs="Arial"/>
                <w:sz w:val="20"/>
                <w:szCs w:val="20"/>
              </w:rPr>
              <w:t>0</w:t>
            </w:r>
          </w:p>
        </w:tc>
      </w:tr>
      <w:tr w:rsidR="00C512B5" w:rsidRPr="00C512B5" w:rsidTr="0081207B">
        <w:trPr>
          <w:trHeight w:val="340"/>
        </w:trPr>
        <w:tc>
          <w:tcPr>
            <w:tcW w:w="0" w:type="auto"/>
            <w:tcBorders>
              <w:top w:val="single" w:sz="4" w:space="0" w:color="auto"/>
              <w:left w:val="single" w:sz="4" w:space="0" w:color="auto"/>
              <w:bottom w:val="single" w:sz="4" w:space="0" w:color="auto"/>
              <w:right w:val="single" w:sz="4" w:space="0" w:color="auto"/>
            </w:tcBorders>
            <w:vAlign w:val="center"/>
            <w:hideMark/>
          </w:tcPr>
          <w:p w:rsidR="00C512B5" w:rsidRPr="00C512B5" w:rsidRDefault="00C512B5" w:rsidP="0081207B">
            <w:pPr>
              <w:autoSpaceDE w:val="0"/>
              <w:autoSpaceDN w:val="0"/>
              <w:adjustRightInd w:val="0"/>
              <w:spacing w:line="240" w:lineRule="auto"/>
              <w:rPr>
                <w:rFonts w:cs="Arial"/>
                <w:sz w:val="20"/>
                <w:szCs w:val="20"/>
                <w:lang w:eastAsia="pt-BR"/>
              </w:rPr>
            </w:pPr>
            <w:r w:rsidRPr="00C512B5">
              <w:rPr>
                <w:rFonts w:cs="Arial"/>
                <w:sz w:val="20"/>
                <w:szCs w:val="20"/>
                <w:lang w:eastAsia="pt-BR"/>
              </w:rPr>
              <w:t>Despesa total com o serviço de coleta de RDO e RPU</w:t>
            </w:r>
          </w:p>
        </w:tc>
        <w:tc>
          <w:tcPr>
            <w:tcW w:w="0" w:type="auto"/>
            <w:tcBorders>
              <w:top w:val="single" w:sz="4" w:space="0" w:color="auto"/>
              <w:left w:val="single" w:sz="4" w:space="0" w:color="auto"/>
              <w:bottom w:val="single" w:sz="4" w:space="0" w:color="auto"/>
              <w:right w:val="single" w:sz="4" w:space="0" w:color="auto"/>
            </w:tcBorders>
            <w:vAlign w:val="center"/>
          </w:tcPr>
          <w:p w:rsidR="00C512B5" w:rsidRPr="00C512B5" w:rsidRDefault="00C512B5" w:rsidP="0081207B">
            <w:pPr>
              <w:autoSpaceDE w:val="0"/>
              <w:autoSpaceDN w:val="0"/>
              <w:adjustRightInd w:val="0"/>
              <w:spacing w:line="240" w:lineRule="auto"/>
              <w:jc w:val="center"/>
              <w:rPr>
                <w:rFonts w:cs="Arial"/>
                <w:sz w:val="20"/>
                <w:szCs w:val="20"/>
                <w:lang w:eastAsia="pt-BR"/>
              </w:rPr>
            </w:pPr>
            <w:r w:rsidRPr="00C512B5">
              <w:rPr>
                <w:rFonts w:cs="Arial"/>
                <w:sz w:val="20"/>
                <w:szCs w:val="20"/>
                <w:lang w:eastAsia="pt-BR"/>
              </w:rPr>
              <w:t>R$/ano</w:t>
            </w:r>
          </w:p>
        </w:tc>
        <w:tc>
          <w:tcPr>
            <w:tcW w:w="0" w:type="auto"/>
            <w:tcBorders>
              <w:top w:val="single" w:sz="4" w:space="0" w:color="auto"/>
              <w:left w:val="single" w:sz="4" w:space="0" w:color="auto"/>
              <w:bottom w:val="single" w:sz="4" w:space="0" w:color="auto"/>
              <w:right w:val="single" w:sz="4" w:space="0" w:color="auto"/>
            </w:tcBorders>
            <w:vAlign w:val="center"/>
          </w:tcPr>
          <w:p w:rsidR="00C512B5" w:rsidRPr="00C512B5" w:rsidRDefault="00C512B5" w:rsidP="0081207B">
            <w:pPr>
              <w:spacing w:line="240" w:lineRule="auto"/>
              <w:jc w:val="right"/>
              <w:rPr>
                <w:rFonts w:cs="Arial"/>
                <w:sz w:val="20"/>
                <w:szCs w:val="20"/>
              </w:rPr>
            </w:pPr>
            <w:r w:rsidRPr="00C512B5">
              <w:rPr>
                <w:rFonts w:cs="Arial"/>
                <w:sz w:val="20"/>
                <w:szCs w:val="20"/>
              </w:rPr>
              <w:t>137.000,00</w:t>
            </w:r>
          </w:p>
        </w:tc>
      </w:tr>
      <w:tr w:rsidR="00C512B5" w:rsidRPr="00C512B5" w:rsidTr="0081207B">
        <w:trPr>
          <w:trHeight w:val="340"/>
        </w:trPr>
        <w:tc>
          <w:tcPr>
            <w:tcW w:w="0" w:type="auto"/>
            <w:tcBorders>
              <w:top w:val="single" w:sz="4" w:space="0" w:color="auto"/>
              <w:left w:val="single" w:sz="4" w:space="0" w:color="auto"/>
              <w:bottom w:val="single" w:sz="4" w:space="0" w:color="auto"/>
              <w:right w:val="single" w:sz="4" w:space="0" w:color="auto"/>
            </w:tcBorders>
            <w:vAlign w:val="center"/>
            <w:hideMark/>
          </w:tcPr>
          <w:p w:rsidR="00C512B5" w:rsidRPr="00C512B5" w:rsidRDefault="00C512B5" w:rsidP="0081207B">
            <w:pPr>
              <w:autoSpaceDE w:val="0"/>
              <w:autoSpaceDN w:val="0"/>
              <w:adjustRightInd w:val="0"/>
              <w:spacing w:line="240" w:lineRule="auto"/>
              <w:rPr>
                <w:rFonts w:cs="Arial"/>
                <w:sz w:val="20"/>
                <w:szCs w:val="20"/>
                <w:lang w:eastAsia="pt-BR"/>
              </w:rPr>
            </w:pPr>
            <w:r w:rsidRPr="00C512B5">
              <w:rPr>
                <w:rFonts w:cs="Arial"/>
                <w:sz w:val="20"/>
                <w:szCs w:val="20"/>
                <w:lang w:eastAsia="pt-BR"/>
              </w:rPr>
              <w:t>Despesa total com a coleta de RSS</w:t>
            </w:r>
          </w:p>
        </w:tc>
        <w:tc>
          <w:tcPr>
            <w:tcW w:w="0" w:type="auto"/>
            <w:tcBorders>
              <w:top w:val="single" w:sz="4" w:space="0" w:color="auto"/>
              <w:left w:val="single" w:sz="4" w:space="0" w:color="auto"/>
              <w:bottom w:val="single" w:sz="4" w:space="0" w:color="auto"/>
              <w:right w:val="single" w:sz="4" w:space="0" w:color="auto"/>
            </w:tcBorders>
            <w:vAlign w:val="center"/>
          </w:tcPr>
          <w:p w:rsidR="00C512B5" w:rsidRPr="00C512B5" w:rsidRDefault="00C512B5" w:rsidP="0081207B">
            <w:pPr>
              <w:autoSpaceDE w:val="0"/>
              <w:autoSpaceDN w:val="0"/>
              <w:adjustRightInd w:val="0"/>
              <w:spacing w:line="240" w:lineRule="auto"/>
              <w:jc w:val="center"/>
              <w:rPr>
                <w:rFonts w:cs="Arial"/>
                <w:sz w:val="20"/>
                <w:szCs w:val="20"/>
                <w:lang w:eastAsia="pt-BR"/>
              </w:rPr>
            </w:pPr>
            <w:r w:rsidRPr="00C512B5">
              <w:rPr>
                <w:rFonts w:cs="Arial"/>
                <w:sz w:val="20"/>
                <w:szCs w:val="20"/>
                <w:lang w:eastAsia="pt-BR"/>
              </w:rPr>
              <w:t>R$/ano</w:t>
            </w:r>
          </w:p>
        </w:tc>
        <w:tc>
          <w:tcPr>
            <w:tcW w:w="0" w:type="auto"/>
            <w:tcBorders>
              <w:top w:val="single" w:sz="4" w:space="0" w:color="auto"/>
              <w:left w:val="single" w:sz="4" w:space="0" w:color="auto"/>
              <w:bottom w:val="single" w:sz="4" w:space="0" w:color="auto"/>
              <w:right w:val="single" w:sz="4" w:space="0" w:color="auto"/>
            </w:tcBorders>
            <w:vAlign w:val="center"/>
          </w:tcPr>
          <w:p w:rsidR="00C512B5" w:rsidRPr="00C512B5" w:rsidRDefault="00C512B5" w:rsidP="0081207B">
            <w:pPr>
              <w:spacing w:line="240" w:lineRule="auto"/>
              <w:jc w:val="right"/>
              <w:rPr>
                <w:rFonts w:cs="Arial"/>
                <w:sz w:val="20"/>
                <w:szCs w:val="20"/>
              </w:rPr>
            </w:pPr>
            <w:r w:rsidRPr="00C512B5">
              <w:rPr>
                <w:rFonts w:cs="Arial"/>
                <w:sz w:val="20"/>
                <w:szCs w:val="20"/>
              </w:rPr>
              <w:t>22.500,00</w:t>
            </w:r>
          </w:p>
        </w:tc>
      </w:tr>
      <w:tr w:rsidR="00C512B5" w:rsidRPr="00C512B5" w:rsidTr="0081207B">
        <w:trPr>
          <w:trHeight w:val="340"/>
        </w:trPr>
        <w:tc>
          <w:tcPr>
            <w:tcW w:w="0" w:type="auto"/>
            <w:tcBorders>
              <w:top w:val="single" w:sz="4" w:space="0" w:color="auto"/>
              <w:left w:val="single" w:sz="4" w:space="0" w:color="auto"/>
              <w:bottom w:val="single" w:sz="4" w:space="0" w:color="auto"/>
              <w:right w:val="single" w:sz="4" w:space="0" w:color="auto"/>
            </w:tcBorders>
            <w:vAlign w:val="center"/>
            <w:hideMark/>
          </w:tcPr>
          <w:p w:rsidR="00C512B5" w:rsidRPr="00C512B5" w:rsidRDefault="00C512B5" w:rsidP="0081207B">
            <w:pPr>
              <w:autoSpaceDE w:val="0"/>
              <w:autoSpaceDN w:val="0"/>
              <w:adjustRightInd w:val="0"/>
              <w:spacing w:line="240" w:lineRule="auto"/>
              <w:rPr>
                <w:rFonts w:cs="Arial"/>
                <w:sz w:val="20"/>
                <w:szCs w:val="20"/>
                <w:lang w:eastAsia="pt-BR"/>
              </w:rPr>
            </w:pPr>
            <w:r w:rsidRPr="00C512B5">
              <w:rPr>
                <w:rFonts w:cs="Arial"/>
                <w:sz w:val="20"/>
                <w:szCs w:val="20"/>
                <w:lang w:eastAsia="pt-BR"/>
              </w:rPr>
              <w:t>Despesa total com o serviço de varrição</w:t>
            </w:r>
          </w:p>
        </w:tc>
        <w:tc>
          <w:tcPr>
            <w:tcW w:w="0" w:type="auto"/>
            <w:tcBorders>
              <w:top w:val="single" w:sz="4" w:space="0" w:color="auto"/>
              <w:left w:val="single" w:sz="4" w:space="0" w:color="auto"/>
              <w:bottom w:val="single" w:sz="4" w:space="0" w:color="auto"/>
              <w:right w:val="single" w:sz="4" w:space="0" w:color="auto"/>
            </w:tcBorders>
            <w:vAlign w:val="center"/>
          </w:tcPr>
          <w:p w:rsidR="00C512B5" w:rsidRPr="00C512B5" w:rsidRDefault="00C512B5" w:rsidP="0081207B">
            <w:pPr>
              <w:autoSpaceDE w:val="0"/>
              <w:autoSpaceDN w:val="0"/>
              <w:adjustRightInd w:val="0"/>
              <w:spacing w:line="240" w:lineRule="auto"/>
              <w:jc w:val="center"/>
              <w:rPr>
                <w:rFonts w:cs="Arial"/>
                <w:sz w:val="20"/>
                <w:szCs w:val="20"/>
                <w:lang w:eastAsia="pt-BR"/>
              </w:rPr>
            </w:pPr>
            <w:r w:rsidRPr="00C512B5">
              <w:rPr>
                <w:rFonts w:cs="Arial"/>
                <w:sz w:val="20"/>
                <w:szCs w:val="20"/>
                <w:lang w:eastAsia="pt-BR"/>
              </w:rPr>
              <w:t>R$/ano</w:t>
            </w:r>
          </w:p>
        </w:tc>
        <w:tc>
          <w:tcPr>
            <w:tcW w:w="0" w:type="auto"/>
            <w:tcBorders>
              <w:top w:val="single" w:sz="4" w:space="0" w:color="auto"/>
              <w:left w:val="single" w:sz="4" w:space="0" w:color="auto"/>
              <w:bottom w:val="single" w:sz="4" w:space="0" w:color="auto"/>
              <w:right w:val="single" w:sz="4" w:space="0" w:color="auto"/>
            </w:tcBorders>
            <w:vAlign w:val="center"/>
          </w:tcPr>
          <w:p w:rsidR="00C512B5" w:rsidRPr="00C512B5" w:rsidRDefault="00C512B5" w:rsidP="0081207B">
            <w:pPr>
              <w:spacing w:line="240" w:lineRule="auto"/>
              <w:jc w:val="right"/>
              <w:rPr>
                <w:rFonts w:cs="Arial"/>
                <w:sz w:val="20"/>
                <w:szCs w:val="20"/>
              </w:rPr>
            </w:pPr>
            <w:r w:rsidRPr="00C512B5">
              <w:rPr>
                <w:rFonts w:cs="Arial"/>
                <w:sz w:val="20"/>
                <w:szCs w:val="20"/>
              </w:rPr>
              <w:t>88.000,00</w:t>
            </w:r>
          </w:p>
        </w:tc>
      </w:tr>
      <w:tr w:rsidR="00C512B5" w:rsidRPr="00C512B5" w:rsidTr="0081207B">
        <w:trPr>
          <w:trHeight w:val="340"/>
        </w:trPr>
        <w:tc>
          <w:tcPr>
            <w:tcW w:w="0" w:type="auto"/>
            <w:tcBorders>
              <w:top w:val="single" w:sz="4" w:space="0" w:color="auto"/>
              <w:left w:val="single" w:sz="4" w:space="0" w:color="auto"/>
              <w:bottom w:val="single" w:sz="4" w:space="0" w:color="auto"/>
              <w:right w:val="single" w:sz="4" w:space="0" w:color="auto"/>
            </w:tcBorders>
            <w:vAlign w:val="center"/>
            <w:hideMark/>
          </w:tcPr>
          <w:p w:rsidR="00C512B5" w:rsidRPr="00C512B5" w:rsidRDefault="00C512B5" w:rsidP="0081207B">
            <w:pPr>
              <w:autoSpaceDE w:val="0"/>
              <w:autoSpaceDN w:val="0"/>
              <w:adjustRightInd w:val="0"/>
              <w:spacing w:line="240" w:lineRule="auto"/>
              <w:rPr>
                <w:rFonts w:cs="Arial"/>
                <w:sz w:val="20"/>
                <w:szCs w:val="20"/>
                <w:lang w:eastAsia="pt-BR"/>
              </w:rPr>
            </w:pPr>
            <w:r w:rsidRPr="00C512B5">
              <w:rPr>
                <w:rFonts w:cs="Arial"/>
                <w:sz w:val="20"/>
                <w:szCs w:val="20"/>
                <w:lang w:eastAsia="pt-BR"/>
              </w:rPr>
              <w:t>Despesa total com todos os agentes executores dos demais serviços quando não especificados em campos próprios</w:t>
            </w:r>
          </w:p>
        </w:tc>
        <w:tc>
          <w:tcPr>
            <w:tcW w:w="0" w:type="auto"/>
            <w:tcBorders>
              <w:top w:val="single" w:sz="4" w:space="0" w:color="auto"/>
              <w:left w:val="single" w:sz="4" w:space="0" w:color="auto"/>
              <w:bottom w:val="single" w:sz="4" w:space="0" w:color="auto"/>
              <w:right w:val="single" w:sz="4" w:space="0" w:color="auto"/>
            </w:tcBorders>
            <w:vAlign w:val="center"/>
          </w:tcPr>
          <w:p w:rsidR="00C512B5" w:rsidRPr="00C512B5" w:rsidRDefault="00C512B5" w:rsidP="0081207B">
            <w:pPr>
              <w:autoSpaceDE w:val="0"/>
              <w:autoSpaceDN w:val="0"/>
              <w:adjustRightInd w:val="0"/>
              <w:spacing w:line="240" w:lineRule="auto"/>
              <w:jc w:val="center"/>
              <w:rPr>
                <w:rFonts w:cs="Arial"/>
                <w:sz w:val="20"/>
                <w:szCs w:val="20"/>
                <w:lang w:eastAsia="pt-BR"/>
              </w:rPr>
            </w:pPr>
            <w:r w:rsidRPr="00C512B5">
              <w:rPr>
                <w:rFonts w:cs="Arial"/>
                <w:sz w:val="20"/>
                <w:szCs w:val="20"/>
                <w:lang w:eastAsia="pt-BR"/>
              </w:rPr>
              <w:t>R$/ano</w:t>
            </w:r>
          </w:p>
        </w:tc>
        <w:tc>
          <w:tcPr>
            <w:tcW w:w="0" w:type="auto"/>
            <w:tcBorders>
              <w:top w:val="single" w:sz="4" w:space="0" w:color="auto"/>
              <w:left w:val="single" w:sz="4" w:space="0" w:color="auto"/>
              <w:bottom w:val="single" w:sz="4" w:space="0" w:color="auto"/>
              <w:right w:val="single" w:sz="4" w:space="0" w:color="auto"/>
            </w:tcBorders>
            <w:vAlign w:val="center"/>
          </w:tcPr>
          <w:p w:rsidR="00C512B5" w:rsidRPr="00C512B5" w:rsidRDefault="00C512B5" w:rsidP="0081207B">
            <w:pPr>
              <w:spacing w:line="240" w:lineRule="auto"/>
              <w:jc w:val="right"/>
              <w:rPr>
                <w:rFonts w:cs="Arial"/>
                <w:sz w:val="20"/>
                <w:szCs w:val="20"/>
              </w:rPr>
            </w:pPr>
            <w:r w:rsidRPr="00C512B5">
              <w:rPr>
                <w:rFonts w:cs="Arial"/>
                <w:sz w:val="20"/>
                <w:szCs w:val="20"/>
              </w:rPr>
              <w:t>22.500,00</w:t>
            </w:r>
          </w:p>
        </w:tc>
      </w:tr>
      <w:tr w:rsidR="00C512B5" w:rsidRPr="00C512B5" w:rsidTr="0081207B">
        <w:trPr>
          <w:trHeight w:val="340"/>
        </w:trPr>
        <w:tc>
          <w:tcPr>
            <w:tcW w:w="0" w:type="auto"/>
            <w:tcBorders>
              <w:top w:val="single" w:sz="4" w:space="0" w:color="auto"/>
              <w:left w:val="single" w:sz="4" w:space="0" w:color="auto"/>
              <w:bottom w:val="single" w:sz="4" w:space="0" w:color="auto"/>
              <w:right w:val="single" w:sz="4" w:space="0" w:color="auto"/>
            </w:tcBorders>
            <w:vAlign w:val="center"/>
            <w:hideMark/>
          </w:tcPr>
          <w:p w:rsidR="00C512B5" w:rsidRPr="00C512B5" w:rsidRDefault="00C512B5" w:rsidP="0081207B">
            <w:pPr>
              <w:autoSpaceDE w:val="0"/>
              <w:autoSpaceDN w:val="0"/>
              <w:adjustRightInd w:val="0"/>
              <w:spacing w:line="240" w:lineRule="auto"/>
              <w:rPr>
                <w:rFonts w:cs="Arial"/>
                <w:sz w:val="20"/>
                <w:szCs w:val="20"/>
                <w:lang w:eastAsia="pt-BR"/>
              </w:rPr>
            </w:pPr>
            <w:r w:rsidRPr="00C512B5">
              <w:rPr>
                <w:rFonts w:cs="Arial"/>
                <w:sz w:val="20"/>
                <w:szCs w:val="20"/>
                <w:lang w:eastAsia="pt-BR"/>
              </w:rPr>
              <w:t>Despesa total com serviços de manejo de RSU</w:t>
            </w:r>
          </w:p>
        </w:tc>
        <w:tc>
          <w:tcPr>
            <w:tcW w:w="0" w:type="auto"/>
            <w:tcBorders>
              <w:top w:val="single" w:sz="4" w:space="0" w:color="auto"/>
              <w:left w:val="single" w:sz="4" w:space="0" w:color="auto"/>
              <w:bottom w:val="single" w:sz="4" w:space="0" w:color="auto"/>
              <w:right w:val="single" w:sz="4" w:space="0" w:color="auto"/>
            </w:tcBorders>
            <w:vAlign w:val="center"/>
          </w:tcPr>
          <w:p w:rsidR="00C512B5" w:rsidRPr="00C512B5" w:rsidRDefault="00C512B5" w:rsidP="0081207B">
            <w:pPr>
              <w:autoSpaceDE w:val="0"/>
              <w:autoSpaceDN w:val="0"/>
              <w:adjustRightInd w:val="0"/>
              <w:spacing w:line="240" w:lineRule="auto"/>
              <w:jc w:val="center"/>
              <w:rPr>
                <w:rFonts w:cs="Arial"/>
                <w:sz w:val="20"/>
                <w:szCs w:val="20"/>
                <w:lang w:eastAsia="pt-BR"/>
              </w:rPr>
            </w:pPr>
            <w:r w:rsidRPr="00C512B5">
              <w:rPr>
                <w:rFonts w:cs="Arial"/>
                <w:sz w:val="20"/>
                <w:szCs w:val="20"/>
                <w:lang w:eastAsia="pt-BR"/>
              </w:rPr>
              <w:t>R$/ano</w:t>
            </w:r>
          </w:p>
        </w:tc>
        <w:tc>
          <w:tcPr>
            <w:tcW w:w="0" w:type="auto"/>
            <w:tcBorders>
              <w:top w:val="single" w:sz="4" w:space="0" w:color="auto"/>
              <w:left w:val="single" w:sz="4" w:space="0" w:color="auto"/>
              <w:bottom w:val="single" w:sz="4" w:space="0" w:color="auto"/>
              <w:right w:val="single" w:sz="4" w:space="0" w:color="auto"/>
            </w:tcBorders>
            <w:vAlign w:val="center"/>
          </w:tcPr>
          <w:p w:rsidR="00C512B5" w:rsidRPr="00C512B5" w:rsidRDefault="00C512B5" w:rsidP="0081207B">
            <w:pPr>
              <w:spacing w:line="240" w:lineRule="auto"/>
              <w:jc w:val="right"/>
              <w:rPr>
                <w:rFonts w:cs="Arial"/>
                <w:sz w:val="20"/>
                <w:szCs w:val="20"/>
              </w:rPr>
            </w:pPr>
            <w:r w:rsidRPr="00C512B5">
              <w:rPr>
                <w:rFonts w:cs="Arial"/>
                <w:sz w:val="20"/>
                <w:szCs w:val="20"/>
              </w:rPr>
              <w:t>270.000,00</w:t>
            </w:r>
          </w:p>
        </w:tc>
      </w:tr>
      <w:tr w:rsidR="00C512B5" w:rsidRPr="00C512B5" w:rsidTr="0081207B">
        <w:trPr>
          <w:trHeight w:val="340"/>
        </w:trPr>
        <w:tc>
          <w:tcPr>
            <w:tcW w:w="0" w:type="auto"/>
            <w:tcBorders>
              <w:top w:val="single" w:sz="4" w:space="0" w:color="auto"/>
              <w:left w:val="single" w:sz="4" w:space="0" w:color="auto"/>
              <w:bottom w:val="single" w:sz="4" w:space="0" w:color="auto"/>
              <w:right w:val="single" w:sz="4" w:space="0" w:color="auto"/>
            </w:tcBorders>
            <w:vAlign w:val="center"/>
            <w:hideMark/>
          </w:tcPr>
          <w:p w:rsidR="00C512B5" w:rsidRPr="00C512B5" w:rsidRDefault="00C512B5" w:rsidP="0081207B">
            <w:pPr>
              <w:autoSpaceDE w:val="0"/>
              <w:autoSpaceDN w:val="0"/>
              <w:adjustRightInd w:val="0"/>
              <w:spacing w:line="240" w:lineRule="auto"/>
              <w:rPr>
                <w:rFonts w:cs="Arial"/>
                <w:sz w:val="20"/>
                <w:szCs w:val="20"/>
                <w:lang w:eastAsia="pt-BR"/>
              </w:rPr>
            </w:pPr>
            <w:r w:rsidRPr="00C512B5">
              <w:rPr>
                <w:rFonts w:cs="Arial"/>
                <w:sz w:val="20"/>
                <w:szCs w:val="20"/>
                <w:lang w:eastAsia="pt-BR"/>
              </w:rPr>
              <w:t>Resultado</w:t>
            </w:r>
          </w:p>
        </w:tc>
        <w:tc>
          <w:tcPr>
            <w:tcW w:w="0" w:type="auto"/>
            <w:tcBorders>
              <w:top w:val="single" w:sz="4" w:space="0" w:color="auto"/>
              <w:left w:val="single" w:sz="4" w:space="0" w:color="auto"/>
              <w:bottom w:val="single" w:sz="4" w:space="0" w:color="auto"/>
              <w:right w:val="single" w:sz="4" w:space="0" w:color="auto"/>
            </w:tcBorders>
            <w:vAlign w:val="center"/>
          </w:tcPr>
          <w:p w:rsidR="00C512B5" w:rsidRPr="00C512B5" w:rsidRDefault="00C512B5" w:rsidP="0081207B">
            <w:pPr>
              <w:autoSpaceDE w:val="0"/>
              <w:autoSpaceDN w:val="0"/>
              <w:adjustRightInd w:val="0"/>
              <w:spacing w:line="240" w:lineRule="auto"/>
              <w:jc w:val="center"/>
              <w:rPr>
                <w:rFonts w:cs="Arial"/>
                <w:sz w:val="20"/>
                <w:szCs w:val="20"/>
                <w:lang w:eastAsia="pt-BR"/>
              </w:rPr>
            </w:pPr>
            <w:r w:rsidRPr="00C512B5">
              <w:rPr>
                <w:rFonts w:cs="Arial"/>
                <w:sz w:val="20"/>
                <w:szCs w:val="20"/>
                <w:lang w:eastAsia="pt-BR"/>
              </w:rPr>
              <w:t>R$/ano</w:t>
            </w:r>
          </w:p>
        </w:tc>
        <w:tc>
          <w:tcPr>
            <w:tcW w:w="0" w:type="auto"/>
            <w:tcBorders>
              <w:top w:val="single" w:sz="4" w:space="0" w:color="auto"/>
              <w:left w:val="single" w:sz="4" w:space="0" w:color="auto"/>
              <w:bottom w:val="single" w:sz="4" w:space="0" w:color="auto"/>
              <w:right w:val="single" w:sz="4" w:space="0" w:color="auto"/>
            </w:tcBorders>
            <w:vAlign w:val="center"/>
          </w:tcPr>
          <w:p w:rsidR="00C512B5" w:rsidRPr="00C512B5" w:rsidRDefault="00C512B5" w:rsidP="0081207B">
            <w:pPr>
              <w:spacing w:line="240" w:lineRule="auto"/>
              <w:jc w:val="right"/>
              <w:rPr>
                <w:rFonts w:cs="Arial"/>
                <w:sz w:val="20"/>
                <w:szCs w:val="20"/>
              </w:rPr>
            </w:pPr>
            <w:r w:rsidRPr="00C512B5">
              <w:rPr>
                <w:rFonts w:cs="Arial"/>
                <w:sz w:val="20"/>
                <w:szCs w:val="20"/>
              </w:rPr>
              <w:t>-539.500,00</w:t>
            </w:r>
          </w:p>
        </w:tc>
      </w:tr>
      <w:tr w:rsidR="00C512B5" w:rsidRPr="00C512B5" w:rsidTr="0081207B">
        <w:trPr>
          <w:trHeight w:val="340"/>
        </w:trPr>
        <w:tc>
          <w:tcPr>
            <w:tcW w:w="0" w:type="auto"/>
            <w:gridSpan w:val="3"/>
            <w:tcBorders>
              <w:top w:val="single" w:sz="4" w:space="0" w:color="auto"/>
              <w:left w:val="single" w:sz="4" w:space="0" w:color="auto"/>
              <w:bottom w:val="single" w:sz="4" w:space="0" w:color="auto"/>
              <w:right w:val="single" w:sz="4" w:space="0" w:color="auto"/>
            </w:tcBorders>
            <w:hideMark/>
          </w:tcPr>
          <w:p w:rsidR="00C512B5" w:rsidRPr="00C512B5" w:rsidRDefault="00C512B5" w:rsidP="0081207B">
            <w:pPr>
              <w:autoSpaceDE w:val="0"/>
              <w:autoSpaceDN w:val="0"/>
              <w:adjustRightInd w:val="0"/>
              <w:spacing w:line="240" w:lineRule="auto"/>
              <w:rPr>
                <w:rFonts w:cs="Arial"/>
                <w:sz w:val="20"/>
                <w:szCs w:val="20"/>
                <w:lang w:eastAsia="pt-BR"/>
              </w:rPr>
            </w:pPr>
            <w:r w:rsidRPr="00C512B5">
              <w:rPr>
                <w:rFonts w:cs="Arial"/>
                <w:sz w:val="20"/>
                <w:szCs w:val="20"/>
                <w:lang w:eastAsia="pt-BR"/>
              </w:rPr>
              <w:t xml:space="preserve">RSU: Resíduos sólidos urbanos; RDO: Resíduos sólidos domiciliares e resíduos comerciais com características similares; RPU: Resíduos sólidos públicos; RCC: Resíduos de construção e demolição; RSS: Resíduos sólidos dos serviços de saúde S/I: Sem informação. </w:t>
            </w:r>
          </w:p>
        </w:tc>
      </w:tr>
    </w:tbl>
    <w:p w:rsidR="00C512B5" w:rsidRPr="00C512B5" w:rsidRDefault="00C512B5" w:rsidP="00C512B5">
      <w:pPr>
        <w:pStyle w:val="Fonte"/>
      </w:pPr>
      <w:r w:rsidRPr="00C512B5">
        <w:t>Fonte: SNIS, 2017.</w:t>
      </w:r>
    </w:p>
    <w:p w:rsidR="00C512B5" w:rsidRPr="00C512B5" w:rsidRDefault="00C512B5" w:rsidP="00C512B5">
      <w:pPr>
        <w:spacing w:before="120" w:after="120"/>
        <w:ind w:firstLine="709"/>
        <w:contextualSpacing/>
        <w:rPr>
          <w:rFonts w:cs="Arial"/>
          <w:szCs w:val="24"/>
          <w:lang w:eastAsia="pt-BR"/>
        </w:rPr>
      </w:pPr>
      <w:r w:rsidRPr="00C512B5">
        <w:rPr>
          <w:rFonts w:cs="Arial"/>
          <w:szCs w:val="24"/>
          <w:lang w:eastAsia="pt-BR"/>
        </w:rPr>
        <w:lastRenderedPageBreak/>
        <w:t xml:space="preserve">É possível perceber que o município não arrecadou com o serviço de manejo dos resíduos sólidos. Ao conter apenas despesas, o resultado é um </w:t>
      </w:r>
      <w:r w:rsidRPr="00C512B5">
        <w:rPr>
          <w:rFonts w:cs="Arial"/>
          <w:i/>
          <w:szCs w:val="24"/>
          <w:lang w:eastAsia="pt-BR"/>
        </w:rPr>
        <w:t>déficit</w:t>
      </w:r>
      <w:r w:rsidRPr="00C512B5">
        <w:rPr>
          <w:rFonts w:cs="Arial"/>
          <w:szCs w:val="24"/>
          <w:lang w:eastAsia="pt-BR"/>
        </w:rPr>
        <w:t xml:space="preserve"> econômico, inviabilizando a sustentabilidade financeira do sistema.</w:t>
      </w:r>
    </w:p>
    <w:p w:rsidR="00193B74" w:rsidRPr="00C512B5" w:rsidRDefault="00193B74" w:rsidP="00193B74">
      <w:pPr>
        <w:tabs>
          <w:tab w:val="left" w:pos="4395"/>
        </w:tabs>
        <w:ind w:firstLine="709"/>
        <w:rPr>
          <w:rFonts w:cs="Arial"/>
        </w:rPr>
      </w:pPr>
      <w:r w:rsidRPr="00C512B5">
        <w:rPr>
          <w:rFonts w:cs="Arial"/>
        </w:rPr>
        <w:t>Neste contexto, há alguns desafios a serem vencidos e que devem ser considerados nas metodologias propostas para o cálculo da taxa, tais como:</w:t>
      </w:r>
    </w:p>
    <w:p w:rsidR="00193B74" w:rsidRPr="00C512B5" w:rsidRDefault="00193B74" w:rsidP="00A87269">
      <w:pPr>
        <w:numPr>
          <w:ilvl w:val="0"/>
          <w:numId w:val="35"/>
        </w:numPr>
        <w:tabs>
          <w:tab w:val="left" w:pos="4395"/>
        </w:tabs>
        <w:rPr>
          <w:rFonts w:cs="Arial"/>
        </w:rPr>
      </w:pPr>
      <w:r w:rsidRPr="00C512B5">
        <w:rPr>
          <w:rFonts w:cs="Arial"/>
        </w:rPr>
        <w:t xml:space="preserve">Ampliar a autossuficiência econômica do setor, conforme determina a Lei n.º 11.445/07, isto é, diminuir o </w:t>
      </w:r>
      <w:r w:rsidRPr="00C512B5">
        <w:rPr>
          <w:rFonts w:cs="Arial"/>
          <w:i/>
        </w:rPr>
        <w:t>déficit</w:t>
      </w:r>
      <w:r w:rsidRPr="00C512B5">
        <w:rPr>
          <w:rFonts w:cs="Arial"/>
        </w:rPr>
        <w:t xml:space="preserve"> operacional.</w:t>
      </w:r>
    </w:p>
    <w:p w:rsidR="00193B74" w:rsidRPr="00C512B5" w:rsidRDefault="00193B74" w:rsidP="00A87269">
      <w:pPr>
        <w:numPr>
          <w:ilvl w:val="0"/>
          <w:numId w:val="35"/>
        </w:numPr>
        <w:tabs>
          <w:tab w:val="left" w:pos="4395"/>
        </w:tabs>
        <w:rPr>
          <w:rFonts w:cs="Arial"/>
          <w:bCs/>
        </w:rPr>
      </w:pPr>
      <w:r w:rsidRPr="00C512B5">
        <w:rPr>
          <w:rFonts w:cs="Arial"/>
        </w:rPr>
        <w:t>Observar o princípio do poluidor-pagador, que busca atribuir o ônus das despesas proporcionalmente à capacidade do agente de gerar resíduos.</w:t>
      </w:r>
    </w:p>
    <w:p w:rsidR="00193B74" w:rsidRPr="00C512B5" w:rsidRDefault="00193B74" w:rsidP="00A87269">
      <w:pPr>
        <w:numPr>
          <w:ilvl w:val="0"/>
          <w:numId w:val="35"/>
        </w:numPr>
        <w:tabs>
          <w:tab w:val="left" w:pos="4395"/>
        </w:tabs>
        <w:rPr>
          <w:rFonts w:cs="Arial"/>
        </w:rPr>
      </w:pPr>
      <w:r w:rsidRPr="00C512B5">
        <w:rPr>
          <w:rFonts w:cs="Arial"/>
          <w:bCs/>
        </w:rPr>
        <w:t xml:space="preserve">Observar o </w:t>
      </w:r>
      <w:r w:rsidRPr="00C512B5">
        <w:rPr>
          <w:rFonts w:cs="Arial"/>
          <w:b/>
        </w:rPr>
        <w:t xml:space="preserve">princípio da isonomia </w:t>
      </w:r>
      <w:r w:rsidRPr="00C512B5">
        <w:rPr>
          <w:rFonts w:cs="Arial"/>
        </w:rPr>
        <w:t>(CF, art. 150, II).</w:t>
      </w:r>
    </w:p>
    <w:p w:rsidR="00193B74" w:rsidRPr="00C512B5" w:rsidRDefault="00193B74" w:rsidP="00A87269">
      <w:pPr>
        <w:numPr>
          <w:ilvl w:val="0"/>
          <w:numId w:val="35"/>
        </w:numPr>
        <w:tabs>
          <w:tab w:val="left" w:pos="4395"/>
        </w:tabs>
        <w:rPr>
          <w:rFonts w:cs="Arial"/>
        </w:rPr>
      </w:pPr>
      <w:r w:rsidRPr="00C512B5">
        <w:rPr>
          <w:rFonts w:cs="Arial"/>
          <w:bCs/>
        </w:rPr>
        <w:t xml:space="preserve">Observar o </w:t>
      </w:r>
      <w:r w:rsidRPr="00C512B5">
        <w:rPr>
          <w:rFonts w:cs="Arial"/>
          <w:b/>
        </w:rPr>
        <w:t xml:space="preserve">princípio da capacidade contributiva </w:t>
      </w:r>
      <w:r w:rsidRPr="00C512B5">
        <w:rPr>
          <w:rFonts w:cs="Arial"/>
        </w:rPr>
        <w:t xml:space="preserve">(CF, art. 145, § 1º). </w:t>
      </w:r>
    </w:p>
    <w:p w:rsidR="00193B74" w:rsidRPr="00C512B5" w:rsidRDefault="00193B74" w:rsidP="002828C8">
      <w:pPr>
        <w:pStyle w:val="Ttulo4"/>
      </w:pPr>
      <w:bookmarkStart w:id="272" w:name="_Toc397084659"/>
      <w:bookmarkStart w:id="273" w:name="_Toc399257178"/>
      <w:bookmarkStart w:id="274" w:name="_Toc447896754"/>
      <w:bookmarkStart w:id="275" w:name="_Toc497469021"/>
      <w:r w:rsidRPr="00C512B5">
        <w:t>Princípio da isonomia</w:t>
      </w:r>
      <w:bookmarkEnd w:id="272"/>
      <w:bookmarkEnd w:id="273"/>
      <w:bookmarkEnd w:id="274"/>
      <w:bookmarkEnd w:id="275"/>
    </w:p>
    <w:p w:rsidR="00193B74" w:rsidRPr="00C512B5" w:rsidRDefault="00193B74" w:rsidP="00193B74">
      <w:pPr>
        <w:ind w:firstLine="709"/>
        <w:rPr>
          <w:rFonts w:cs="Arial"/>
        </w:rPr>
      </w:pPr>
      <w:r w:rsidRPr="00C512B5">
        <w:rPr>
          <w:rFonts w:cs="Arial"/>
        </w:rPr>
        <w:t>Pela Constituição Federal, a lei, em princípio, não deve dar tratamento desigual a contribuintes que se encontrem em situação equivalente (CF, art. 150, II).</w:t>
      </w:r>
    </w:p>
    <w:p w:rsidR="00193B74" w:rsidRPr="00C512B5" w:rsidRDefault="00193B74" w:rsidP="00193B74">
      <w:pPr>
        <w:ind w:firstLine="709"/>
        <w:rPr>
          <w:rFonts w:cs="Arial"/>
          <w:szCs w:val="24"/>
        </w:rPr>
      </w:pPr>
      <w:r w:rsidRPr="00C512B5">
        <w:rPr>
          <w:rFonts w:cs="Arial"/>
          <w:szCs w:val="24"/>
        </w:rPr>
        <w:t xml:space="preserve">O tributo progressivo, com alíquotas crescentes por faixas de renda, por exemplo, não fere o princípio da isonomia. A igualdade aparece aqui de forma bastante elaborada na proporcionalidade da incidência em função da utilidade marginal da riqueza. Em outras palavras, quanto maior a disponibilidade econômica, maior será a parcela desta com utilizações distantes das essenciais e próximas do consumo supérfluo, logo, maior a produção de resíduos sólidos e consequentemente do custo dos serviços de coleta e remoção de lixo, contemplando, aqui, inclusive o inciso IV, § 1º do art. 29 da Lei n.º 11.445/07, que dispõe que a instituição da taxa de coleta e remoção do lixo deve, entre outros objetivos, inibir o consumo supérfluo e o desperdício de recursos. </w:t>
      </w:r>
    </w:p>
    <w:p w:rsidR="00193B74" w:rsidRPr="00C512B5" w:rsidRDefault="00193B74" w:rsidP="002828C8">
      <w:pPr>
        <w:pStyle w:val="Ttulo4"/>
      </w:pPr>
      <w:bookmarkStart w:id="276" w:name="_Toc397084660"/>
      <w:bookmarkStart w:id="277" w:name="_Toc399257179"/>
      <w:bookmarkStart w:id="278" w:name="_Toc447896755"/>
      <w:bookmarkStart w:id="279" w:name="_Toc497469022"/>
      <w:r w:rsidRPr="00C512B5">
        <w:t>Princípio da capacidade contributiva</w:t>
      </w:r>
      <w:bookmarkEnd w:id="276"/>
      <w:bookmarkEnd w:id="277"/>
      <w:bookmarkEnd w:id="278"/>
      <w:bookmarkEnd w:id="279"/>
    </w:p>
    <w:p w:rsidR="00193B74" w:rsidRPr="00C512B5" w:rsidRDefault="00193B74" w:rsidP="00193B74">
      <w:pPr>
        <w:ind w:firstLine="709"/>
        <w:rPr>
          <w:rFonts w:cs="Arial"/>
          <w:szCs w:val="24"/>
        </w:rPr>
      </w:pPr>
      <w:r w:rsidRPr="00C512B5">
        <w:rPr>
          <w:rFonts w:cs="Arial"/>
          <w:szCs w:val="24"/>
        </w:rPr>
        <w:t>Também faz parte da isonomia tratar os desiguais de modo desigual, devendo, assim, o tributo ser cobrado de acordo com as possibilidades econômicas de cada um (CF, art. 145, § 1º).</w:t>
      </w:r>
    </w:p>
    <w:p w:rsidR="00193B74" w:rsidRDefault="00193B74" w:rsidP="00193B74">
      <w:pPr>
        <w:ind w:firstLine="709"/>
        <w:rPr>
          <w:rFonts w:cs="Arial"/>
          <w:szCs w:val="24"/>
        </w:rPr>
      </w:pPr>
      <w:r w:rsidRPr="00C512B5">
        <w:rPr>
          <w:rFonts w:cs="Arial"/>
          <w:szCs w:val="24"/>
        </w:rPr>
        <w:t xml:space="preserve">Não existe unanimidade quanto ao entendimento acerca da capacidade contributiva ou capacidade econômica do contribuinte. Geralmente, critérios como área </w:t>
      </w:r>
      <w:r w:rsidRPr="00C512B5">
        <w:rPr>
          <w:rFonts w:cs="Arial"/>
          <w:szCs w:val="24"/>
        </w:rPr>
        <w:lastRenderedPageBreak/>
        <w:t>construída e extensão da testada do imóvel são utilizados nos métodos de cálculo como uma forma de respeitar a capacidade de pagamento do contribuinte, nos termos estabelecidos do inciso VI do art. 30 da Lei n.º 11.445/07.</w:t>
      </w:r>
    </w:p>
    <w:p w:rsidR="00C512B5" w:rsidRPr="00C512B5" w:rsidRDefault="00C512B5" w:rsidP="002828C8">
      <w:pPr>
        <w:pStyle w:val="Ttulo4"/>
      </w:pPr>
      <w:bookmarkStart w:id="280" w:name="_Toc447896756"/>
      <w:bookmarkStart w:id="281" w:name="_Toc487204530"/>
      <w:bookmarkStart w:id="282" w:name="_Toc497469023"/>
      <w:r w:rsidRPr="00C512B5">
        <w:t>Metodologias de cálculo da taxa de coleta de lixo</w:t>
      </w:r>
      <w:bookmarkEnd w:id="280"/>
      <w:bookmarkEnd w:id="281"/>
      <w:bookmarkEnd w:id="282"/>
    </w:p>
    <w:p w:rsidR="00C512B5" w:rsidRPr="00C512B5" w:rsidRDefault="00C512B5" w:rsidP="00C512B5">
      <w:pPr>
        <w:ind w:firstLine="708"/>
        <w:rPr>
          <w:rFonts w:cs="Arial"/>
          <w:szCs w:val="24"/>
        </w:rPr>
      </w:pPr>
      <w:r w:rsidRPr="00C512B5">
        <w:rPr>
          <w:rFonts w:cs="Arial"/>
          <w:szCs w:val="24"/>
        </w:rPr>
        <w:t>Os modelos apresentados seguem as diretrizes estabelecidas pela Lei Federal n.º 11.445, de 05/01/2007, que trata das diretrizes nacionais para o saneamento básico. Cabe destacar também que o conteúdo dessa proposta se amolda ao disposto na Súmula Vinculante n.º 19 do Supremo Tribunal Federal – STF, que diz:</w:t>
      </w:r>
    </w:p>
    <w:p w:rsidR="00C512B5" w:rsidRPr="00C512B5" w:rsidRDefault="00C512B5" w:rsidP="00C512B5">
      <w:pPr>
        <w:pStyle w:val="Citao"/>
        <w:ind w:firstLine="1560"/>
      </w:pPr>
      <w:r w:rsidRPr="00C512B5">
        <w:t>“A taxa cobrada exclusivamente em razão dos serviços públicos de coleta, remoção e tratamento ou destinação de lixo ou resíduos provenientes de imóveis não viola o artigo 145, ii, da Constituição Federal.”</w:t>
      </w:r>
    </w:p>
    <w:p w:rsidR="00C512B5" w:rsidRPr="00C512B5" w:rsidRDefault="00C512B5" w:rsidP="00C512B5">
      <w:pPr>
        <w:ind w:firstLine="708"/>
        <w:rPr>
          <w:rFonts w:cs="Arial"/>
          <w:szCs w:val="24"/>
          <w:shd w:val="clear" w:color="auto" w:fill="FFFFFF"/>
        </w:rPr>
      </w:pPr>
      <w:r w:rsidRPr="00C512B5">
        <w:rPr>
          <w:rFonts w:cs="Arial"/>
          <w:szCs w:val="24"/>
        </w:rPr>
        <w:t xml:space="preserve">Ainda observando a referida súmula, essa proposta trata </w:t>
      </w:r>
      <w:r w:rsidRPr="00C512B5">
        <w:rPr>
          <w:rFonts w:cs="Arial"/>
          <w:szCs w:val="24"/>
          <w:shd w:val="clear" w:color="auto" w:fill="FFFFFF"/>
        </w:rPr>
        <w:t xml:space="preserve">como específicos e divisíveis os serviços públicos de coleta, remoção e tratamento ou destinação de lixo ou resíduos provenientes de imóveis, </w:t>
      </w:r>
    </w:p>
    <w:p w:rsidR="00C512B5" w:rsidRPr="00C512B5" w:rsidRDefault="00C512B5" w:rsidP="00C512B5">
      <w:pPr>
        <w:ind w:left="1560"/>
        <w:rPr>
          <w:rFonts w:cs="Arial"/>
          <w:i/>
          <w:sz w:val="22"/>
          <w:szCs w:val="24"/>
          <w:shd w:val="clear" w:color="auto" w:fill="FFFFFF"/>
        </w:rPr>
      </w:pPr>
      <w:r w:rsidRPr="00C512B5">
        <w:rPr>
          <w:rFonts w:cs="Arial"/>
          <w:i/>
          <w:sz w:val="22"/>
          <w:szCs w:val="24"/>
          <w:shd w:val="clear" w:color="auto" w:fill="FFFFFF"/>
        </w:rPr>
        <w:t>“desde que essas atividades sejam completamente dissociadas de outros serviços públicos de limpeza realizados em benefício da população em geral (utiuniversi) e de forma indivisível, tais como os de conservação e limpeza de logradouros e bens públicos (praças, calçadas, vias, ruas, bueiros).</w:t>
      </w:r>
    </w:p>
    <w:p w:rsidR="00C512B5" w:rsidRPr="00C512B5" w:rsidRDefault="00C512B5" w:rsidP="00C512B5">
      <w:pPr>
        <w:ind w:left="1560"/>
        <w:rPr>
          <w:rFonts w:cs="Arial"/>
          <w:i/>
          <w:sz w:val="22"/>
          <w:szCs w:val="24"/>
          <w:shd w:val="clear" w:color="auto" w:fill="FFFFFF"/>
        </w:rPr>
      </w:pPr>
      <w:r w:rsidRPr="00C512B5">
        <w:rPr>
          <w:rFonts w:cs="Arial"/>
          <w:i/>
          <w:sz w:val="22"/>
          <w:szCs w:val="24"/>
          <w:shd w:val="clear" w:color="auto" w:fill="FFFFFF"/>
        </w:rPr>
        <w:t xml:space="preserve">Decorre daí que as taxas cobradas em razão exclusivamente dos serviços públicos de coleta, remoção e tratamento ou destinação de lixo ou resíduos provenientes de imóveis são constitucionais, ao passo que é inconstitucional a cobrança de valores tidos como taxa em razão de serviços de conservação e limpeza de logradouros e bens públicos. (...) Além disso, no que diz respeito ao argumento da utilização de base de cálculo própria de impostos, o Tribunal reconhece a constitucionalidade de taxas que na apuração do montante devido, adote um ou mais dos elementos que compõem a base de cálculo própria de determinado imposto, desde que não se verifique identidade integral entre uma base e a outra”. </w:t>
      </w:r>
      <w:hyperlink r:id="rId37" w:tgtFrame="_blank" w:history="1">
        <w:r w:rsidRPr="00C512B5">
          <w:rPr>
            <w:i/>
            <w:sz w:val="22"/>
          </w:rPr>
          <w:t>RE 576.321 RG-QO</w:t>
        </w:r>
      </w:hyperlink>
      <w:r w:rsidRPr="00C512B5">
        <w:rPr>
          <w:i/>
          <w:sz w:val="22"/>
        </w:rPr>
        <w:t xml:space="preserve">  - STF </w:t>
      </w:r>
      <w:r w:rsidRPr="00C512B5">
        <w:rPr>
          <w:bCs/>
          <w:i/>
          <w:sz w:val="22"/>
        </w:rPr>
        <w:t>(DJe 13.2.2009) - Relator Ministro Ricardo Lewandowski - Tribunal Pleno.</w:t>
      </w:r>
    </w:p>
    <w:p w:rsidR="00C512B5" w:rsidRPr="00C512B5" w:rsidRDefault="00C512B5" w:rsidP="00C512B5">
      <w:pPr>
        <w:ind w:firstLine="708"/>
        <w:rPr>
          <w:rFonts w:cs="Arial"/>
        </w:rPr>
      </w:pPr>
      <w:r w:rsidRPr="00C512B5">
        <w:rPr>
          <w:rFonts w:cs="Arial"/>
        </w:rPr>
        <w:t xml:space="preserve">As metodologias de cálculo e as formas de cobrança propostas visam à instituição ou alteração da </w:t>
      </w:r>
      <w:r w:rsidRPr="00C512B5">
        <w:t>taxa de coleta de lixo</w:t>
      </w:r>
      <w:r w:rsidRPr="00C512B5">
        <w:rPr>
          <w:rFonts w:cs="Arial"/>
        </w:rPr>
        <w:t xml:space="preserve"> do município, segundo sua definição na própria Constituição Federal, no bojo do inciso II do art. 145: “é o tributo cobrado </w:t>
      </w:r>
      <w:r w:rsidRPr="00C512B5">
        <w:rPr>
          <w:rFonts w:cs="Arial"/>
        </w:rPr>
        <w:lastRenderedPageBreak/>
        <w:t>pelo exercício do poder de polícia ou pela utilização, efetiva ou potencial, de serviços públicos específicos e divisíveis, prestados ao contribuinte ou postos a sua disposição”.</w:t>
      </w:r>
    </w:p>
    <w:p w:rsidR="00C512B5" w:rsidRPr="00C512B5" w:rsidRDefault="00C512B5" w:rsidP="00C512B5">
      <w:pPr>
        <w:ind w:firstLine="708"/>
        <w:rPr>
          <w:rFonts w:cs="Arial"/>
        </w:rPr>
      </w:pPr>
      <w:r w:rsidRPr="00C512B5">
        <w:rPr>
          <w:rFonts w:cs="Arial"/>
        </w:rPr>
        <w:t>Portanto, taxa, além de espécie de tributo, é espécie de tributo vinculado quanto à hipótese de incidência. Ela é oriunda de uma atividade estatal especificamente referida e disponibilizada ao contribuinte. Essa característica é que constitui a hipótese de incidência. A taxa provém de um exercício regular de poder de polícia ou uma prestação, efetiva ou potencial de serviço público específico e divisível.</w:t>
      </w:r>
    </w:p>
    <w:p w:rsidR="00C512B5" w:rsidRPr="00C512B5" w:rsidRDefault="00C512B5" w:rsidP="00C512B5">
      <w:pPr>
        <w:ind w:firstLine="708"/>
        <w:rPr>
          <w:rFonts w:cs="Arial"/>
        </w:rPr>
      </w:pPr>
      <w:r w:rsidRPr="00C512B5">
        <w:rPr>
          <w:rFonts w:cs="Arial"/>
        </w:rPr>
        <w:t xml:space="preserve">No caso em apreço, trata-se de uma taxa de serviços que, aos moldes da Súmula Vinculante n.º 19, é uma atuação estatal única e determinada fruída em separado por cada contribuinte. Assim, nada impede que haja uma </w:t>
      </w:r>
      <w:r w:rsidRPr="00C512B5">
        <w:t>taxa de coleta de lixo</w:t>
      </w:r>
      <w:r w:rsidRPr="00C512B5">
        <w:rPr>
          <w:rFonts w:cs="Arial"/>
        </w:rPr>
        <w:t>, pois nesse caso o serviço é fruído em separado.</w:t>
      </w:r>
    </w:p>
    <w:p w:rsidR="00C512B5" w:rsidRPr="00C512B5" w:rsidRDefault="00C512B5" w:rsidP="002828C8">
      <w:pPr>
        <w:pStyle w:val="Ttulo5"/>
      </w:pPr>
      <w:bookmarkStart w:id="283" w:name="_Ref435089408"/>
      <w:bookmarkStart w:id="284" w:name="_Ref435426636"/>
      <w:bookmarkStart w:id="285" w:name="_Toc447896757"/>
      <w:bookmarkStart w:id="286" w:name="_Toc487204531"/>
      <w:bookmarkStart w:id="287" w:name="_Toc497469024"/>
      <w:r w:rsidRPr="00C512B5">
        <w:t>Rateio dos custos pelo número de economias</w:t>
      </w:r>
      <w:bookmarkEnd w:id="283"/>
      <w:bookmarkEnd w:id="284"/>
      <w:bookmarkEnd w:id="285"/>
      <w:bookmarkEnd w:id="286"/>
      <w:bookmarkEnd w:id="287"/>
    </w:p>
    <w:p w:rsidR="00C512B5" w:rsidRPr="00C512B5" w:rsidRDefault="00C512B5" w:rsidP="00C512B5">
      <w:pPr>
        <w:ind w:firstLine="709"/>
        <w:rPr>
          <w:rFonts w:cs="Arial"/>
        </w:rPr>
      </w:pPr>
      <w:r w:rsidRPr="00C512B5">
        <w:rPr>
          <w:rFonts w:cs="Arial"/>
        </w:rPr>
        <w:t>Este modelo é baseado na proposta apresentada no Manual de Gerenciamento Integrado de Resíduos Sólidos, elaborado pelo IBAM (2001) em parceria com o Governo Federal.</w:t>
      </w:r>
    </w:p>
    <w:p w:rsidR="00C512B5" w:rsidRPr="00C512B5" w:rsidRDefault="00C512B5" w:rsidP="00C512B5">
      <w:pPr>
        <w:ind w:firstLine="709"/>
        <w:rPr>
          <w:rFonts w:cs="Arial"/>
        </w:rPr>
      </w:pPr>
      <w:r w:rsidRPr="00C512B5">
        <w:rPr>
          <w:rFonts w:cs="Arial"/>
        </w:rPr>
        <w:t>De acordo com esta metodologia, o valor unitário da Taxa de Coleta de Lixo (TCL) pode ser calculado simplesmente dividindo-se o custo total anual ou mensal da coleta de lixo domiciliar pelo número de domicílios existentes na cidade.</w:t>
      </w:r>
    </w:p>
    <w:p w:rsidR="00C512B5" w:rsidRPr="004C2810" w:rsidRDefault="00C512B5" w:rsidP="00C512B5">
      <w:pPr>
        <w:ind w:firstLine="709"/>
        <w:rPr>
          <w:rFonts w:cs="Arial"/>
        </w:rPr>
      </w:pPr>
      <w:r w:rsidRPr="004C2810">
        <w:rPr>
          <w:rFonts w:cs="Arial"/>
        </w:rPr>
        <w:t>Desta maneira, é possível simular quanto teria sido essa taxa no município de Córrego Novo no ano de 2009. Segundo a projeção populacional, a população do município em 2009 era de 3.138 habitantes. Considerando uma média de 3,3 habitantes por domicílio, estima-se que havia 951 domicílios no município em 2009. Se os serviços fossem de fato oferecidos a todos esses domicílios, poder-se-ia contabilizá-los em sua íntegra nos cálculos. Dividindo-se o custo total dos serviços de limpeza urbana e manejo de resíduos sólidos em 2009 (R$539.500,00), calculado com base nos dados do SNIS, pelo número estimado de domicílios atendidos, a taxa anual de coleta de lixo seria de R$</w:t>
      </w:r>
      <w:r w:rsidR="004C2810" w:rsidRPr="004C2810">
        <w:rPr>
          <w:rFonts w:cs="Arial"/>
        </w:rPr>
        <w:t>567,35</w:t>
      </w:r>
      <w:r w:rsidRPr="004C2810">
        <w:rPr>
          <w:rFonts w:cs="Arial"/>
        </w:rPr>
        <w:t>, ou seja, menos de R$</w:t>
      </w:r>
      <w:r w:rsidR="004C2810" w:rsidRPr="004C2810">
        <w:rPr>
          <w:rFonts w:cs="Arial"/>
        </w:rPr>
        <w:t>5</w:t>
      </w:r>
      <w:r w:rsidRPr="004C2810">
        <w:rPr>
          <w:rFonts w:cs="Arial"/>
        </w:rPr>
        <w:t>0,00 por mês por domicílio.</w:t>
      </w:r>
    </w:p>
    <w:p w:rsidR="00C512B5" w:rsidRPr="004C2810" w:rsidRDefault="00C512B5" w:rsidP="00C512B5">
      <w:pPr>
        <w:ind w:firstLine="709"/>
        <w:rPr>
          <w:rFonts w:cs="Arial"/>
        </w:rPr>
      </w:pPr>
      <w:r w:rsidRPr="004C2810">
        <w:rPr>
          <w:rFonts w:cs="Arial"/>
        </w:rPr>
        <w:t xml:space="preserve">Este modelo, embora vantajoso por sua simplicidade, não considera a capacidade de pagamento do contribuinte e não diferencia o grande gerador de resíduos sólidos dos geradores de porte “normal” ou “doméstico”, os quais geram volumes significativamente menores de resíduos. Desta maneira, o IBAM (2001) </w:t>
      </w:r>
      <w:r w:rsidRPr="004C2810">
        <w:rPr>
          <w:rFonts w:cs="Arial"/>
        </w:rPr>
        <w:lastRenderedPageBreak/>
        <w:t>recomenda que sejam considerados outros fatores, como o fator social, que é função do poder aquisitivo médio dos moradores de determinadas regiões e que torna a cobrança socialmente mais justa. Também é citado o fator operacional, que considera as peculiaridades de cada imóvel por conta de sua tipologia (comercial, residencial, industrial, etc.) ou pode ser adotado um fator que considere os locais em função do esforço, em pessoal ou em equipamentos, empregados no sistema de coleta.</w:t>
      </w:r>
    </w:p>
    <w:p w:rsidR="00C512B5" w:rsidRPr="004C2810" w:rsidRDefault="00C512B5" w:rsidP="002828C8">
      <w:pPr>
        <w:pStyle w:val="Ttulo5"/>
      </w:pPr>
      <w:bookmarkStart w:id="288" w:name="_Toc447896758"/>
      <w:bookmarkStart w:id="289" w:name="_Toc487204532"/>
      <w:bookmarkStart w:id="290" w:name="_Toc497469025"/>
      <w:r w:rsidRPr="004C2810">
        <w:t>Cálculo baseado na tipologia do gerador</w:t>
      </w:r>
      <w:bookmarkEnd w:id="288"/>
      <w:bookmarkEnd w:id="289"/>
      <w:bookmarkEnd w:id="290"/>
    </w:p>
    <w:p w:rsidR="00C512B5" w:rsidRPr="004C2810" w:rsidRDefault="00C512B5" w:rsidP="00C512B5">
      <w:pPr>
        <w:ind w:firstLine="709"/>
        <w:rPr>
          <w:rFonts w:cs="Arial"/>
        </w:rPr>
      </w:pPr>
      <w:r w:rsidRPr="004C2810">
        <w:rPr>
          <w:rFonts w:cs="Arial"/>
        </w:rPr>
        <w:t>Esta metodologia leva em consideração o porte do gerador em função do volume de resíduos gerado por determinado período (dia, semana ou mês), a saber, pequenos, médios e grandes geradores. Para que seja possível aplicá-la, um cadastro dos geradores comerciais e industriais deve ser elaborado e atualizado anualmente. Esse cadastro deve conter informações sobre quantidades geradas, características dos resíduos, entre outras informações que possam ser consideradas relevantes para a coleta e destinação dos resíduos.</w:t>
      </w:r>
    </w:p>
    <w:p w:rsidR="00C512B5" w:rsidRPr="004C2810" w:rsidRDefault="00C512B5" w:rsidP="00C512B5">
      <w:pPr>
        <w:ind w:firstLine="709"/>
        <w:rPr>
          <w:rFonts w:cs="Arial"/>
        </w:rPr>
      </w:pPr>
      <w:r w:rsidRPr="004C2810">
        <w:rPr>
          <w:rFonts w:cs="Arial"/>
        </w:rPr>
        <w:t xml:space="preserve">A seguir, são apresentadas as formas de cálculo da </w:t>
      </w:r>
      <w:r w:rsidRPr="004C2810">
        <w:t>taxa de coleta de lixo</w:t>
      </w:r>
      <w:r w:rsidRPr="004C2810">
        <w:rPr>
          <w:rFonts w:cs="Arial"/>
        </w:rPr>
        <w:t xml:space="preserve"> para cada categoria.</w:t>
      </w:r>
    </w:p>
    <w:p w:rsidR="00C512B5" w:rsidRPr="004C2810" w:rsidRDefault="00C512B5" w:rsidP="00C512B5">
      <w:pPr>
        <w:ind w:firstLine="709"/>
        <w:rPr>
          <w:rFonts w:cs="Arial"/>
          <w:b/>
        </w:rPr>
      </w:pPr>
    </w:p>
    <w:p w:rsidR="00C512B5" w:rsidRPr="004C2810" w:rsidRDefault="00C512B5" w:rsidP="00C512B5">
      <w:pPr>
        <w:ind w:firstLine="709"/>
        <w:rPr>
          <w:rFonts w:cs="Arial"/>
          <w:b/>
        </w:rPr>
      </w:pPr>
      <w:r w:rsidRPr="004C2810">
        <w:rPr>
          <w:rFonts w:cs="Arial"/>
          <w:b/>
        </w:rPr>
        <w:t>Pequeno gerador</w:t>
      </w:r>
    </w:p>
    <w:p w:rsidR="00C512B5" w:rsidRPr="004C2810" w:rsidRDefault="00C512B5" w:rsidP="00C512B5">
      <w:pPr>
        <w:ind w:firstLine="709"/>
        <w:rPr>
          <w:rFonts w:cs="Arial"/>
        </w:rPr>
      </w:pPr>
      <w:r w:rsidRPr="004C2810">
        <w:rPr>
          <w:rFonts w:cs="Arial"/>
        </w:rPr>
        <w:t>Enquadram-se nesta categoria os domicílios, estabelecimentos comerciais, prestadores de serviço e indústrias que geram pequenas quantidades de resíduos, isto é, menos de 100L/dia.</w:t>
      </w:r>
    </w:p>
    <w:p w:rsidR="00C512B5" w:rsidRPr="004C2810" w:rsidRDefault="00C512B5" w:rsidP="00C512B5">
      <w:pPr>
        <w:ind w:firstLine="709"/>
        <w:rPr>
          <w:rFonts w:cs="Arial"/>
        </w:rPr>
      </w:pPr>
      <w:r w:rsidRPr="004C2810">
        <w:rPr>
          <w:rFonts w:cs="Arial"/>
        </w:rPr>
        <w:t xml:space="preserve">Para esse tipo de gerador, o cálculo da taxa é feito de forma análoga à descrita no item </w:t>
      </w:r>
      <w:r w:rsidRPr="004C2810">
        <w:rPr>
          <w:rFonts w:cs="Arial"/>
        </w:rPr>
        <w:fldChar w:fldCharType="begin"/>
      </w:r>
      <w:r w:rsidRPr="004C2810">
        <w:rPr>
          <w:rFonts w:cs="Arial"/>
        </w:rPr>
        <w:instrText xml:space="preserve"> REF _Ref435089408 \r \h  \* MERGEFORMAT </w:instrText>
      </w:r>
      <w:r w:rsidRPr="004C2810">
        <w:rPr>
          <w:rFonts w:cs="Arial"/>
        </w:rPr>
      </w:r>
      <w:r w:rsidRPr="004C2810">
        <w:rPr>
          <w:rFonts w:cs="Arial"/>
        </w:rPr>
        <w:fldChar w:fldCharType="separate"/>
      </w:r>
      <w:r w:rsidR="004D1D76">
        <w:rPr>
          <w:rFonts w:cs="Arial"/>
        </w:rPr>
        <w:t>2.4.2.4.1</w:t>
      </w:r>
      <w:r w:rsidRPr="004C2810">
        <w:rPr>
          <w:rFonts w:cs="Arial"/>
        </w:rPr>
        <w:fldChar w:fldCharType="end"/>
      </w:r>
      <w:r w:rsidRPr="004C2810">
        <w:rPr>
          <w:rFonts w:cs="Arial"/>
        </w:rPr>
        <w:t>, de acordo com a seguinte fórmula:</w:t>
      </w:r>
    </w:p>
    <w:p w:rsidR="00C512B5" w:rsidRPr="004C2810" w:rsidRDefault="00C512B5" w:rsidP="00C512B5">
      <w:pPr>
        <w:ind w:firstLine="709"/>
        <w:rPr>
          <w:rFonts w:cs="Arial"/>
        </w:rPr>
      </w:pPr>
    </w:p>
    <w:p w:rsidR="00C512B5" w:rsidRPr="004C2810" w:rsidRDefault="004D1D76" w:rsidP="00C512B5">
      <w:pPr>
        <w:rPr>
          <w:rFonts w:eastAsiaTheme="minorEastAsia" w:cs="Arial"/>
        </w:rPr>
      </w:pPr>
      <m:oMathPara>
        <m:oMath>
          <m:sSub>
            <m:sSubPr>
              <m:ctrlPr>
                <w:rPr>
                  <w:rFonts w:ascii="Cambria Math" w:hAnsi="Cambria Math" w:cs="Arial"/>
                  <w:i/>
                </w:rPr>
              </m:ctrlPr>
            </m:sSubPr>
            <m:e>
              <m:r>
                <w:rPr>
                  <w:rFonts w:ascii="Cambria Math" w:hAnsi="Cambria Math" w:cs="Arial"/>
                </w:rPr>
                <m:t>Taxa</m:t>
              </m:r>
            </m:e>
            <m:sub>
              <m:r>
                <w:rPr>
                  <w:rFonts w:ascii="Cambria Math" w:hAnsi="Cambria Math" w:cs="Arial"/>
                </w:rPr>
                <m:t xml:space="preserve">Lixo </m:t>
              </m:r>
              <m:d>
                <m:dPr>
                  <m:ctrlPr>
                    <w:rPr>
                      <w:rFonts w:ascii="Cambria Math" w:hAnsi="Cambria Math" w:cs="Arial"/>
                      <w:i/>
                    </w:rPr>
                  </m:ctrlPr>
                </m:dPr>
                <m:e>
                  <m:r>
                    <w:rPr>
                      <w:rFonts w:ascii="Cambria Math" w:hAnsi="Cambria Math" w:cs="Arial"/>
                    </w:rPr>
                    <m:t>P</m:t>
                  </m:r>
                </m:e>
              </m:d>
            </m:sub>
          </m:sSub>
          <m:r>
            <w:rPr>
              <w:rFonts w:ascii="Cambria Math" w:hAnsi="Cambria Math" w:cs="Arial"/>
            </w:rPr>
            <m:t xml:space="preserve">(R$)= </m:t>
          </m:r>
          <m:f>
            <m:fPr>
              <m:ctrlPr>
                <w:rPr>
                  <w:rFonts w:ascii="Cambria Math" w:hAnsi="Cambria Math" w:cs="Arial"/>
                  <w:i/>
                </w:rPr>
              </m:ctrlPr>
            </m:fPr>
            <m:num>
              <m:r>
                <w:rPr>
                  <w:rFonts w:ascii="Cambria Math" w:hAnsi="Cambria Math" w:cs="Arial"/>
                </w:rPr>
                <m:t>custos com a coleta convencional (R$)</m:t>
              </m:r>
            </m:num>
            <m:den>
              <m:r>
                <w:rPr>
                  <w:rFonts w:ascii="Cambria Math" w:hAnsi="Cambria Math" w:cs="Arial"/>
                </w:rPr>
                <m:t>nº de usuários (residências, comércios e serviços)</m:t>
              </m:r>
            </m:den>
          </m:f>
        </m:oMath>
      </m:oMathPara>
    </w:p>
    <w:p w:rsidR="00C512B5" w:rsidRPr="004C2810" w:rsidRDefault="00C512B5" w:rsidP="00C512B5">
      <w:pPr>
        <w:rPr>
          <w:rFonts w:cs="Arial"/>
        </w:rPr>
      </w:pPr>
    </w:p>
    <w:p w:rsidR="00C512B5" w:rsidRPr="004C2810" w:rsidRDefault="00C512B5" w:rsidP="00C512B5">
      <w:pPr>
        <w:ind w:firstLine="349"/>
      </w:pPr>
      <w:r w:rsidRPr="004C2810">
        <w:t>Para os geradores que não ultrapassam 100L/dia, a Prefeitura Municipal deve se responsabilizar pela retirada de:</w:t>
      </w:r>
    </w:p>
    <w:p w:rsidR="00C512B5" w:rsidRPr="004C2810" w:rsidRDefault="00C512B5" w:rsidP="00A87269">
      <w:pPr>
        <w:pStyle w:val="PargrafodaLista"/>
        <w:numPr>
          <w:ilvl w:val="0"/>
          <w:numId w:val="54"/>
        </w:numPr>
        <w:ind w:left="709"/>
      </w:pPr>
      <w:r w:rsidRPr="004C2810">
        <w:t>Resíduos domiciliares.</w:t>
      </w:r>
    </w:p>
    <w:p w:rsidR="00C512B5" w:rsidRPr="004C2810" w:rsidRDefault="00C512B5" w:rsidP="00A87269">
      <w:pPr>
        <w:pStyle w:val="PargrafodaLista"/>
        <w:numPr>
          <w:ilvl w:val="0"/>
          <w:numId w:val="54"/>
        </w:numPr>
        <w:ind w:left="709"/>
      </w:pPr>
      <w:r w:rsidRPr="004C2810">
        <w:t>Materiais de varredura domiciliar.</w:t>
      </w:r>
    </w:p>
    <w:p w:rsidR="00C512B5" w:rsidRPr="004C2810" w:rsidRDefault="00C512B5" w:rsidP="00A87269">
      <w:pPr>
        <w:pStyle w:val="PargrafodaLista"/>
        <w:numPr>
          <w:ilvl w:val="0"/>
          <w:numId w:val="54"/>
        </w:numPr>
        <w:ind w:left="709"/>
      </w:pPr>
      <w:r w:rsidRPr="004C2810">
        <w:lastRenderedPageBreak/>
        <w:t>Resíduos originários de restaurantes, bares, hotéis, quartéis, mercados, matadouros, abatedouros, cemitérios, recinto de exposições, edifícios públicos em geral, resíduos de estabelecimentos comerciais e resíduos inócuos de estabelecimentos industriais.</w:t>
      </w:r>
    </w:p>
    <w:p w:rsidR="00C512B5" w:rsidRPr="004C2810" w:rsidRDefault="00C512B5" w:rsidP="00A87269">
      <w:pPr>
        <w:pStyle w:val="PargrafodaLista"/>
        <w:numPr>
          <w:ilvl w:val="0"/>
          <w:numId w:val="54"/>
        </w:numPr>
        <w:ind w:left="709"/>
      </w:pPr>
      <w:r w:rsidRPr="004C2810">
        <w:t>Restos de limpeza e de poda de jardim, desde que caibam em recipientes de 100L.</w:t>
      </w:r>
    </w:p>
    <w:p w:rsidR="00C512B5" w:rsidRPr="004C2810" w:rsidRDefault="00C512B5" w:rsidP="00A87269">
      <w:pPr>
        <w:pStyle w:val="PargrafodaLista"/>
        <w:numPr>
          <w:ilvl w:val="0"/>
          <w:numId w:val="54"/>
        </w:numPr>
        <w:ind w:left="709"/>
      </w:pPr>
      <w:r w:rsidRPr="004C2810">
        <w:t>Restos de móveis, de colchões, de utensílios, de mudanças e outros similares, em pedaços, que fiquem contidos em recipiente de até 100L.</w:t>
      </w:r>
    </w:p>
    <w:p w:rsidR="00C512B5" w:rsidRDefault="00C512B5" w:rsidP="00A87269">
      <w:pPr>
        <w:pStyle w:val="PargrafodaLista"/>
        <w:numPr>
          <w:ilvl w:val="0"/>
          <w:numId w:val="54"/>
        </w:numPr>
        <w:ind w:left="709"/>
      </w:pPr>
      <w:r w:rsidRPr="004C2810">
        <w:t>Animais mortos, de pequeno porte.</w:t>
      </w:r>
    </w:p>
    <w:p w:rsidR="00C512B5" w:rsidRPr="004C2810" w:rsidRDefault="00C512B5" w:rsidP="00C512B5">
      <w:pPr>
        <w:ind w:firstLine="709"/>
        <w:rPr>
          <w:rFonts w:cs="Arial"/>
          <w:b/>
        </w:rPr>
      </w:pPr>
      <w:r w:rsidRPr="004C2810">
        <w:rPr>
          <w:rFonts w:cs="Arial"/>
          <w:b/>
        </w:rPr>
        <w:t>Médio gerador</w:t>
      </w:r>
    </w:p>
    <w:p w:rsidR="00C512B5" w:rsidRPr="004C2810" w:rsidRDefault="00C512B5" w:rsidP="00C512B5">
      <w:pPr>
        <w:ind w:firstLine="709"/>
        <w:rPr>
          <w:rFonts w:cs="Arial"/>
        </w:rPr>
      </w:pPr>
      <w:r w:rsidRPr="004C2810">
        <w:rPr>
          <w:rFonts w:cs="Arial"/>
        </w:rPr>
        <w:t>Enquadram-se nesta categoria os estabelecimentos comerciais e industriais que geram entre 100 e 200L/dia de resíduos sólidos.</w:t>
      </w:r>
    </w:p>
    <w:p w:rsidR="00C512B5" w:rsidRPr="004C2810" w:rsidRDefault="00C512B5" w:rsidP="00C512B5">
      <w:pPr>
        <w:ind w:firstLine="709"/>
        <w:rPr>
          <w:rFonts w:cs="Arial"/>
        </w:rPr>
      </w:pPr>
      <w:r w:rsidRPr="004C2810">
        <w:rPr>
          <w:rFonts w:cs="Arial"/>
        </w:rPr>
        <w:t>Para geradores desse porte, a taxa é calculada com base em alíquotas fixas incidentes sobre o valor locativo anual dos imóveis, na porcentagem de 1,5%. Destaca-se que o valor locativo anual dos prédios representa 10% do valor venal.</w:t>
      </w:r>
    </w:p>
    <w:p w:rsidR="00C512B5" w:rsidRPr="004C2810" w:rsidRDefault="00C512B5" w:rsidP="00C512B5">
      <w:pPr>
        <w:ind w:firstLine="709"/>
        <w:rPr>
          <w:rFonts w:cs="Arial"/>
        </w:rPr>
      </w:pPr>
    </w:p>
    <w:p w:rsidR="00C512B5" w:rsidRPr="004C2810" w:rsidRDefault="004D1D76" w:rsidP="00C512B5">
      <w:pPr>
        <w:rPr>
          <w:rFonts w:ascii="Helvetica" w:hAnsi="Helvetica" w:cs="Helvetica"/>
          <w:sz w:val="21"/>
          <w:szCs w:val="21"/>
          <w:shd w:val="clear" w:color="auto" w:fill="FFFFFF"/>
        </w:rPr>
      </w:pPr>
      <m:oMathPara>
        <m:oMath>
          <m:sSub>
            <m:sSubPr>
              <m:ctrlPr>
                <w:rPr>
                  <w:rFonts w:ascii="Cambria Math" w:hAnsi="Cambria Math" w:cs="Helvetica"/>
                  <w:i/>
                  <w:sz w:val="21"/>
                  <w:szCs w:val="21"/>
                  <w:shd w:val="clear" w:color="auto" w:fill="FFFFFF"/>
                </w:rPr>
              </m:ctrlPr>
            </m:sSubPr>
            <m:e>
              <m:r>
                <w:rPr>
                  <w:rFonts w:ascii="Cambria Math" w:hAnsi="Cambria Math" w:cs="Helvetica"/>
                  <w:sz w:val="21"/>
                  <w:szCs w:val="21"/>
                  <w:shd w:val="clear" w:color="auto" w:fill="FFFFFF"/>
                </w:rPr>
                <m:t>Valor</m:t>
              </m:r>
            </m:e>
            <m:sub>
              <m:r>
                <w:rPr>
                  <w:rFonts w:ascii="Cambria Math" w:hAnsi="Cambria Math" w:cs="Helvetica"/>
                  <w:sz w:val="21"/>
                  <w:szCs w:val="21"/>
                  <w:shd w:val="clear" w:color="auto" w:fill="FFFFFF"/>
                </w:rPr>
                <m:t>locativo</m:t>
              </m:r>
            </m:sub>
          </m:sSub>
          <m:d>
            <m:dPr>
              <m:ctrlPr>
                <w:rPr>
                  <w:rFonts w:ascii="Cambria Math" w:hAnsi="Cambria Math" w:cs="Helvetica"/>
                  <w:i/>
                  <w:sz w:val="21"/>
                  <w:szCs w:val="21"/>
                  <w:shd w:val="clear" w:color="auto" w:fill="FFFFFF"/>
                </w:rPr>
              </m:ctrlPr>
            </m:dPr>
            <m:e>
              <m:r>
                <w:rPr>
                  <w:rFonts w:ascii="Cambria Math" w:hAnsi="Cambria Math" w:cs="Helvetica"/>
                  <w:sz w:val="21"/>
                  <w:szCs w:val="21"/>
                  <w:shd w:val="clear" w:color="auto" w:fill="FFFFFF"/>
                </w:rPr>
                <m:t>R$</m:t>
              </m:r>
            </m:e>
          </m:d>
          <m:r>
            <w:rPr>
              <w:rFonts w:ascii="Cambria Math" w:hAnsi="Cambria Math" w:cs="Helvetica"/>
              <w:sz w:val="21"/>
              <w:szCs w:val="21"/>
              <w:shd w:val="clear" w:color="auto" w:fill="FFFFFF"/>
            </w:rPr>
            <m:t>=10%×</m:t>
          </m:r>
          <m:sSub>
            <m:sSubPr>
              <m:ctrlPr>
                <w:rPr>
                  <w:rFonts w:ascii="Cambria Math" w:hAnsi="Cambria Math" w:cs="Helvetica"/>
                  <w:i/>
                  <w:sz w:val="21"/>
                  <w:szCs w:val="21"/>
                  <w:shd w:val="clear" w:color="auto" w:fill="FFFFFF"/>
                </w:rPr>
              </m:ctrlPr>
            </m:sSubPr>
            <m:e>
              <m:r>
                <w:rPr>
                  <w:rFonts w:ascii="Cambria Math" w:hAnsi="Cambria Math" w:cs="Helvetica"/>
                  <w:sz w:val="21"/>
                  <w:szCs w:val="21"/>
                  <w:shd w:val="clear" w:color="auto" w:fill="FFFFFF"/>
                </w:rPr>
                <m:t>Valor</m:t>
              </m:r>
            </m:e>
            <m:sub>
              <m:r>
                <w:rPr>
                  <w:rFonts w:ascii="Cambria Math" w:hAnsi="Cambria Math" w:cs="Helvetica"/>
                  <w:sz w:val="21"/>
                  <w:szCs w:val="21"/>
                  <w:shd w:val="clear" w:color="auto" w:fill="FFFFFF"/>
                </w:rPr>
                <m:t>venal</m:t>
              </m:r>
            </m:sub>
          </m:sSub>
          <m:r>
            <w:rPr>
              <w:rFonts w:ascii="Cambria Math" w:hAnsi="Cambria Math" w:cs="Helvetica"/>
              <w:sz w:val="21"/>
              <w:szCs w:val="21"/>
              <w:shd w:val="clear" w:color="auto" w:fill="FFFFFF"/>
            </w:rPr>
            <m:t>(R$)</m:t>
          </m:r>
        </m:oMath>
      </m:oMathPara>
    </w:p>
    <w:p w:rsidR="00C512B5" w:rsidRPr="004C2810" w:rsidRDefault="004D1D76" w:rsidP="00C512B5">
      <w:pPr>
        <w:rPr>
          <w:rFonts w:cs="Arial"/>
        </w:rPr>
      </w:pPr>
      <m:oMathPara>
        <m:oMath>
          <m:sSub>
            <m:sSubPr>
              <m:ctrlPr>
                <w:rPr>
                  <w:rFonts w:ascii="Cambria Math" w:hAnsi="Cambria Math" w:cs="Arial"/>
                  <w:i/>
                </w:rPr>
              </m:ctrlPr>
            </m:sSubPr>
            <m:e>
              <m:r>
                <w:rPr>
                  <w:rFonts w:ascii="Cambria Math" w:hAnsi="Cambria Math" w:cs="Arial"/>
                </w:rPr>
                <m:t>Taxa</m:t>
              </m:r>
            </m:e>
            <m:sub>
              <m:r>
                <w:rPr>
                  <w:rFonts w:ascii="Cambria Math" w:hAnsi="Cambria Math" w:cs="Arial"/>
                </w:rPr>
                <m:t xml:space="preserve">Lixo </m:t>
              </m:r>
              <m:d>
                <m:dPr>
                  <m:ctrlPr>
                    <w:rPr>
                      <w:rFonts w:ascii="Cambria Math" w:hAnsi="Cambria Math" w:cs="Arial"/>
                      <w:i/>
                    </w:rPr>
                  </m:ctrlPr>
                </m:dPr>
                <m:e>
                  <m:r>
                    <w:rPr>
                      <w:rFonts w:ascii="Cambria Math" w:hAnsi="Cambria Math" w:cs="Arial"/>
                    </w:rPr>
                    <m:t>P</m:t>
                  </m:r>
                </m:e>
              </m:d>
            </m:sub>
          </m:sSub>
          <m:r>
            <w:rPr>
              <w:rFonts w:ascii="Cambria Math" w:hAnsi="Cambria Math" w:cs="Arial"/>
            </w:rPr>
            <m:t>(R$)</m:t>
          </m:r>
          <m:r>
            <w:rPr>
              <w:rFonts w:ascii="Cambria Math" w:hAnsi="Cambria Math" w:cs="Helvetica"/>
              <w:sz w:val="21"/>
              <w:szCs w:val="21"/>
              <w:shd w:val="clear" w:color="auto" w:fill="FFFFFF"/>
            </w:rPr>
            <m:t>=</m:t>
          </m:r>
          <m:sSub>
            <m:sSubPr>
              <m:ctrlPr>
                <w:rPr>
                  <w:rFonts w:ascii="Cambria Math" w:hAnsi="Cambria Math" w:cs="Helvetica"/>
                  <w:i/>
                  <w:sz w:val="21"/>
                  <w:szCs w:val="21"/>
                  <w:shd w:val="clear" w:color="auto" w:fill="FFFFFF"/>
                </w:rPr>
              </m:ctrlPr>
            </m:sSubPr>
            <m:e>
              <m:r>
                <w:rPr>
                  <w:rFonts w:ascii="Cambria Math" w:hAnsi="Cambria Math" w:cs="Helvetica"/>
                  <w:sz w:val="21"/>
                  <w:szCs w:val="21"/>
                  <w:shd w:val="clear" w:color="auto" w:fill="FFFFFF"/>
                </w:rPr>
                <m:t>1,5%×Valor</m:t>
              </m:r>
            </m:e>
            <m:sub>
              <m:r>
                <w:rPr>
                  <w:rFonts w:ascii="Cambria Math" w:hAnsi="Cambria Math" w:cs="Helvetica"/>
                  <w:sz w:val="21"/>
                  <w:szCs w:val="21"/>
                  <w:shd w:val="clear" w:color="auto" w:fill="FFFFFF"/>
                </w:rPr>
                <m:t>locativo</m:t>
              </m:r>
            </m:sub>
          </m:sSub>
          <m:r>
            <w:rPr>
              <w:rFonts w:ascii="Cambria Math" w:hAnsi="Cambria Math" w:cs="Helvetica"/>
              <w:sz w:val="21"/>
              <w:szCs w:val="21"/>
              <w:shd w:val="clear" w:color="auto" w:fill="FFFFFF"/>
            </w:rPr>
            <m:t>(R$)</m:t>
          </m:r>
        </m:oMath>
      </m:oMathPara>
    </w:p>
    <w:p w:rsidR="00C512B5" w:rsidRPr="004C2810" w:rsidRDefault="00C512B5" w:rsidP="00C512B5">
      <w:pPr>
        <w:ind w:firstLine="709"/>
        <w:rPr>
          <w:rFonts w:cs="Arial"/>
        </w:rPr>
      </w:pPr>
    </w:p>
    <w:p w:rsidR="00C512B5" w:rsidRPr="004C2810" w:rsidRDefault="00C512B5" w:rsidP="00C512B5">
      <w:pPr>
        <w:ind w:firstLine="709"/>
        <w:rPr>
          <w:rFonts w:cs="Arial"/>
          <w:b/>
        </w:rPr>
      </w:pPr>
      <w:r w:rsidRPr="004C2810">
        <w:rPr>
          <w:rFonts w:cs="Arial"/>
          <w:b/>
        </w:rPr>
        <w:t>Grande gerador</w:t>
      </w:r>
    </w:p>
    <w:p w:rsidR="00C512B5" w:rsidRPr="004C2810" w:rsidRDefault="00C512B5" w:rsidP="00C512B5">
      <w:pPr>
        <w:ind w:firstLine="709"/>
        <w:rPr>
          <w:rFonts w:cs="Arial"/>
        </w:rPr>
      </w:pPr>
      <w:r w:rsidRPr="004C2810">
        <w:rPr>
          <w:rFonts w:cs="Arial"/>
        </w:rPr>
        <w:t>Enquadram-se nessa categoria os estabelecimentos comerciais e industriais que geram mais de 200L/dia de resíduos sólidos.</w:t>
      </w:r>
    </w:p>
    <w:p w:rsidR="00C512B5" w:rsidRPr="004C2810" w:rsidRDefault="00C512B5" w:rsidP="00C512B5">
      <w:pPr>
        <w:ind w:firstLine="709"/>
        <w:rPr>
          <w:rFonts w:cs="Arial"/>
        </w:rPr>
      </w:pPr>
      <w:r w:rsidRPr="004C2810">
        <w:rPr>
          <w:rFonts w:cs="Arial"/>
        </w:rPr>
        <w:t>Para os geradores deste porte, a taxa é calculada com base em alíquotas fixas incidentes sobre o valor locativo anual dos imóveis, na porcentagem de 3%. Destaca-se que o valor locativo anual dos prédios representa 10% do valor venal.</w:t>
      </w:r>
    </w:p>
    <w:p w:rsidR="00C512B5" w:rsidRPr="004C2810" w:rsidRDefault="00C512B5" w:rsidP="00C512B5">
      <w:pPr>
        <w:ind w:firstLine="709"/>
        <w:rPr>
          <w:rFonts w:ascii="Helvetica" w:hAnsi="Helvetica" w:cs="Helvetica"/>
          <w:sz w:val="21"/>
          <w:szCs w:val="21"/>
          <w:shd w:val="clear" w:color="auto" w:fill="FFFFFF"/>
        </w:rPr>
      </w:pPr>
    </w:p>
    <w:p w:rsidR="00C512B5" w:rsidRPr="004C2810" w:rsidRDefault="004D1D76" w:rsidP="00C512B5">
      <w:pPr>
        <w:rPr>
          <w:rFonts w:ascii="Helvetica" w:hAnsi="Helvetica" w:cs="Helvetica"/>
          <w:sz w:val="21"/>
          <w:szCs w:val="21"/>
          <w:shd w:val="clear" w:color="auto" w:fill="FFFFFF"/>
        </w:rPr>
      </w:pPr>
      <m:oMathPara>
        <m:oMath>
          <m:sSub>
            <m:sSubPr>
              <m:ctrlPr>
                <w:rPr>
                  <w:rFonts w:ascii="Cambria Math" w:hAnsi="Cambria Math" w:cs="Helvetica"/>
                  <w:i/>
                  <w:sz w:val="21"/>
                  <w:szCs w:val="21"/>
                  <w:shd w:val="clear" w:color="auto" w:fill="FFFFFF"/>
                </w:rPr>
              </m:ctrlPr>
            </m:sSubPr>
            <m:e>
              <m:r>
                <w:rPr>
                  <w:rFonts w:ascii="Cambria Math" w:hAnsi="Cambria Math" w:cs="Helvetica"/>
                  <w:sz w:val="21"/>
                  <w:szCs w:val="21"/>
                  <w:shd w:val="clear" w:color="auto" w:fill="FFFFFF"/>
                </w:rPr>
                <m:t>Valor</m:t>
              </m:r>
            </m:e>
            <m:sub>
              <m:r>
                <w:rPr>
                  <w:rFonts w:ascii="Cambria Math" w:hAnsi="Cambria Math" w:cs="Helvetica"/>
                  <w:sz w:val="21"/>
                  <w:szCs w:val="21"/>
                  <w:shd w:val="clear" w:color="auto" w:fill="FFFFFF"/>
                </w:rPr>
                <m:t>locativo</m:t>
              </m:r>
            </m:sub>
          </m:sSub>
          <m:r>
            <w:rPr>
              <w:rFonts w:ascii="Cambria Math" w:hAnsi="Cambria Math" w:cs="Helvetica"/>
              <w:sz w:val="21"/>
              <w:szCs w:val="21"/>
              <w:shd w:val="clear" w:color="auto" w:fill="FFFFFF"/>
            </w:rPr>
            <m:t>(R$) =</m:t>
          </m:r>
          <m:sSub>
            <m:sSubPr>
              <m:ctrlPr>
                <w:rPr>
                  <w:rFonts w:ascii="Cambria Math" w:hAnsi="Cambria Math" w:cs="Helvetica"/>
                  <w:i/>
                  <w:sz w:val="21"/>
                  <w:szCs w:val="21"/>
                  <w:shd w:val="clear" w:color="auto" w:fill="FFFFFF"/>
                </w:rPr>
              </m:ctrlPr>
            </m:sSubPr>
            <m:e>
              <m:r>
                <w:rPr>
                  <w:rFonts w:ascii="Cambria Math" w:hAnsi="Cambria Math" w:cs="Helvetica"/>
                  <w:sz w:val="21"/>
                  <w:szCs w:val="21"/>
                  <w:shd w:val="clear" w:color="auto" w:fill="FFFFFF"/>
                </w:rPr>
                <m:t>10% ×Valor</m:t>
              </m:r>
            </m:e>
            <m:sub>
              <m:r>
                <w:rPr>
                  <w:rFonts w:ascii="Cambria Math" w:hAnsi="Cambria Math" w:cs="Helvetica"/>
                  <w:sz w:val="21"/>
                  <w:szCs w:val="21"/>
                  <w:shd w:val="clear" w:color="auto" w:fill="FFFFFF"/>
                </w:rPr>
                <m:t>venal</m:t>
              </m:r>
            </m:sub>
          </m:sSub>
          <m:r>
            <w:rPr>
              <w:rFonts w:ascii="Cambria Math" w:hAnsi="Cambria Math" w:cs="Helvetica"/>
              <w:sz w:val="21"/>
              <w:szCs w:val="21"/>
              <w:shd w:val="clear" w:color="auto" w:fill="FFFFFF"/>
            </w:rPr>
            <m:t>(R$)</m:t>
          </m:r>
        </m:oMath>
      </m:oMathPara>
    </w:p>
    <w:p w:rsidR="00C512B5" w:rsidRPr="004C2810" w:rsidRDefault="004D1D76" w:rsidP="00C512B5">
      <w:pPr>
        <w:rPr>
          <w:rFonts w:cs="Arial"/>
        </w:rPr>
      </w:pPr>
      <m:oMathPara>
        <m:oMath>
          <m:sSub>
            <m:sSubPr>
              <m:ctrlPr>
                <w:rPr>
                  <w:rFonts w:ascii="Cambria Math" w:hAnsi="Cambria Math" w:cs="Arial"/>
                  <w:i/>
                </w:rPr>
              </m:ctrlPr>
            </m:sSubPr>
            <m:e>
              <m:r>
                <w:rPr>
                  <w:rFonts w:ascii="Cambria Math" w:hAnsi="Cambria Math" w:cs="Arial"/>
                </w:rPr>
                <m:t>Taxa</m:t>
              </m:r>
            </m:e>
            <m:sub>
              <m:r>
                <w:rPr>
                  <w:rFonts w:ascii="Cambria Math" w:hAnsi="Cambria Math" w:cs="Arial"/>
                </w:rPr>
                <m:t xml:space="preserve">Lixo </m:t>
              </m:r>
              <m:d>
                <m:dPr>
                  <m:ctrlPr>
                    <w:rPr>
                      <w:rFonts w:ascii="Cambria Math" w:hAnsi="Cambria Math" w:cs="Arial"/>
                      <w:i/>
                    </w:rPr>
                  </m:ctrlPr>
                </m:dPr>
                <m:e>
                  <m:r>
                    <w:rPr>
                      <w:rFonts w:ascii="Cambria Math" w:hAnsi="Cambria Math" w:cs="Arial"/>
                    </w:rPr>
                    <m:t>P</m:t>
                  </m:r>
                </m:e>
              </m:d>
            </m:sub>
          </m:sSub>
          <m:d>
            <m:dPr>
              <m:ctrlPr>
                <w:rPr>
                  <w:rFonts w:ascii="Cambria Math" w:hAnsi="Cambria Math" w:cs="Arial"/>
                  <w:i/>
                </w:rPr>
              </m:ctrlPr>
            </m:dPr>
            <m:e>
              <m:r>
                <w:rPr>
                  <w:rFonts w:ascii="Cambria Math" w:hAnsi="Cambria Math" w:cs="Arial"/>
                </w:rPr>
                <m:t>R$</m:t>
              </m:r>
            </m:e>
          </m:d>
          <m:r>
            <w:rPr>
              <w:rFonts w:ascii="Cambria Math" w:hAnsi="Cambria Math" w:cs="Helvetica"/>
              <w:sz w:val="21"/>
              <w:szCs w:val="21"/>
              <w:shd w:val="clear" w:color="auto" w:fill="FFFFFF"/>
            </w:rPr>
            <m:t>=3% ×</m:t>
          </m:r>
          <m:sSub>
            <m:sSubPr>
              <m:ctrlPr>
                <w:rPr>
                  <w:rFonts w:ascii="Cambria Math" w:hAnsi="Cambria Math" w:cs="Helvetica"/>
                  <w:i/>
                  <w:sz w:val="21"/>
                  <w:szCs w:val="21"/>
                  <w:shd w:val="clear" w:color="auto" w:fill="FFFFFF"/>
                </w:rPr>
              </m:ctrlPr>
            </m:sSubPr>
            <m:e>
              <m:r>
                <w:rPr>
                  <w:rFonts w:ascii="Cambria Math" w:hAnsi="Cambria Math" w:cs="Helvetica"/>
                  <w:sz w:val="21"/>
                  <w:szCs w:val="21"/>
                  <w:shd w:val="clear" w:color="auto" w:fill="FFFFFF"/>
                </w:rPr>
                <m:t>Valor</m:t>
              </m:r>
            </m:e>
            <m:sub>
              <m:r>
                <w:rPr>
                  <w:rFonts w:ascii="Cambria Math" w:hAnsi="Cambria Math" w:cs="Helvetica"/>
                  <w:sz w:val="21"/>
                  <w:szCs w:val="21"/>
                  <w:shd w:val="clear" w:color="auto" w:fill="FFFFFF"/>
                </w:rPr>
                <m:t>locativo</m:t>
              </m:r>
            </m:sub>
          </m:sSub>
          <m:r>
            <w:rPr>
              <w:rFonts w:ascii="Cambria Math" w:hAnsi="Cambria Math" w:cs="Helvetica"/>
              <w:sz w:val="21"/>
              <w:szCs w:val="21"/>
              <w:shd w:val="clear" w:color="auto" w:fill="FFFFFF"/>
            </w:rPr>
            <m:t>(R$)</m:t>
          </m:r>
        </m:oMath>
      </m:oMathPara>
    </w:p>
    <w:p w:rsidR="00C512B5" w:rsidRPr="004C2810" w:rsidRDefault="00C512B5" w:rsidP="00C512B5">
      <w:pPr>
        <w:rPr>
          <w:rFonts w:cs="Arial"/>
        </w:rPr>
      </w:pPr>
    </w:p>
    <w:p w:rsidR="00C512B5" w:rsidRPr="004C2810" w:rsidRDefault="00C512B5" w:rsidP="00C512B5">
      <w:pPr>
        <w:ind w:firstLine="709"/>
        <w:rPr>
          <w:rFonts w:cs="Arial"/>
        </w:rPr>
      </w:pPr>
      <w:r w:rsidRPr="004C2810">
        <w:rPr>
          <w:rFonts w:cs="Arial"/>
        </w:rPr>
        <w:t xml:space="preserve">Os médios e grandes geradores que tiverem interesse em que a Prefeitura Municipal colete seus resíduos deverão proceder à comunicação formal e se cadastrar </w:t>
      </w:r>
      <w:r w:rsidRPr="004C2810">
        <w:rPr>
          <w:rFonts w:cs="Arial"/>
        </w:rPr>
        <w:lastRenderedPageBreak/>
        <w:t>junto à administração pública do município. Nesses casos, a Prefeitura poderá realizar a retirada dos seguintes materiais, mediante pagamento:</w:t>
      </w:r>
    </w:p>
    <w:p w:rsidR="00C512B5" w:rsidRPr="004C2810" w:rsidRDefault="00C512B5" w:rsidP="00A87269">
      <w:pPr>
        <w:pStyle w:val="PargrafodaLista"/>
        <w:numPr>
          <w:ilvl w:val="0"/>
          <w:numId w:val="55"/>
        </w:numPr>
      </w:pPr>
      <w:r w:rsidRPr="004C2810">
        <w:t>Animais mortos de grande porte.</w:t>
      </w:r>
    </w:p>
    <w:p w:rsidR="00C512B5" w:rsidRPr="004C2810" w:rsidRDefault="00C512B5" w:rsidP="00A87269">
      <w:pPr>
        <w:pStyle w:val="PargrafodaLista"/>
        <w:numPr>
          <w:ilvl w:val="0"/>
          <w:numId w:val="55"/>
        </w:numPr>
      </w:pPr>
      <w:r w:rsidRPr="004C2810">
        <w:t>Móveis, colchões, utensílios, sobras de mudanças e outros similares, cujos volumes excedam o limite de 100L/dia.</w:t>
      </w:r>
    </w:p>
    <w:p w:rsidR="00C512B5" w:rsidRPr="004C2810" w:rsidRDefault="00C512B5" w:rsidP="00A87269">
      <w:pPr>
        <w:pStyle w:val="PargrafodaLista"/>
        <w:numPr>
          <w:ilvl w:val="0"/>
          <w:numId w:val="55"/>
        </w:numPr>
      </w:pPr>
      <w:r w:rsidRPr="004C2810">
        <w:t>Restos de limpeza e de poda que excedam o volume de 100L.</w:t>
      </w:r>
    </w:p>
    <w:p w:rsidR="00C512B5" w:rsidRPr="004C2810" w:rsidRDefault="00C512B5" w:rsidP="00A87269">
      <w:pPr>
        <w:pStyle w:val="PargrafodaLista"/>
        <w:numPr>
          <w:ilvl w:val="0"/>
          <w:numId w:val="55"/>
        </w:numPr>
      </w:pPr>
      <w:r w:rsidRPr="004C2810">
        <w:t>Resíduos industriais ou comerciais, não perigosos, de volume superior a 100L.</w:t>
      </w:r>
    </w:p>
    <w:p w:rsidR="00C512B5" w:rsidRDefault="00C512B5" w:rsidP="00A87269">
      <w:pPr>
        <w:pStyle w:val="PargrafodaLista"/>
        <w:numPr>
          <w:ilvl w:val="0"/>
          <w:numId w:val="55"/>
        </w:numPr>
      </w:pPr>
      <w:r w:rsidRPr="004C2810">
        <w:t>Entulho, terra e sobras de materiais de construção de volume superior a 50L.</w:t>
      </w:r>
    </w:p>
    <w:p w:rsidR="00C512B5" w:rsidRPr="004C2810" w:rsidRDefault="00C512B5" w:rsidP="002828C8">
      <w:pPr>
        <w:pStyle w:val="Ttulo5"/>
      </w:pPr>
      <w:bookmarkStart w:id="291" w:name="_Toc447896759"/>
      <w:bookmarkStart w:id="292" w:name="_Toc487204533"/>
      <w:bookmarkStart w:id="293" w:name="_Toc497469026"/>
      <w:r w:rsidRPr="004C2810">
        <w:t>Cálculo baseado na área construída do imóvel</w:t>
      </w:r>
      <w:bookmarkEnd w:id="291"/>
      <w:bookmarkEnd w:id="292"/>
      <w:bookmarkEnd w:id="293"/>
    </w:p>
    <w:p w:rsidR="00C512B5" w:rsidRPr="004C2810" w:rsidRDefault="00C512B5" w:rsidP="00C512B5">
      <w:pPr>
        <w:ind w:firstLine="709"/>
        <w:rPr>
          <w:lang w:eastAsia="pt-BR"/>
        </w:rPr>
      </w:pPr>
      <w:r w:rsidRPr="004C2810">
        <w:rPr>
          <w:lang w:eastAsia="pt-BR"/>
        </w:rPr>
        <w:t xml:space="preserve">Este método leva em consideração a área construída do imóvel ou ainda sua testada, partindo do pressuposto de que a geração de lixo é diretamente proporcional ao tamanho do imóvel. Neste caso, em geral, a taxa de coleta de lixo é calculada pelo produto de um fator de referência tabelado, que pode ser relacionado à localização e/ou tipo (domiciliar, comercial ou industrial) do imóvel; à área construída e da Unidade Fiscal do Município (UFM). Ao acrescentar a variável referente à dimensão do imóvel essa metodologia busca tornar a taxa mais justa, cobrando mais dos usuários que gerem maior pressão sobre o </w:t>
      </w:r>
      <w:r w:rsidRPr="004C2810">
        <w:rPr>
          <w:rFonts w:cs="Arial"/>
        </w:rPr>
        <w:t>sistema de limpeza urbana e manejo de resíduos sólidos.</w:t>
      </w:r>
    </w:p>
    <w:p w:rsidR="00C512B5" w:rsidRPr="004C2810" w:rsidRDefault="004D1D76" w:rsidP="00C512B5">
      <w:pPr>
        <w:pStyle w:val="figura"/>
      </w:pPr>
      <m:oMathPara>
        <m:oMath>
          <m:sSub>
            <m:sSubPr>
              <m:ctrlPr>
                <w:rPr>
                  <w:rFonts w:ascii="Cambria Math" w:hAnsi="Cambria Math"/>
                </w:rPr>
              </m:ctrlPr>
            </m:sSubPr>
            <m:e>
              <m:r>
                <w:rPr>
                  <w:rFonts w:ascii="Cambria Math" w:hAnsi="Cambria Math"/>
                </w:rPr>
                <m:t>Taxa</m:t>
              </m:r>
            </m:e>
            <m:sub>
              <m:r>
                <w:rPr>
                  <w:rFonts w:ascii="Cambria Math" w:hAnsi="Cambria Math"/>
                </w:rPr>
                <m:t>lixo</m:t>
              </m:r>
            </m:sub>
          </m:sSub>
          <m:r>
            <m:rPr>
              <m:sty m:val="p"/>
            </m:rPr>
            <w:rPr>
              <w:rFonts w:ascii="Cambria Math" w:hAnsi="Cambria Math"/>
            </w:rPr>
            <m:t>=</m:t>
          </m:r>
          <m:r>
            <w:rPr>
              <w:rFonts w:ascii="Cambria Math" w:hAnsi="Cambria Math"/>
            </w:rPr>
            <m:t>fator</m:t>
          </m:r>
          <m:r>
            <m:rPr>
              <m:sty m:val="p"/>
            </m:rPr>
            <w:rPr>
              <w:rFonts w:ascii="Cambria Math" w:hAnsi="Cambria Math"/>
            </w:rPr>
            <m:t xml:space="preserve"> </m:t>
          </m:r>
          <m:r>
            <w:rPr>
              <w:rFonts w:ascii="Cambria Math" w:hAnsi="Cambria Math"/>
            </w:rPr>
            <m:t>de</m:t>
          </m:r>
          <m:r>
            <m:rPr>
              <m:sty m:val="p"/>
            </m:rPr>
            <w:rPr>
              <w:rFonts w:ascii="Cambria Math" w:hAnsi="Cambria Math"/>
            </w:rPr>
            <m:t xml:space="preserve"> </m:t>
          </m:r>
          <m:r>
            <w:rPr>
              <w:rFonts w:ascii="Cambria Math" w:hAnsi="Cambria Math"/>
            </w:rPr>
            <m:t>refer</m:t>
          </m:r>
          <m:r>
            <m:rPr>
              <m:sty m:val="p"/>
            </m:rPr>
            <w:rPr>
              <w:rFonts w:ascii="Cambria Math" w:hAnsi="Cambria Math"/>
            </w:rPr>
            <m:t>ê</m:t>
          </m:r>
          <m:r>
            <w:rPr>
              <w:rFonts w:ascii="Cambria Math" w:hAnsi="Cambria Math"/>
            </w:rPr>
            <m:t>ncia</m:t>
          </m:r>
          <m:r>
            <m:rPr>
              <m:sty m:val="p"/>
            </m:rPr>
            <w:rPr>
              <w:rFonts w:ascii="Cambria Math" w:hAnsi="Cambria Math"/>
            </w:rPr>
            <m:t>×á</m:t>
          </m:r>
          <m:r>
            <w:rPr>
              <w:rFonts w:ascii="Cambria Math" w:hAnsi="Cambria Math"/>
            </w:rPr>
            <m:t>rea</m:t>
          </m:r>
          <m:r>
            <m:rPr>
              <m:sty m:val="p"/>
            </m:rPr>
            <w:rPr>
              <w:rFonts w:ascii="Cambria Math" w:hAnsi="Cambria Math"/>
            </w:rPr>
            <m:t xml:space="preserve"> </m:t>
          </m:r>
          <m:r>
            <w:rPr>
              <w:rFonts w:ascii="Cambria Math" w:hAnsi="Cambria Math"/>
            </w:rPr>
            <m:t>constru</m:t>
          </m:r>
          <m:r>
            <m:rPr>
              <m:sty m:val="p"/>
            </m:rPr>
            <w:rPr>
              <w:rFonts w:ascii="Cambria Math" w:hAnsi="Cambria Math"/>
            </w:rPr>
            <m:t>í</m:t>
          </m:r>
          <m:r>
            <w:rPr>
              <w:rFonts w:ascii="Cambria Math" w:hAnsi="Cambria Math"/>
            </w:rPr>
            <m:t>da</m:t>
          </m:r>
          <m:r>
            <m:rPr>
              <m:sty m:val="p"/>
            </m:rPr>
            <w:rPr>
              <w:rFonts w:ascii="Cambria Math" w:hAnsi="Cambria Math"/>
            </w:rPr>
            <m:t xml:space="preserve"> </m:t>
          </m:r>
          <m:r>
            <w:rPr>
              <w:rFonts w:ascii="Cambria Math" w:hAnsi="Cambria Math"/>
            </w:rPr>
            <m:t>ou</m:t>
          </m:r>
          <m:r>
            <m:rPr>
              <m:sty m:val="p"/>
            </m:rPr>
            <w:rPr>
              <w:rFonts w:ascii="Cambria Math" w:hAnsi="Cambria Math"/>
            </w:rPr>
            <m:t xml:space="preserve"> </m:t>
          </m:r>
          <m:r>
            <w:rPr>
              <w:rFonts w:ascii="Cambria Math" w:hAnsi="Cambria Math"/>
            </w:rPr>
            <m:t>testada</m:t>
          </m:r>
          <m:r>
            <m:rPr>
              <m:sty m:val="p"/>
            </m:rPr>
            <w:rPr>
              <w:rFonts w:ascii="Cambria Math" w:hAnsi="Cambria Math"/>
            </w:rPr>
            <m:t xml:space="preserve"> </m:t>
          </m:r>
          <m:r>
            <w:rPr>
              <w:rFonts w:ascii="Cambria Math" w:hAnsi="Cambria Math"/>
            </w:rPr>
            <m:t>do</m:t>
          </m:r>
          <m:r>
            <m:rPr>
              <m:sty m:val="p"/>
            </m:rPr>
            <w:rPr>
              <w:rFonts w:ascii="Cambria Math" w:hAnsi="Cambria Math"/>
            </w:rPr>
            <m:t xml:space="preserve"> </m:t>
          </m:r>
          <m:r>
            <w:rPr>
              <w:rFonts w:ascii="Cambria Math" w:hAnsi="Cambria Math"/>
            </w:rPr>
            <m:t>im</m:t>
          </m:r>
          <m:r>
            <m:rPr>
              <m:sty m:val="p"/>
            </m:rPr>
            <w:rPr>
              <w:rFonts w:ascii="Cambria Math" w:hAnsi="Cambria Math"/>
            </w:rPr>
            <m:t>ó</m:t>
          </m:r>
          <m:r>
            <w:rPr>
              <w:rFonts w:ascii="Cambria Math" w:hAnsi="Cambria Math"/>
            </w:rPr>
            <m:t>vel</m:t>
          </m:r>
          <m:r>
            <m:rPr>
              <m:sty m:val="p"/>
            </m:rPr>
            <w:rPr>
              <w:rFonts w:ascii="Cambria Math" w:hAnsi="Cambria Math"/>
            </w:rPr>
            <m:t>×</m:t>
          </m:r>
          <m:r>
            <w:rPr>
              <w:rFonts w:ascii="Cambria Math" w:hAnsi="Cambria Math"/>
            </w:rPr>
            <m:t>UFM</m:t>
          </m:r>
        </m:oMath>
      </m:oMathPara>
    </w:p>
    <w:p w:rsidR="00C512B5" w:rsidRPr="004C2810" w:rsidRDefault="00C512B5" w:rsidP="00C512B5">
      <w:pPr>
        <w:ind w:firstLine="709"/>
        <w:rPr>
          <w:lang w:eastAsia="pt-BR"/>
        </w:rPr>
      </w:pPr>
    </w:p>
    <w:p w:rsidR="00C512B5" w:rsidRPr="004C2810" w:rsidRDefault="00C512B5" w:rsidP="00C512B5">
      <w:pPr>
        <w:ind w:firstLine="709"/>
        <w:rPr>
          <w:rFonts w:eastAsiaTheme="minorEastAsia"/>
          <w:lang w:eastAsia="pt-BR"/>
        </w:rPr>
      </w:pPr>
      <w:r w:rsidRPr="004C2810">
        <w:rPr>
          <w:rFonts w:eastAsiaTheme="minorEastAsia"/>
          <w:lang w:eastAsia="pt-BR"/>
        </w:rPr>
        <w:t xml:space="preserve">A fim de ilustrar a metodologia, foi realizada uma simulação considerando UFM = R$20,00 e os fatores de referência da </w:t>
      </w:r>
      <w:r w:rsidRPr="004C2810">
        <w:rPr>
          <w:rFonts w:eastAsiaTheme="minorEastAsia"/>
          <w:lang w:eastAsia="pt-BR"/>
        </w:rPr>
        <w:fldChar w:fldCharType="begin"/>
      </w:r>
      <w:r w:rsidRPr="004C2810">
        <w:rPr>
          <w:rFonts w:eastAsiaTheme="minorEastAsia"/>
          <w:lang w:eastAsia="pt-BR"/>
        </w:rPr>
        <w:instrText xml:space="preserve"> REF _Ref435178729 \h  \* MERGEFORMAT </w:instrText>
      </w:r>
      <w:r w:rsidRPr="004C2810">
        <w:rPr>
          <w:rFonts w:eastAsiaTheme="minorEastAsia"/>
          <w:lang w:eastAsia="pt-BR"/>
        </w:rPr>
      </w:r>
      <w:r w:rsidRPr="004C2810">
        <w:rPr>
          <w:rFonts w:eastAsiaTheme="minorEastAsia"/>
          <w:lang w:eastAsia="pt-BR"/>
        </w:rPr>
        <w:fldChar w:fldCharType="separate"/>
      </w:r>
      <w:r w:rsidR="004D1D76" w:rsidRPr="004C2810">
        <w:t xml:space="preserve">Tabela </w:t>
      </w:r>
      <w:r w:rsidR="004D1D76">
        <w:rPr>
          <w:noProof/>
        </w:rPr>
        <w:t>7</w:t>
      </w:r>
      <w:r w:rsidRPr="004C2810">
        <w:rPr>
          <w:rFonts w:eastAsiaTheme="minorEastAsia"/>
          <w:lang w:eastAsia="pt-BR"/>
        </w:rPr>
        <w:fldChar w:fldCharType="end"/>
      </w:r>
      <w:r w:rsidRPr="004C2810">
        <w:rPr>
          <w:rFonts w:eastAsiaTheme="minorEastAsia"/>
          <w:lang w:eastAsia="pt-BR"/>
        </w:rPr>
        <w:t>, que consideram o tipo do imóvel (residencial ou comercial) e sua localização, supondo uma divisão hipotética do município em três zonas residenciais e duas comerciais, conforme ilustrado na tabela apresentada a seguir.</w:t>
      </w:r>
    </w:p>
    <w:p w:rsidR="00C512B5" w:rsidRPr="004C2810" w:rsidRDefault="00C512B5" w:rsidP="00C512B5">
      <w:pPr>
        <w:pStyle w:val="Legenda"/>
      </w:pPr>
      <w:bookmarkStart w:id="294" w:name="_Ref435178729"/>
      <w:bookmarkStart w:id="295" w:name="_Toc447896842"/>
      <w:bookmarkStart w:id="296" w:name="_Toc487204721"/>
      <w:bookmarkStart w:id="297" w:name="_Toc497469209"/>
      <w:r w:rsidRPr="004C2810">
        <w:t xml:space="preserve">Tabela </w:t>
      </w:r>
      <w:r w:rsidR="00D71C43">
        <w:fldChar w:fldCharType="begin"/>
      </w:r>
      <w:r w:rsidR="00D71C43">
        <w:instrText xml:space="preserve"> SEQ Tabela \* ARABIC </w:instrText>
      </w:r>
      <w:r w:rsidR="00D71C43">
        <w:fldChar w:fldCharType="separate"/>
      </w:r>
      <w:r w:rsidR="004D1D76">
        <w:rPr>
          <w:noProof/>
        </w:rPr>
        <w:t>7</w:t>
      </w:r>
      <w:r w:rsidR="00D71C43">
        <w:rPr>
          <w:noProof/>
        </w:rPr>
        <w:fldChar w:fldCharType="end"/>
      </w:r>
      <w:bookmarkEnd w:id="294"/>
      <w:r w:rsidRPr="004C2810">
        <w:t xml:space="preserve"> - Fatores de referência hipotéticos para o cálculo da taxa de coleta de lixo baseado na área construída do imóvel</w:t>
      </w:r>
      <w:bookmarkEnd w:id="295"/>
      <w:bookmarkEnd w:id="296"/>
      <w:bookmarkEnd w:id="297"/>
    </w:p>
    <w:tbl>
      <w:tblPr>
        <w:tblStyle w:val="Tabelacomgrade"/>
        <w:tblW w:w="0" w:type="auto"/>
        <w:jc w:val="center"/>
        <w:tblBorders>
          <w:left w:val="none" w:sz="0" w:space="0" w:color="auto"/>
          <w:right w:val="none" w:sz="0" w:space="0" w:color="auto"/>
        </w:tblBorders>
        <w:tblLook w:val="04A0" w:firstRow="1" w:lastRow="0" w:firstColumn="1" w:lastColumn="0" w:noHBand="0" w:noVBand="1"/>
      </w:tblPr>
      <w:tblGrid>
        <w:gridCol w:w="751"/>
        <w:gridCol w:w="1715"/>
        <w:gridCol w:w="2467"/>
      </w:tblGrid>
      <w:tr w:rsidR="00C512B5" w:rsidRPr="004C2810" w:rsidTr="000232EC">
        <w:trPr>
          <w:trHeight w:val="340"/>
          <w:jc w:val="center"/>
        </w:trPr>
        <w:tc>
          <w:tcPr>
            <w:tcW w:w="2466" w:type="dxa"/>
            <w:gridSpan w:val="2"/>
            <w:noWrap/>
            <w:vAlign w:val="center"/>
            <w:hideMark/>
          </w:tcPr>
          <w:p w:rsidR="00C512B5" w:rsidRPr="004C2810" w:rsidRDefault="00C512B5" w:rsidP="000232EC">
            <w:pPr>
              <w:spacing w:line="240" w:lineRule="auto"/>
              <w:jc w:val="center"/>
              <w:rPr>
                <w:rFonts w:eastAsiaTheme="minorEastAsia"/>
                <w:b/>
                <w:sz w:val="20"/>
                <w:lang w:eastAsia="pt-BR"/>
              </w:rPr>
            </w:pPr>
            <w:r w:rsidRPr="004C2810">
              <w:rPr>
                <w:rFonts w:eastAsiaTheme="minorEastAsia"/>
                <w:b/>
                <w:sz w:val="20"/>
                <w:lang w:eastAsia="pt-BR"/>
              </w:rPr>
              <w:t>Zonas</w:t>
            </w:r>
          </w:p>
        </w:tc>
        <w:tc>
          <w:tcPr>
            <w:tcW w:w="2467" w:type="dxa"/>
            <w:noWrap/>
            <w:vAlign w:val="center"/>
            <w:hideMark/>
          </w:tcPr>
          <w:p w:rsidR="00C512B5" w:rsidRPr="004C2810" w:rsidRDefault="00C512B5" w:rsidP="000232EC">
            <w:pPr>
              <w:spacing w:line="240" w:lineRule="auto"/>
              <w:jc w:val="center"/>
              <w:rPr>
                <w:rFonts w:eastAsiaTheme="minorEastAsia"/>
                <w:b/>
                <w:sz w:val="20"/>
                <w:lang w:eastAsia="pt-BR"/>
              </w:rPr>
            </w:pPr>
            <w:r w:rsidRPr="004C2810">
              <w:rPr>
                <w:rFonts w:eastAsiaTheme="minorEastAsia"/>
                <w:b/>
                <w:sz w:val="20"/>
                <w:lang w:eastAsia="pt-BR"/>
              </w:rPr>
              <w:t>Fator de referência</w:t>
            </w:r>
          </w:p>
        </w:tc>
      </w:tr>
      <w:tr w:rsidR="00C512B5" w:rsidRPr="004C2810" w:rsidTr="000232EC">
        <w:trPr>
          <w:trHeight w:val="340"/>
          <w:jc w:val="center"/>
        </w:trPr>
        <w:tc>
          <w:tcPr>
            <w:tcW w:w="751" w:type="dxa"/>
            <w:noWrap/>
            <w:vAlign w:val="center"/>
            <w:hideMark/>
          </w:tcPr>
          <w:p w:rsidR="00C512B5" w:rsidRPr="004C2810" w:rsidRDefault="00C512B5" w:rsidP="000232EC">
            <w:pPr>
              <w:spacing w:line="240" w:lineRule="auto"/>
              <w:jc w:val="center"/>
              <w:rPr>
                <w:rFonts w:eastAsiaTheme="minorEastAsia"/>
                <w:b/>
                <w:sz w:val="20"/>
                <w:lang w:eastAsia="pt-BR"/>
              </w:rPr>
            </w:pPr>
            <w:r w:rsidRPr="004C2810">
              <w:rPr>
                <w:rFonts w:eastAsiaTheme="minorEastAsia"/>
                <w:b/>
                <w:sz w:val="20"/>
                <w:lang w:eastAsia="pt-BR"/>
              </w:rPr>
              <w:t>A</w:t>
            </w:r>
          </w:p>
        </w:tc>
        <w:tc>
          <w:tcPr>
            <w:tcW w:w="1715" w:type="dxa"/>
            <w:noWrap/>
            <w:vAlign w:val="center"/>
            <w:hideMark/>
          </w:tcPr>
          <w:p w:rsidR="00C512B5" w:rsidRPr="004C2810" w:rsidRDefault="00C512B5" w:rsidP="000232EC">
            <w:pPr>
              <w:spacing w:line="240" w:lineRule="auto"/>
              <w:jc w:val="center"/>
              <w:rPr>
                <w:rFonts w:eastAsiaTheme="minorEastAsia"/>
                <w:b/>
                <w:sz w:val="20"/>
                <w:lang w:eastAsia="pt-BR"/>
              </w:rPr>
            </w:pPr>
            <w:r w:rsidRPr="004C2810">
              <w:rPr>
                <w:rFonts w:eastAsiaTheme="minorEastAsia"/>
                <w:b/>
                <w:sz w:val="20"/>
                <w:lang w:eastAsia="pt-BR"/>
              </w:rPr>
              <w:t>Residencial 1</w:t>
            </w:r>
          </w:p>
        </w:tc>
        <w:tc>
          <w:tcPr>
            <w:tcW w:w="2467" w:type="dxa"/>
            <w:noWrap/>
            <w:vAlign w:val="center"/>
            <w:hideMark/>
          </w:tcPr>
          <w:p w:rsidR="00C512B5" w:rsidRPr="004C2810" w:rsidRDefault="00C512B5" w:rsidP="004C2810">
            <w:pPr>
              <w:spacing w:line="240" w:lineRule="auto"/>
              <w:jc w:val="right"/>
              <w:rPr>
                <w:rFonts w:cs="Arial"/>
                <w:sz w:val="20"/>
                <w:lang w:eastAsia="pt-BR"/>
              </w:rPr>
            </w:pPr>
            <w:r w:rsidRPr="004C2810">
              <w:rPr>
                <w:rFonts w:cs="Arial"/>
                <w:sz w:val="20"/>
                <w:lang w:eastAsia="pt-BR"/>
              </w:rPr>
              <w:t>0,1</w:t>
            </w:r>
            <w:r w:rsidR="004C2810">
              <w:rPr>
                <w:rFonts w:cs="Arial"/>
                <w:sz w:val="20"/>
                <w:lang w:eastAsia="pt-BR"/>
              </w:rPr>
              <w:t>5</w:t>
            </w:r>
          </w:p>
        </w:tc>
      </w:tr>
      <w:tr w:rsidR="00C512B5" w:rsidRPr="004C2810" w:rsidTr="000232EC">
        <w:trPr>
          <w:trHeight w:val="340"/>
          <w:jc w:val="center"/>
        </w:trPr>
        <w:tc>
          <w:tcPr>
            <w:tcW w:w="751" w:type="dxa"/>
            <w:noWrap/>
            <w:vAlign w:val="center"/>
            <w:hideMark/>
          </w:tcPr>
          <w:p w:rsidR="00C512B5" w:rsidRPr="004C2810" w:rsidRDefault="00C512B5" w:rsidP="000232EC">
            <w:pPr>
              <w:spacing w:line="240" w:lineRule="auto"/>
              <w:jc w:val="center"/>
              <w:rPr>
                <w:rFonts w:eastAsiaTheme="minorEastAsia"/>
                <w:b/>
                <w:sz w:val="20"/>
                <w:lang w:eastAsia="pt-BR"/>
              </w:rPr>
            </w:pPr>
            <w:r w:rsidRPr="004C2810">
              <w:rPr>
                <w:rFonts w:eastAsiaTheme="minorEastAsia"/>
                <w:b/>
                <w:sz w:val="20"/>
                <w:lang w:eastAsia="pt-BR"/>
              </w:rPr>
              <w:t>B</w:t>
            </w:r>
          </w:p>
        </w:tc>
        <w:tc>
          <w:tcPr>
            <w:tcW w:w="1715" w:type="dxa"/>
            <w:noWrap/>
            <w:vAlign w:val="center"/>
            <w:hideMark/>
          </w:tcPr>
          <w:p w:rsidR="00C512B5" w:rsidRPr="004C2810" w:rsidRDefault="00C512B5" w:rsidP="000232EC">
            <w:pPr>
              <w:spacing w:line="240" w:lineRule="auto"/>
              <w:jc w:val="center"/>
              <w:rPr>
                <w:rFonts w:eastAsiaTheme="minorEastAsia"/>
                <w:b/>
                <w:sz w:val="20"/>
                <w:lang w:eastAsia="pt-BR"/>
              </w:rPr>
            </w:pPr>
            <w:r w:rsidRPr="004C2810">
              <w:rPr>
                <w:rFonts w:eastAsiaTheme="minorEastAsia"/>
                <w:b/>
                <w:sz w:val="20"/>
                <w:lang w:eastAsia="pt-BR"/>
              </w:rPr>
              <w:t>Residencial 2</w:t>
            </w:r>
          </w:p>
        </w:tc>
        <w:tc>
          <w:tcPr>
            <w:tcW w:w="2467" w:type="dxa"/>
            <w:noWrap/>
            <w:vAlign w:val="center"/>
            <w:hideMark/>
          </w:tcPr>
          <w:p w:rsidR="00C512B5" w:rsidRPr="004C2810" w:rsidRDefault="00C512B5" w:rsidP="004C2810">
            <w:pPr>
              <w:spacing w:line="240" w:lineRule="auto"/>
              <w:jc w:val="right"/>
              <w:rPr>
                <w:rFonts w:cs="Arial"/>
                <w:sz w:val="20"/>
                <w:lang w:eastAsia="pt-BR"/>
              </w:rPr>
            </w:pPr>
            <w:r w:rsidRPr="004C2810">
              <w:rPr>
                <w:rFonts w:cs="Arial"/>
                <w:sz w:val="20"/>
                <w:lang w:eastAsia="pt-BR"/>
              </w:rPr>
              <w:t>0,</w:t>
            </w:r>
            <w:r w:rsidR="004C2810">
              <w:rPr>
                <w:rFonts w:cs="Arial"/>
                <w:sz w:val="20"/>
                <w:lang w:eastAsia="pt-BR"/>
              </w:rPr>
              <w:t>20</w:t>
            </w:r>
          </w:p>
        </w:tc>
      </w:tr>
      <w:tr w:rsidR="00C512B5" w:rsidRPr="004C2810" w:rsidTr="000232EC">
        <w:trPr>
          <w:trHeight w:val="340"/>
          <w:jc w:val="center"/>
        </w:trPr>
        <w:tc>
          <w:tcPr>
            <w:tcW w:w="751" w:type="dxa"/>
            <w:noWrap/>
            <w:vAlign w:val="center"/>
            <w:hideMark/>
          </w:tcPr>
          <w:p w:rsidR="00C512B5" w:rsidRPr="004C2810" w:rsidRDefault="00C512B5" w:rsidP="000232EC">
            <w:pPr>
              <w:spacing w:line="240" w:lineRule="auto"/>
              <w:jc w:val="center"/>
              <w:rPr>
                <w:rFonts w:eastAsiaTheme="minorEastAsia"/>
                <w:b/>
                <w:sz w:val="20"/>
                <w:lang w:eastAsia="pt-BR"/>
              </w:rPr>
            </w:pPr>
            <w:r w:rsidRPr="004C2810">
              <w:rPr>
                <w:rFonts w:eastAsiaTheme="minorEastAsia"/>
                <w:b/>
                <w:sz w:val="20"/>
                <w:lang w:eastAsia="pt-BR"/>
              </w:rPr>
              <w:t>C</w:t>
            </w:r>
          </w:p>
        </w:tc>
        <w:tc>
          <w:tcPr>
            <w:tcW w:w="1715" w:type="dxa"/>
            <w:noWrap/>
            <w:vAlign w:val="center"/>
            <w:hideMark/>
          </w:tcPr>
          <w:p w:rsidR="00C512B5" w:rsidRPr="004C2810" w:rsidRDefault="00C512B5" w:rsidP="000232EC">
            <w:pPr>
              <w:spacing w:line="240" w:lineRule="auto"/>
              <w:jc w:val="center"/>
              <w:rPr>
                <w:rFonts w:eastAsiaTheme="minorEastAsia"/>
                <w:b/>
                <w:sz w:val="20"/>
                <w:lang w:eastAsia="pt-BR"/>
              </w:rPr>
            </w:pPr>
            <w:r w:rsidRPr="004C2810">
              <w:rPr>
                <w:rFonts w:eastAsiaTheme="minorEastAsia"/>
                <w:b/>
                <w:sz w:val="20"/>
                <w:lang w:eastAsia="pt-BR"/>
              </w:rPr>
              <w:t>Residencial 3</w:t>
            </w:r>
          </w:p>
        </w:tc>
        <w:tc>
          <w:tcPr>
            <w:tcW w:w="2467" w:type="dxa"/>
            <w:noWrap/>
            <w:vAlign w:val="center"/>
            <w:hideMark/>
          </w:tcPr>
          <w:p w:rsidR="00C512B5" w:rsidRPr="004C2810" w:rsidRDefault="00C512B5" w:rsidP="004C2810">
            <w:pPr>
              <w:spacing w:line="240" w:lineRule="auto"/>
              <w:jc w:val="right"/>
              <w:rPr>
                <w:rFonts w:cs="Arial"/>
                <w:sz w:val="20"/>
                <w:lang w:eastAsia="pt-BR"/>
              </w:rPr>
            </w:pPr>
            <w:r w:rsidRPr="004C2810">
              <w:rPr>
                <w:rFonts w:cs="Arial"/>
                <w:sz w:val="20"/>
                <w:lang w:eastAsia="pt-BR"/>
              </w:rPr>
              <w:t>0,2</w:t>
            </w:r>
            <w:r w:rsidR="004C2810">
              <w:rPr>
                <w:rFonts w:cs="Arial"/>
                <w:sz w:val="20"/>
                <w:lang w:eastAsia="pt-BR"/>
              </w:rPr>
              <w:t>5</w:t>
            </w:r>
          </w:p>
        </w:tc>
      </w:tr>
      <w:tr w:rsidR="00C512B5" w:rsidRPr="004C2810" w:rsidTr="000232EC">
        <w:trPr>
          <w:trHeight w:val="340"/>
          <w:jc w:val="center"/>
        </w:trPr>
        <w:tc>
          <w:tcPr>
            <w:tcW w:w="751" w:type="dxa"/>
            <w:noWrap/>
            <w:vAlign w:val="center"/>
            <w:hideMark/>
          </w:tcPr>
          <w:p w:rsidR="00C512B5" w:rsidRPr="004C2810" w:rsidRDefault="00C512B5" w:rsidP="000232EC">
            <w:pPr>
              <w:spacing w:line="240" w:lineRule="auto"/>
              <w:jc w:val="center"/>
              <w:rPr>
                <w:rFonts w:eastAsiaTheme="minorEastAsia"/>
                <w:b/>
                <w:sz w:val="20"/>
                <w:lang w:eastAsia="pt-BR"/>
              </w:rPr>
            </w:pPr>
            <w:r w:rsidRPr="004C2810">
              <w:rPr>
                <w:rFonts w:eastAsiaTheme="minorEastAsia"/>
                <w:b/>
                <w:sz w:val="20"/>
                <w:lang w:eastAsia="pt-BR"/>
              </w:rPr>
              <w:t>D</w:t>
            </w:r>
          </w:p>
        </w:tc>
        <w:tc>
          <w:tcPr>
            <w:tcW w:w="1715" w:type="dxa"/>
            <w:noWrap/>
            <w:vAlign w:val="center"/>
            <w:hideMark/>
          </w:tcPr>
          <w:p w:rsidR="00C512B5" w:rsidRPr="004C2810" w:rsidRDefault="00C512B5" w:rsidP="000232EC">
            <w:pPr>
              <w:spacing w:line="240" w:lineRule="auto"/>
              <w:jc w:val="center"/>
              <w:rPr>
                <w:rFonts w:eastAsiaTheme="minorEastAsia"/>
                <w:b/>
                <w:sz w:val="20"/>
                <w:lang w:eastAsia="pt-BR"/>
              </w:rPr>
            </w:pPr>
            <w:r w:rsidRPr="004C2810">
              <w:rPr>
                <w:rFonts w:eastAsiaTheme="minorEastAsia"/>
                <w:b/>
                <w:sz w:val="20"/>
                <w:lang w:eastAsia="pt-BR"/>
              </w:rPr>
              <w:t>Comercial 1</w:t>
            </w:r>
          </w:p>
        </w:tc>
        <w:tc>
          <w:tcPr>
            <w:tcW w:w="2467" w:type="dxa"/>
            <w:noWrap/>
            <w:vAlign w:val="center"/>
            <w:hideMark/>
          </w:tcPr>
          <w:p w:rsidR="00C512B5" w:rsidRPr="004C2810" w:rsidRDefault="004C2810" w:rsidP="000232EC">
            <w:pPr>
              <w:spacing w:line="240" w:lineRule="auto"/>
              <w:jc w:val="right"/>
              <w:rPr>
                <w:rFonts w:cs="Arial"/>
                <w:sz w:val="20"/>
                <w:lang w:eastAsia="pt-BR"/>
              </w:rPr>
            </w:pPr>
            <w:r>
              <w:rPr>
                <w:rFonts w:cs="Arial"/>
                <w:sz w:val="20"/>
                <w:lang w:eastAsia="pt-BR"/>
              </w:rPr>
              <w:t>0,30</w:t>
            </w:r>
          </w:p>
        </w:tc>
      </w:tr>
      <w:tr w:rsidR="00C512B5" w:rsidRPr="004C2810" w:rsidTr="000232EC">
        <w:trPr>
          <w:trHeight w:val="340"/>
          <w:jc w:val="center"/>
        </w:trPr>
        <w:tc>
          <w:tcPr>
            <w:tcW w:w="751" w:type="dxa"/>
            <w:noWrap/>
            <w:vAlign w:val="center"/>
            <w:hideMark/>
          </w:tcPr>
          <w:p w:rsidR="00C512B5" w:rsidRPr="004C2810" w:rsidRDefault="00C512B5" w:rsidP="000232EC">
            <w:pPr>
              <w:spacing w:line="240" w:lineRule="auto"/>
              <w:jc w:val="center"/>
              <w:rPr>
                <w:rFonts w:eastAsiaTheme="minorEastAsia"/>
                <w:b/>
                <w:sz w:val="20"/>
                <w:lang w:eastAsia="pt-BR"/>
              </w:rPr>
            </w:pPr>
            <w:r w:rsidRPr="004C2810">
              <w:rPr>
                <w:rFonts w:eastAsiaTheme="minorEastAsia"/>
                <w:b/>
                <w:sz w:val="20"/>
                <w:lang w:eastAsia="pt-BR"/>
              </w:rPr>
              <w:t>E</w:t>
            </w:r>
          </w:p>
        </w:tc>
        <w:tc>
          <w:tcPr>
            <w:tcW w:w="1715" w:type="dxa"/>
            <w:noWrap/>
            <w:vAlign w:val="center"/>
            <w:hideMark/>
          </w:tcPr>
          <w:p w:rsidR="00C512B5" w:rsidRPr="004C2810" w:rsidRDefault="00C512B5" w:rsidP="000232EC">
            <w:pPr>
              <w:spacing w:line="240" w:lineRule="auto"/>
              <w:jc w:val="center"/>
              <w:rPr>
                <w:rFonts w:eastAsiaTheme="minorEastAsia"/>
                <w:b/>
                <w:sz w:val="20"/>
                <w:lang w:eastAsia="pt-BR"/>
              </w:rPr>
            </w:pPr>
            <w:r w:rsidRPr="004C2810">
              <w:rPr>
                <w:rFonts w:eastAsiaTheme="minorEastAsia"/>
                <w:b/>
                <w:sz w:val="20"/>
                <w:lang w:eastAsia="pt-BR"/>
              </w:rPr>
              <w:t>Comercial 2</w:t>
            </w:r>
          </w:p>
        </w:tc>
        <w:tc>
          <w:tcPr>
            <w:tcW w:w="2467" w:type="dxa"/>
            <w:noWrap/>
            <w:vAlign w:val="center"/>
            <w:hideMark/>
          </w:tcPr>
          <w:p w:rsidR="00C512B5" w:rsidRPr="004C2810" w:rsidRDefault="004C2810" w:rsidP="000232EC">
            <w:pPr>
              <w:spacing w:line="240" w:lineRule="auto"/>
              <w:jc w:val="right"/>
              <w:rPr>
                <w:rFonts w:cs="Arial"/>
                <w:sz w:val="20"/>
                <w:lang w:eastAsia="pt-BR"/>
              </w:rPr>
            </w:pPr>
            <w:r>
              <w:rPr>
                <w:rFonts w:cs="Arial"/>
                <w:sz w:val="20"/>
                <w:lang w:eastAsia="pt-BR"/>
              </w:rPr>
              <w:t>0,5</w:t>
            </w:r>
            <w:r w:rsidR="00C512B5" w:rsidRPr="004C2810">
              <w:rPr>
                <w:rFonts w:cs="Arial"/>
                <w:sz w:val="20"/>
                <w:lang w:eastAsia="pt-BR"/>
              </w:rPr>
              <w:t>0</w:t>
            </w:r>
          </w:p>
        </w:tc>
      </w:tr>
    </w:tbl>
    <w:p w:rsidR="00C512B5" w:rsidRPr="004C2810" w:rsidRDefault="00C512B5" w:rsidP="00C512B5">
      <w:pPr>
        <w:pStyle w:val="Fonte"/>
        <w:spacing w:before="0"/>
      </w:pPr>
      <w:r w:rsidRPr="004C2810">
        <w:t>Fonte: SHS, 2017.</w:t>
      </w:r>
    </w:p>
    <w:p w:rsidR="00C512B5" w:rsidRPr="004C2810" w:rsidRDefault="00C512B5" w:rsidP="00C512B5">
      <w:pPr>
        <w:ind w:firstLine="709"/>
        <w:rPr>
          <w:lang w:eastAsia="pt-BR"/>
        </w:rPr>
      </w:pPr>
      <w:r w:rsidRPr="004C2810">
        <w:rPr>
          <w:lang w:eastAsia="pt-BR"/>
        </w:rPr>
        <w:lastRenderedPageBreak/>
        <w:t>Assim, foram simuladas as taxas de coleta de lixo baseadas neste método para imóveis hipotéticos de áreas construídas de 50 e 100m² de cada zona determinada (</w:t>
      </w:r>
      <w:r w:rsidRPr="004C2810">
        <w:rPr>
          <w:lang w:eastAsia="pt-BR"/>
        </w:rPr>
        <w:fldChar w:fldCharType="begin"/>
      </w:r>
      <w:r w:rsidRPr="004C2810">
        <w:rPr>
          <w:lang w:eastAsia="pt-BR"/>
        </w:rPr>
        <w:instrText xml:space="preserve"> REF _Ref435179589 \h  \* MERGEFORMAT </w:instrText>
      </w:r>
      <w:r w:rsidRPr="004C2810">
        <w:rPr>
          <w:lang w:eastAsia="pt-BR"/>
        </w:rPr>
      </w:r>
      <w:r w:rsidRPr="004C2810">
        <w:rPr>
          <w:lang w:eastAsia="pt-BR"/>
        </w:rPr>
        <w:fldChar w:fldCharType="separate"/>
      </w:r>
      <w:r w:rsidR="004D1D76" w:rsidRPr="004C2810">
        <w:t xml:space="preserve">Tabela </w:t>
      </w:r>
      <w:r w:rsidR="004D1D76">
        <w:rPr>
          <w:noProof/>
        </w:rPr>
        <w:t>8</w:t>
      </w:r>
      <w:r w:rsidRPr="004C2810">
        <w:rPr>
          <w:lang w:eastAsia="pt-BR"/>
        </w:rPr>
        <w:fldChar w:fldCharType="end"/>
      </w:r>
      <w:r w:rsidRPr="004C2810">
        <w:rPr>
          <w:lang w:eastAsia="pt-BR"/>
        </w:rPr>
        <w:t>).</w:t>
      </w:r>
      <w:r w:rsidR="004C2810">
        <w:rPr>
          <w:lang w:eastAsia="pt-BR"/>
        </w:rPr>
        <w:tab/>
      </w:r>
    </w:p>
    <w:p w:rsidR="00C512B5" w:rsidRPr="004C2810" w:rsidRDefault="00C512B5" w:rsidP="00C512B5">
      <w:pPr>
        <w:pStyle w:val="Legenda"/>
      </w:pPr>
      <w:bookmarkStart w:id="298" w:name="_Ref435179589"/>
      <w:bookmarkStart w:id="299" w:name="_Toc447896843"/>
      <w:bookmarkStart w:id="300" w:name="_Toc487204722"/>
      <w:bookmarkStart w:id="301" w:name="_Toc497469210"/>
      <w:r w:rsidRPr="004C2810">
        <w:t xml:space="preserve">Tabela </w:t>
      </w:r>
      <w:r w:rsidR="00D71C43">
        <w:fldChar w:fldCharType="begin"/>
      </w:r>
      <w:r w:rsidR="00D71C43">
        <w:instrText xml:space="preserve"> SEQ Tabela \* ARABIC </w:instrText>
      </w:r>
      <w:r w:rsidR="00D71C43">
        <w:fldChar w:fldCharType="separate"/>
      </w:r>
      <w:r w:rsidR="004D1D76">
        <w:rPr>
          <w:noProof/>
        </w:rPr>
        <w:t>8</w:t>
      </w:r>
      <w:r w:rsidR="00D71C43">
        <w:rPr>
          <w:noProof/>
        </w:rPr>
        <w:fldChar w:fldCharType="end"/>
      </w:r>
      <w:bookmarkEnd w:id="298"/>
      <w:r w:rsidRPr="004C2810">
        <w:t xml:space="preserve"> - Simulação das taxas de coleta de lixo baseadas na área construída do imóvel</w:t>
      </w:r>
      <w:bookmarkEnd w:id="299"/>
      <w:bookmarkEnd w:id="300"/>
      <w:bookmarkEnd w:id="301"/>
    </w:p>
    <w:tbl>
      <w:tblPr>
        <w:tblStyle w:val="Tabelacomgrade"/>
        <w:tblW w:w="5000" w:type="pct"/>
        <w:tblBorders>
          <w:left w:val="none" w:sz="0" w:space="0" w:color="auto"/>
          <w:right w:val="none" w:sz="0" w:space="0" w:color="auto"/>
        </w:tblBorders>
        <w:tblLayout w:type="fixed"/>
        <w:tblLook w:val="04A0" w:firstRow="1" w:lastRow="0" w:firstColumn="1" w:lastColumn="0" w:noHBand="0" w:noVBand="1"/>
      </w:tblPr>
      <w:tblGrid>
        <w:gridCol w:w="1914"/>
        <w:gridCol w:w="1914"/>
        <w:gridCol w:w="1914"/>
        <w:gridCol w:w="1914"/>
        <w:gridCol w:w="1914"/>
      </w:tblGrid>
      <w:tr w:rsidR="00C512B5" w:rsidRPr="004C2810" w:rsidTr="000232EC">
        <w:trPr>
          <w:trHeight w:val="567"/>
          <w:tblHeader/>
        </w:trPr>
        <w:tc>
          <w:tcPr>
            <w:tcW w:w="1000" w:type="pct"/>
            <w:noWrap/>
            <w:vAlign w:val="center"/>
            <w:hideMark/>
          </w:tcPr>
          <w:p w:rsidR="00C512B5" w:rsidRPr="004C2810" w:rsidRDefault="00C512B5" w:rsidP="000232EC">
            <w:pPr>
              <w:spacing w:line="240" w:lineRule="auto"/>
              <w:jc w:val="center"/>
              <w:rPr>
                <w:rFonts w:cs="Arial"/>
                <w:b/>
                <w:bCs/>
                <w:sz w:val="20"/>
                <w:lang w:eastAsia="pt-BR"/>
              </w:rPr>
            </w:pPr>
            <w:r w:rsidRPr="004C2810">
              <w:rPr>
                <w:rFonts w:cs="Arial"/>
                <w:b/>
                <w:bCs/>
                <w:sz w:val="20"/>
                <w:lang w:eastAsia="pt-BR"/>
              </w:rPr>
              <w:t>Zona</w:t>
            </w:r>
          </w:p>
        </w:tc>
        <w:tc>
          <w:tcPr>
            <w:tcW w:w="1000" w:type="pct"/>
            <w:noWrap/>
            <w:vAlign w:val="center"/>
            <w:hideMark/>
          </w:tcPr>
          <w:p w:rsidR="00C512B5" w:rsidRPr="004C2810" w:rsidRDefault="00C512B5" w:rsidP="000232EC">
            <w:pPr>
              <w:spacing w:line="240" w:lineRule="auto"/>
              <w:jc w:val="center"/>
              <w:rPr>
                <w:rFonts w:cs="Arial"/>
                <w:b/>
                <w:bCs/>
                <w:sz w:val="20"/>
                <w:lang w:eastAsia="pt-BR"/>
              </w:rPr>
            </w:pPr>
            <w:r w:rsidRPr="004C2810">
              <w:rPr>
                <w:rFonts w:cs="Arial"/>
                <w:b/>
                <w:bCs/>
                <w:sz w:val="20"/>
                <w:lang w:eastAsia="pt-BR"/>
              </w:rPr>
              <w:t>Fator de referência</w:t>
            </w:r>
          </w:p>
        </w:tc>
        <w:tc>
          <w:tcPr>
            <w:tcW w:w="1000" w:type="pct"/>
            <w:noWrap/>
            <w:vAlign w:val="center"/>
            <w:hideMark/>
          </w:tcPr>
          <w:p w:rsidR="00C512B5" w:rsidRPr="004C2810" w:rsidRDefault="00C512B5" w:rsidP="000232EC">
            <w:pPr>
              <w:spacing w:line="240" w:lineRule="auto"/>
              <w:jc w:val="center"/>
              <w:rPr>
                <w:rFonts w:cs="Arial"/>
                <w:b/>
                <w:bCs/>
                <w:sz w:val="20"/>
                <w:lang w:eastAsia="pt-BR"/>
              </w:rPr>
            </w:pPr>
            <w:r w:rsidRPr="004C2810">
              <w:rPr>
                <w:rFonts w:cs="Arial"/>
                <w:b/>
                <w:bCs/>
                <w:sz w:val="20"/>
                <w:lang w:eastAsia="pt-BR"/>
              </w:rPr>
              <w:t>Área construída (m²)</w:t>
            </w:r>
          </w:p>
        </w:tc>
        <w:tc>
          <w:tcPr>
            <w:tcW w:w="1000" w:type="pct"/>
            <w:noWrap/>
            <w:vAlign w:val="center"/>
            <w:hideMark/>
          </w:tcPr>
          <w:p w:rsidR="00C512B5" w:rsidRPr="004C2810" w:rsidRDefault="00C512B5" w:rsidP="000232EC">
            <w:pPr>
              <w:spacing w:line="240" w:lineRule="auto"/>
              <w:jc w:val="center"/>
              <w:rPr>
                <w:rFonts w:cs="Arial"/>
                <w:b/>
                <w:bCs/>
                <w:sz w:val="20"/>
                <w:lang w:eastAsia="pt-BR"/>
              </w:rPr>
            </w:pPr>
            <w:r w:rsidRPr="004C2810">
              <w:rPr>
                <w:rFonts w:cs="Arial"/>
                <w:b/>
                <w:bCs/>
                <w:sz w:val="20"/>
                <w:lang w:eastAsia="pt-BR"/>
              </w:rPr>
              <w:t>Taxa anual de coleta de lixo (R$)</w:t>
            </w:r>
          </w:p>
        </w:tc>
        <w:tc>
          <w:tcPr>
            <w:tcW w:w="1000" w:type="pct"/>
            <w:noWrap/>
            <w:vAlign w:val="center"/>
            <w:hideMark/>
          </w:tcPr>
          <w:p w:rsidR="00C512B5" w:rsidRPr="004C2810" w:rsidRDefault="00C512B5" w:rsidP="000232EC">
            <w:pPr>
              <w:spacing w:line="240" w:lineRule="auto"/>
              <w:jc w:val="center"/>
              <w:rPr>
                <w:rFonts w:cs="Arial"/>
                <w:b/>
                <w:bCs/>
                <w:sz w:val="20"/>
                <w:lang w:eastAsia="pt-BR"/>
              </w:rPr>
            </w:pPr>
            <w:r w:rsidRPr="004C2810">
              <w:rPr>
                <w:rFonts w:cs="Arial"/>
                <w:b/>
                <w:bCs/>
                <w:sz w:val="20"/>
                <w:lang w:eastAsia="pt-BR"/>
              </w:rPr>
              <w:t>Taxa mensal de coleta de lixo (R$)</w:t>
            </w:r>
          </w:p>
        </w:tc>
      </w:tr>
      <w:tr w:rsidR="004C2810" w:rsidRPr="004C2810" w:rsidTr="004C2810">
        <w:trPr>
          <w:trHeight w:val="300"/>
        </w:trPr>
        <w:tc>
          <w:tcPr>
            <w:tcW w:w="1000" w:type="pct"/>
            <w:noWrap/>
            <w:vAlign w:val="center"/>
            <w:hideMark/>
          </w:tcPr>
          <w:p w:rsidR="004C2810" w:rsidRPr="004C2810" w:rsidRDefault="004C2810" w:rsidP="000232EC">
            <w:pPr>
              <w:spacing w:line="240" w:lineRule="auto"/>
              <w:jc w:val="center"/>
              <w:rPr>
                <w:rFonts w:cs="Arial"/>
                <w:sz w:val="20"/>
                <w:lang w:eastAsia="pt-BR"/>
              </w:rPr>
            </w:pPr>
            <w:r w:rsidRPr="004C2810">
              <w:rPr>
                <w:rFonts w:cs="Arial"/>
                <w:sz w:val="20"/>
                <w:lang w:eastAsia="pt-BR"/>
              </w:rPr>
              <w:t>Residencial 1</w:t>
            </w:r>
          </w:p>
        </w:tc>
        <w:tc>
          <w:tcPr>
            <w:tcW w:w="1000" w:type="pct"/>
            <w:noWrap/>
            <w:vAlign w:val="center"/>
            <w:hideMark/>
          </w:tcPr>
          <w:p w:rsidR="004C2810" w:rsidRPr="004C2810" w:rsidRDefault="004C2810" w:rsidP="004C2810">
            <w:pPr>
              <w:spacing w:line="240" w:lineRule="auto"/>
              <w:jc w:val="right"/>
              <w:rPr>
                <w:rFonts w:cs="Arial"/>
                <w:sz w:val="20"/>
                <w:lang w:eastAsia="pt-BR"/>
              </w:rPr>
            </w:pPr>
            <w:r w:rsidRPr="004C2810">
              <w:rPr>
                <w:rFonts w:cs="Arial"/>
                <w:sz w:val="20"/>
                <w:lang w:eastAsia="pt-BR"/>
              </w:rPr>
              <w:t>0,15</w:t>
            </w:r>
          </w:p>
        </w:tc>
        <w:tc>
          <w:tcPr>
            <w:tcW w:w="1000" w:type="pct"/>
            <w:noWrap/>
            <w:vAlign w:val="center"/>
            <w:hideMark/>
          </w:tcPr>
          <w:p w:rsidR="004C2810" w:rsidRPr="004C2810" w:rsidRDefault="004C2810" w:rsidP="000232EC">
            <w:pPr>
              <w:spacing w:line="240" w:lineRule="auto"/>
              <w:jc w:val="right"/>
              <w:rPr>
                <w:rFonts w:cs="Arial"/>
                <w:sz w:val="20"/>
                <w:lang w:eastAsia="pt-BR"/>
              </w:rPr>
            </w:pPr>
            <w:r w:rsidRPr="004C2810">
              <w:rPr>
                <w:rFonts w:cs="Arial"/>
                <w:sz w:val="20"/>
                <w:lang w:eastAsia="pt-BR"/>
              </w:rPr>
              <w:t>50</w:t>
            </w:r>
          </w:p>
        </w:tc>
        <w:tc>
          <w:tcPr>
            <w:tcW w:w="1000" w:type="pct"/>
            <w:noWrap/>
            <w:vAlign w:val="center"/>
            <w:hideMark/>
          </w:tcPr>
          <w:p w:rsidR="004C2810" w:rsidRPr="004C2810" w:rsidRDefault="004C2810" w:rsidP="004C2810">
            <w:pPr>
              <w:spacing w:line="240" w:lineRule="auto"/>
              <w:jc w:val="right"/>
              <w:rPr>
                <w:rFonts w:cs="Arial"/>
                <w:sz w:val="20"/>
                <w:lang w:eastAsia="pt-BR"/>
              </w:rPr>
            </w:pPr>
            <w:r w:rsidRPr="004C2810">
              <w:rPr>
                <w:rFonts w:cs="Arial"/>
                <w:sz w:val="20"/>
                <w:lang w:eastAsia="pt-BR"/>
              </w:rPr>
              <w:t>R$ 150,00</w:t>
            </w:r>
          </w:p>
        </w:tc>
        <w:tc>
          <w:tcPr>
            <w:tcW w:w="1000" w:type="pct"/>
            <w:noWrap/>
            <w:vAlign w:val="center"/>
            <w:hideMark/>
          </w:tcPr>
          <w:p w:rsidR="004C2810" w:rsidRPr="004C2810" w:rsidRDefault="004C2810" w:rsidP="004C2810">
            <w:pPr>
              <w:spacing w:line="240" w:lineRule="auto"/>
              <w:jc w:val="right"/>
              <w:rPr>
                <w:rFonts w:cs="Arial"/>
                <w:sz w:val="20"/>
                <w:lang w:eastAsia="pt-BR"/>
              </w:rPr>
            </w:pPr>
            <w:r w:rsidRPr="004C2810">
              <w:rPr>
                <w:rFonts w:cs="Arial"/>
                <w:sz w:val="20"/>
                <w:lang w:eastAsia="pt-BR"/>
              </w:rPr>
              <w:t>R$ 12,50</w:t>
            </w:r>
          </w:p>
        </w:tc>
      </w:tr>
      <w:tr w:rsidR="004C2810" w:rsidRPr="004C2810" w:rsidTr="004C2810">
        <w:trPr>
          <w:trHeight w:val="300"/>
        </w:trPr>
        <w:tc>
          <w:tcPr>
            <w:tcW w:w="1000" w:type="pct"/>
            <w:noWrap/>
            <w:vAlign w:val="center"/>
            <w:hideMark/>
          </w:tcPr>
          <w:p w:rsidR="004C2810" w:rsidRPr="004C2810" w:rsidRDefault="004C2810" w:rsidP="000232EC">
            <w:pPr>
              <w:spacing w:line="240" w:lineRule="auto"/>
              <w:jc w:val="center"/>
              <w:rPr>
                <w:rFonts w:cs="Arial"/>
                <w:sz w:val="20"/>
                <w:lang w:eastAsia="pt-BR"/>
              </w:rPr>
            </w:pPr>
            <w:r w:rsidRPr="004C2810">
              <w:rPr>
                <w:rFonts w:cs="Arial"/>
                <w:sz w:val="20"/>
                <w:lang w:eastAsia="pt-BR"/>
              </w:rPr>
              <w:t>Residencial 1</w:t>
            </w:r>
          </w:p>
        </w:tc>
        <w:tc>
          <w:tcPr>
            <w:tcW w:w="1000" w:type="pct"/>
            <w:noWrap/>
            <w:vAlign w:val="center"/>
            <w:hideMark/>
          </w:tcPr>
          <w:p w:rsidR="004C2810" w:rsidRPr="004C2810" w:rsidRDefault="004C2810" w:rsidP="004C2810">
            <w:pPr>
              <w:spacing w:line="240" w:lineRule="auto"/>
              <w:jc w:val="right"/>
              <w:rPr>
                <w:rFonts w:cs="Arial"/>
                <w:sz w:val="20"/>
                <w:lang w:eastAsia="pt-BR"/>
              </w:rPr>
            </w:pPr>
            <w:r w:rsidRPr="004C2810">
              <w:rPr>
                <w:rFonts w:cs="Arial"/>
                <w:sz w:val="20"/>
                <w:lang w:eastAsia="pt-BR"/>
              </w:rPr>
              <w:t>0,15</w:t>
            </w:r>
          </w:p>
        </w:tc>
        <w:tc>
          <w:tcPr>
            <w:tcW w:w="1000" w:type="pct"/>
            <w:noWrap/>
            <w:vAlign w:val="center"/>
            <w:hideMark/>
          </w:tcPr>
          <w:p w:rsidR="004C2810" w:rsidRPr="004C2810" w:rsidRDefault="004C2810" w:rsidP="000232EC">
            <w:pPr>
              <w:spacing w:line="240" w:lineRule="auto"/>
              <w:jc w:val="right"/>
              <w:rPr>
                <w:rFonts w:cs="Arial"/>
                <w:sz w:val="20"/>
                <w:lang w:eastAsia="pt-BR"/>
              </w:rPr>
            </w:pPr>
            <w:r w:rsidRPr="004C2810">
              <w:rPr>
                <w:rFonts w:cs="Arial"/>
                <w:sz w:val="20"/>
                <w:lang w:eastAsia="pt-BR"/>
              </w:rPr>
              <w:t>100</w:t>
            </w:r>
          </w:p>
        </w:tc>
        <w:tc>
          <w:tcPr>
            <w:tcW w:w="1000" w:type="pct"/>
            <w:noWrap/>
            <w:vAlign w:val="center"/>
            <w:hideMark/>
          </w:tcPr>
          <w:p w:rsidR="004C2810" w:rsidRPr="004C2810" w:rsidRDefault="004C2810" w:rsidP="004C2810">
            <w:pPr>
              <w:spacing w:line="240" w:lineRule="auto"/>
              <w:jc w:val="right"/>
              <w:rPr>
                <w:rFonts w:cs="Arial"/>
                <w:sz w:val="20"/>
                <w:lang w:eastAsia="pt-BR"/>
              </w:rPr>
            </w:pPr>
            <w:r w:rsidRPr="004C2810">
              <w:rPr>
                <w:rFonts w:cs="Arial"/>
                <w:sz w:val="20"/>
                <w:lang w:eastAsia="pt-BR"/>
              </w:rPr>
              <w:t>R$ 300,00</w:t>
            </w:r>
          </w:p>
        </w:tc>
        <w:tc>
          <w:tcPr>
            <w:tcW w:w="1000" w:type="pct"/>
            <w:noWrap/>
            <w:vAlign w:val="center"/>
            <w:hideMark/>
          </w:tcPr>
          <w:p w:rsidR="004C2810" w:rsidRPr="004C2810" w:rsidRDefault="004C2810" w:rsidP="004C2810">
            <w:pPr>
              <w:spacing w:line="240" w:lineRule="auto"/>
              <w:jc w:val="right"/>
              <w:rPr>
                <w:rFonts w:cs="Arial"/>
                <w:sz w:val="20"/>
                <w:lang w:eastAsia="pt-BR"/>
              </w:rPr>
            </w:pPr>
            <w:r w:rsidRPr="004C2810">
              <w:rPr>
                <w:rFonts w:cs="Arial"/>
                <w:sz w:val="20"/>
                <w:lang w:eastAsia="pt-BR"/>
              </w:rPr>
              <w:t>R$ 25,00</w:t>
            </w:r>
          </w:p>
        </w:tc>
      </w:tr>
      <w:tr w:rsidR="004C2810" w:rsidRPr="004C2810" w:rsidTr="004C2810">
        <w:trPr>
          <w:trHeight w:val="300"/>
        </w:trPr>
        <w:tc>
          <w:tcPr>
            <w:tcW w:w="1000" w:type="pct"/>
            <w:noWrap/>
            <w:vAlign w:val="center"/>
            <w:hideMark/>
          </w:tcPr>
          <w:p w:rsidR="004C2810" w:rsidRPr="004C2810" w:rsidRDefault="004C2810" w:rsidP="000232EC">
            <w:pPr>
              <w:spacing w:line="240" w:lineRule="auto"/>
              <w:jc w:val="center"/>
              <w:rPr>
                <w:rFonts w:cs="Arial"/>
                <w:sz w:val="20"/>
                <w:lang w:eastAsia="pt-BR"/>
              </w:rPr>
            </w:pPr>
            <w:r w:rsidRPr="004C2810">
              <w:rPr>
                <w:rFonts w:cs="Arial"/>
                <w:sz w:val="20"/>
                <w:lang w:eastAsia="pt-BR"/>
              </w:rPr>
              <w:t>Residencial 2</w:t>
            </w:r>
          </w:p>
        </w:tc>
        <w:tc>
          <w:tcPr>
            <w:tcW w:w="1000" w:type="pct"/>
            <w:noWrap/>
            <w:vAlign w:val="center"/>
            <w:hideMark/>
          </w:tcPr>
          <w:p w:rsidR="004C2810" w:rsidRPr="004C2810" w:rsidRDefault="004C2810" w:rsidP="004C2810">
            <w:pPr>
              <w:spacing w:line="240" w:lineRule="auto"/>
              <w:jc w:val="right"/>
              <w:rPr>
                <w:rFonts w:cs="Arial"/>
                <w:sz w:val="20"/>
                <w:lang w:eastAsia="pt-BR"/>
              </w:rPr>
            </w:pPr>
            <w:r w:rsidRPr="004C2810">
              <w:rPr>
                <w:rFonts w:cs="Arial"/>
                <w:sz w:val="20"/>
                <w:lang w:eastAsia="pt-BR"/>
              </w:rPr>
              <w:t>0,20</w:t>
            </w:r>
          </w:p>
        </w:tc>
        <w:tc>
          <w:tcPr>
            <w:tcW w:w="1000" w:type="pct"/>
            <w:noWrap/>
            <w:vAlign w:val="center"/>
            <w:hideMark/>
          </w:tcPr>
          <w:p w:rsidR="004C2810" w:rsidRPr="004C2810" w:rsidRDefault="004C2810" w:rsidP="000232EC">
            <w:pPr>
              <w:spacing w:line="240" w:lineRule="auto"/>
              <w:jc w:val="right"/>
              <w:rPr>
                <w:rFonts w:cs="Arial"/>
                <w:sz w:val="20"/>
                <w:lang w:eastAsia="pt-BR"/>
              </w:rPr>
            </w:pPr>
            <w:r w:rsidRPr="004C2810">
              <w:rPr>
                <w:rFonts w:cs="Arial"/>
                <w:sz w:val="20"/>
                <w:lang w:eastAsia="pt-BR"/>
              </w:rPr>
              <w:t>50</w:t>
            </w:r>
          </w:p>
        </w:tc>
        <w:tc>
          <w:tcPr>
            <w:tcW w:w="1000" w:type="pct"/>
            <w:noWrap/>
            <w:vAlign w:val="center"/>
            <w:hideMark/>
          </w:tcPr>
          <w:p w:rsidR="004C2810" w:rsidRPr="004C2810" w:rsidRDefault="004C2810" w:rsidP="004C2810">
            <w:pPr>
              <w:spacing w:line="240" w:lineRule="auto"/>
              <w:jc w:val="right"/>
              <w:rPr>
                <w:rFonts w:cs="Arial"/>
                <w:sz w:val="20"/>
                <w:lang w:eastAsia="pt-BR"/>
              </w:rPr>
            </w:pPr>
            <w:r w:rsidRPr="004C2810">
              <w:rPr>
                <w:rFonts w:cs="Arial"/>
                <w:sz w:val="20"/>
                <w:lang w:eastAsia="pt-BR"/>
              </w:rPr>
              <w:t>R$ 200,00</w:t>
            </w:r>
          </w:p>
        </w:tc>
        <w:tc>
          <w:tcPr>
            <w:tcW w:w="1000" w:type="pct"/>
            <w:noWrap/>
            <w:vAlign w:val="center"/>
            <w:hideMark/>
          </w:tcPr>
          <w:p w:rsidR="004C2810" w:rsidRPr="004C2810" w:rsidRDefault="004C2810" w:rsidP="004C2810">
            <w:pPr>
              <w:spacing w:line="240" w:lineRule="auto"/>
              <w:jc w:val="right"/>
              <w:rPr>
                <w:rFonts w:cs="Arial"/>
                <w:sz w:val="20"/>
                <w:lang w:eastAsia="pt-BR"/>
              </w:rPr>
            </w:pPr>
            <w:r w:rsidRPr="004C2810">
              <w:rPr>
                <w:rFonts w:cs="Arial"/>
                <w:sz w:val="20"/>
                <w:lang w:eastAsia="pt-BR"/>
              </w:rPr>
              <w:t>R$ 16,67</w:t>
            </w:r>
          </w:p>
        </w:tc>
      </w:tr>
      <w:tr w:rsidR="004C2810" w:rsidRPr="004C2810" w:rsidTr="004C2810">
        <w:trPr>
          <w:trHeight w:val="300"/>
        </w:trPr>
        <w:tc>
          <w:tcPr>
            <w:tcW w:w="1000" w:type="pct"/>
            <w:noWrap/>
            <w:vAlign w:val="center"/>
            <w:hideMark/>
          </w:tcPr>
          <w:p w:rsidR="004C2810" w:rsidRPr="004C2810" w:rsidRDefault="004C2810" w:rsidP="000232EC">
            <w:pPr>
              <w:spacing w:line="240" w:lineRule="auto"/>
              <w:jc w:val="center"/>
              <w:rPr>
                <w:rFonts w:cs="Arial"/>
                <w:sz w:val="20"/>
                <w:lang w:eastAsia="pt-BR"/>
              </w:rPr>
            </w:pPr>
            <w:r w:rsidRPr="004C2810">
              <w:rPr>
                <w:rFonts w:cs="Arial"/>
                <w:sz w:val="20"/>
                <w:lang w:eastAsia="pt-BR"/>
              </w:rPr>
              <w:t>Residencial 2</w:t>
            </w:r>
          </w:p>
        </w:tc>
        <w:tc>
          <w:tcPr>
            <w:tcW w:w="1000" w:type="pct"/>
            <w:noWrap/>
            <w:vAlign w:val="center"/>
            <w:hideMark/>
          </w:tcPr>
          <w:p w:rsidR="004C2810" w:rsidRPr="004C2810" w:rsidRDefault="004C2810" w:rsidP="004C2810">
            <w:pPr>
              <w:spacing w:line="240" w:lineRule="auto"/>
              <w:jc w:val="right"/>
              <w:rPr>
                <w:rFonts w:cs="Arial"/>
                <w:sz w:val="20"/>
                <w:lang w:eastAsia="pt-BR"/>
              </w:rPr>
            </w:pPr>
            <w:r w:rsidRPr="004C2810">
              <w:rPr>
                <w:rFonts w:cs="Arial"/>
                <w:sz w:val="20"/>
                <w:lang w:eastAsia="pt-BR"/>
              </w:rPr>
              <w:t>0,20</w:t>
            </w:r>
          </w:p>
        </w:tc>
        <w:tc>
          <w:tcPr>
            <w:tcW w:w="1000" w:type="pct"/>
            <w:noWrap/>
            <w:vAlign w:val="center"/>
            <w:hideMark/>
          </w:tcPr>
          <w:p w:rsidR="004C2810" w:rsidRPr="004C2810" w:rsidRDefault="004C2810" w:rsidP="000232EC">
            <w:pPr>
              <w:spacing w:line="240" w:lineRule="auto"/>
              <w:jc w:val="right"/>
              <w:rPr>
                <w:rFonts w:cs="Arial"/>
                <w:sz w:val="20"/>
                <w:lang w:eastAsia="pt-BR"/>
              </w:rPr>
            </w:pPr>
            <w:r w:rsidRPr="004C2810">
              <w:rPr>
                <w:rFonts w:cs="Arial"/>
                <w:sz w:val="20"/>
                <w:lang w:eastAsia="pt-BR"/>
              </w:rPr>
              <w:t>100</w:t>
            </w:r>
          </w:p>
        </w:tc>
        <w:tc>
          <w:tcPr>
            <w:tcW w:w="1000" w:type="pct"/>
            <w:noWrap/>
            <w:vAlign w:val="center"/>
            <w:hideMark/>
          </w:tcPr>
          <w:p w:rsidR="004C2810" w:rsidRPr="004C2810" w:rsidRDefault="004C2810" w:rsidP="004C2810">
            <w:pPr>
              <w:spacing w:line="240" w:lineRule="auto"/>
              <w:jc w:val="right"/>
              <w:rPr>
                <w:rFonts w:cs="Arial"/>
                <w:sz w:val="20"/>
                <w:lang w:eastAsia="pt-BR"/>
              </w:rPr>
            </w:pPr>
            <w:r w:rsidRPr="004C2810">
              <w:rPr>
                <w:rFonts w:cs="Arial"/>
                <w:sz w:val="20"/>
                <w:lang w:eastAsia="pt-BR"/>
              </w:rPr>
              <w:t>R$ 400,00</w:t>
            </w:r>
          </w:p>
        </w:tc>
        <w:tc>
          <w:tcPr>
            <w:tcW w:w="1000" w:type="pct"/>
            <w:noWrap/>
            <w:vAlign w:val="center"/>
            <w:hideMark/>
          </w:tcPr>
          <w:p w:rsidR="004C2810" w:rsidRPr="004C2810" w:rsidRDefault="004C2810" w:rsidP="004C2810">
            <w:pPr>
              <w:spacing w:line="240" w:lineRule="auto"/>
              <w:jc w:val="right"/>
              <w:rPr>
                <w:rFonts w:cs="Arial"/>
                <w:sz w:val="20"/>
                <w:lang w:eastAsia="pt-BR"/>
              </w:rPr>
            </w:pPr>
            <w:r w:rsidRPr="004C2810">
              <w:rPr>
                <w:rFonts w:cs="Arial"/>
                <w:sz w:val="20"/>
                <w:lang w:eastAsia="pt-BR"/>
              </w:rPr>
              <w:t>R$ 33,33</w:t>
            </w:r>
          </w:p>
        </w:tc>
      </w:tr>
      <w:tr w:rsidR="004C2810" w:rsidRPr="004C2810" w:rsidTr="004C2810">
        <w:trPr>
          <w:trHeight w:val="300"/>
        </w:trPr>
        <w:tc>
          <w:tcPr>
            <w:tcW w:w="1000" w:type="pct"/>
            <w:noWrap/>
            <w:vAlign w:val="center"/>
            <w:hideMark/>
          </w:tcPr>
          <w:p w:rsidR="004C2810" w:rsidRPr="004C2810" w:rsidRDefault="004C2810" w:rsidP="000232EC">
            <w:pPr>
              <w:spacing w:line="240" w:lineRule="auto"/>
              <w:jc w:val="center"/>
              <w:rPr>
                <w:rFonts w:cs="Arial"/>
                <w:sz w:val="20"/>
                <w:lang w:eastAsia="pt-BR"/>
              </w:rPr>
            </w:pPr>
            <w:r w:rsidRPr="004C2810">
              <w:rPr>
                <w:rFonts w:cs="Arial"/>
                <w:sz w:val="20"/>
                <w:lang w:eastAsia="pt-BR"/>
              </w:rPr>
              <w:t>Residencial 3</w:t>
            </w:r>
          </w:p>
        </w:tc>
        <w:tc>
          <w:tcPr>
            <w:tcW w:w="1000" w:type="pct"/>
            <w:noWrap/>
            <w:vAlign w:val="center"/>
            <w:hideMark/>
          </w:tcPr>
          <w:p w:rsidR="004C2810" w:rsidRPr="004C2810" w:rsidRDefault="004C2810" w:rsidP="004C2810">
            <w:pPr>
              <w:spacing w:line="240" w:lineRule="auto"/>
              <w:jc w:val="right"/>
              <w:rPr>
                <w:rFonts w:cs="Arial"/>
                <w:sz w:val="20"/>
                <w:lang w:eastAsia="pt-BR"/>
              </w:rPr>
            </w:pPr>
            <w:r w:rsidRPr="004C2810">
              <w:rPr>
                <w:rFonts w:cs="Arial"/>
                <w:sz w:val="20"/>
                <w:lang w:eastAsia="pt-BR"/>
              </w:rPr>
              <w:t>0,25</w:t>
            </w:r>
          </w:p>
        </w:tc>
        <w:tc>
          <w:tcPr>
            <w:tcW w:w="1000" w:type="pct"/>
            <w:noWrap/>
            <w:vAlign w:val="center"/>
            <w:hideMark/>
          </w:tcPr>
          <w:p w:rsidR="004C2810" w:rsidRPr="004C2810" w:rsidRDefault="004C2810" w:rsidP="000232EC">
            <w:pPr>
              <w:spacing w:line="240" w:lineRule="auto"/>
              <w:jc w:val="right"/>
              <w:rPr>
                <w:rFonts w:cs="Arial"/>
                <w:sz w:val="20"/>
                <w:lang w:eastAsia="pt-BR"/>
              </w:rPr>
            </w:pPr>
            <w:r w:rsidRPr="004C2810">
              <w:rPr>
                <w:rFonts w:cs="Arial"/>
                <w:sz w:val="20"/>
                <w:lang w:eastAsia="pt-BR"/>
              </w:rPr>
              <w:t>50</w:t>
            </w:r>
          </w:p>
        </w:tc>
        <w:tc>
          <w:tcPr>
            <w:tcW w:w="1000" w:type="pct"/>
            <w:noWrap/>
            <w:vAlign w:val="center"/>
            <w:hideMark/>
          </w:tcPr>
          <w:p w:rsidR="004C2810" w:rsidRPr="004C2810" w:rsidRDefault="004C2810" w:rsidP="004C2810">
            <w:pPr>
              <w:spacing w:line="240" w:lineRule="auto"/>
              <w:jc w:val="right"/>
              <w:rPr>
                <w:rFonts w:cs="Arial"/>
                <w:sz w:val="20"/>
                <w:lang w:eastAsia="pt-BR"/>
              </w:rPr>
            </w:pPr>
            <w:r w:rsidRPr="004C2810">
              <w:rPr>
                <w:rFonts w:cs="Arial"/>
                <w:sz w:val="20"/>
                <w:lang w:eastAsia="pt-BR"/>
              </w:rPr>
              <w:t>R$ 250,00</w:t>
            </w:r>
          </w:p>
        </w:tc>
        <w:tc>
          <w:tcPr>
            <w:tcW w:w="1000" w:type="pct"/>
            <w:noWrap/>
            <w:vAlign w:val="center"/>
            <w:hideMark/>
          </w:tcPr>
          <w:p w:rsidR="004C2810" w:rsidRPr="004C2810" w:rsidRDefault="004C2810" w:rsidP="004C2810">
            <w:pPr>
              <w:spacing w:line="240" w:lineRule="auto"/>
              <w:jc w:val="right"/>
              <w:rPr>
                <w:rFonts w:cs="Arial"/>
                <w:sz w:val="20"/>
                <w:lang w:eastAsia="pt-BR"/>
              </w:rPr>
            </w:pPr>
            <w:r w:rsidRPr="004C2810">
              <w:rPr>
                <w:rFonts w:cs="Arial"/>
                <w:sz w:val="20"/>
                <w:lang w:eastAsia="pt-BR"/>
              </w:rPr>
              <w:t>R$ 20,83</w:t>
            </w:r>
          </w:p>
        </w:tc>
      </w:tr>
      <w:tr w:rsidR="004C2810" w:rsidRPr="004C2810" w:rsidTr="004C2810">
        <w:trPr>
          <w:trHeight w:val="300"/>
        </w:trPr>
        <w:tc>
          <w:tcPr>
            <w:tcW w:w="1000" w:type="pct"/>
            <w:noWrap/>
            <w:vAlign w:val="center"/>
            <w:hideMark/>
          </w:tcPr>
          <w:p w:rsidR="004C2810" w:rsidRPr="004C2810" w:rsidRDefault="004C2810" w:rsidP="000232EC">
            <w:pPr>
              <w:spacing w:line="240" w:lineRule="auto"/>
              <w:jc w:val="center"/>
              <w:rPr>
                <w:rFonts w:cs="Arial"/>
                <w:sz w:val="20"/>
                <w:lang w:eastAsia="pt-BR"/>
              </w:rPr>
            </w:pPr>
            <w:r w:rsidRPr="004C2810">
              <w:rPr>
                <w:rFonts w:cs="Arial"/>
                <w:sz w:val="20"/>
                <w:lang w:eastAsia="pt-BR"/>
              </w:rPr>
              <w:t>Residencial 3</w:t>
            </w:r>
          </w:p>
        </w:tc>
        <w:tc>
          <w:tcPr>
            <w:tcW w:w="1000" w:type="pct"/>
            <w:noWrap/>
            <w:vAlign w:val="center"/>
            <w:hideMark/>
          </w:tcPr>
          <w:p w:rsidR="004C2810" w:rsidRPr="004C2810" w:rsidRDefault="004C2810" w:rsidP="004C2810">
            <w:pPr>
              <w:spacing w:line="240" w:lineRule="auto"/>
              <w:jc w:val="right"/>
              <w:rPr>
                <w:rFonts w:cs="Arial"/>
                <w:sz w:val="20"/>
                <w:lang w:eastAsia="pt-BR"/>
              </w:rPr>
            </w:pPr>
            <w:r w:rsidRPr="004C2810">
              <w:rPr>
                <w:rFonts w:cs="Arial"/>
                <w:sz w:val="20"/>
                <w:lang w:eastAsia="pt-BR"/>
              </w:rPr>
              <w:t>0,25</w:t>
            </w:r>
          </w:p>
        </w:tc>
        <w:tc>
          <w:tcPr>
            <w:tcW w:w="1000" w:type="pct"/>
            <w:noWrap/>
            <w:vAlign w:val="center"/>
            <w:hideMark/>
          </w:tcPr>
          <w:p w:rsidR="004C2810" w:rsidRPr="004C2810" w:rsidRDefault="004C2810" w:rsidP="000232EC">
            <w:pPr>
              <w:spacing w:line="240" w:lineRule="auto"/>
              <w:jc w:val="right"/>
              <w:rPr>
                <w:rFonts w:cs="Arial"/>
                <w:sz w:val="20"/>
                <w:lang w:eastAsia="pt-BR"/>
              </w:rPr>
            </w:pPr>
            <w:r w:rsidRPr="004C2810">
              <w:rPr>
                <w:rFonts w:cs="Arial"/>
                <w:sz w:val="20"/>
                <w:lang w:eastAsia="pt-BR"/>
              </w:rPr>
              <w:t>100</w:t>
            </w:r>
          </w:p>
        </w:tc>
        <w:tc>
          <w:tcPr>
            <w:tcW w:w="1000" w:type="pct"/>
            <w:noWrap/>
            <w:vAlign w:val="center"/>
            <w:hideMark/>
          </w:tcPr>
          <w:p w:rsidR="004C2810" w:rsidRPr="004C2810" w:rsidRDefault="004C2810" w:rsidP="004C2810">
            <w:pPr>
              <w:spacing w:line="240" w:lineRule="auto"/>
              <w:jc w:val="right"/>
              <w:rPr>
                <w:rFonts w:cs="Arial"/>
                <w:sz w:val="20"/>
                <w:lang w:eastAsia="pt-BR"/>
              </w:rPr>
            </w:pPr>
            <w:r w:rsidRPr="004C2810">
              <w:rPr>
                <w:rFonts w:cs="Arial"/>
                <w:sz w:val="20"/>
                <w:lang w:eastAsia="pt-BR"/>
              </w:rPr>
              <w:t>R$ 500,00</w:t>
            </w:r>
          </w:p>
        </w:tc>
        <w:tc>
          <w:tcPr>
            <w:tcW w:w="1000" w:type="pct"/>
            <w:noWrap/>
            <w:vAlign w:val="center"/>
            <w:hideMark/>
          </w:tcPr>
          <w:p w:rsidR="004C2810" w:rsidRPr="004C2810" w:rsidRDefault="004C2810" w:rsidP="004C2810">
            <w:pPr>
              <w:spacing w:line="240" w:lineRule="auto"/>
              <w:jc w:val="right"/>
              <w:rPr>
                <w:rFonts w:cs="Arial"/>
                <w:sz w:val="20"/>
                <w:lang w:eastAsia="pt-BR"/>
              </w:rPr>
            </w:pPr>
            <w:r w:rsidRPr="004C2810">
              <w:rPr>
                <w:rFonts w:cs="Arial"/>
                <w:sz w:val="20"/>
                <w:lang w:eastAsia="pt-BR"/>
              </w:rPr>
              <w:t>R$ 41,67</w:t>
            </w:r>
          </w:p>
        </w:tc>
      </w:tr>
      <w:tr w:rsidR="004C2810" w:rsidRPr="004C2810" w:rsidTr="004C2810">
        <w:trPr>
          <w:trHeight w:val="300"/>
        </w:trPr>
        <w:tc>
          <w:tcPr>
            <w:tcW w:w="1000" w:type="pct"/>
            <w:noWrap/>
            <w:vAlign w:val="center"/>
            <w:hideMark/>
          </w:tcPr>
          <w:p w:rsidR="004C2810" w:rsidRPr="004C2810" w:rsidRDefault="004C2810" w:rsidP="000232EC">
            <w:pPr>
              <w:spacing w:line="240" w:lineRule="auto"/>
              <w:jc w:val="center"/>
              <w:rPr>
                <w:rFonts w:cs="Arial"/>
                <w:sz w:val="20"/>
                <w:lang w:eastAsia="pt-BR"/>
              </w:rPr>
            </w:pPr>
            <w:r w:rsidRPr="004C2810">
              <w:rPr>
                <w:rFonts w:cs="Arial"/>
                <w:sz w:val="20"/>
                <w:lang w:eastAsia="pt-BR"/>
              </w:rPr>
              <w:t>Comercial 1</w:t>
            </w:r>
          </w:p>
        </w:tc>
        <w:tc>
          <w:tcPr>
            <w:tcW w:w="1000" w:type="pct"/>
            <w:noWrap/>
            <w:vAlign w:val="center"/>
            <w:hideMark/>
          </w:tcPr>
          <w:p w:rsidR="004C2810" w:rsidRPr="004C2810" w:rsidRDefault="004C2810" w:rsidP="004C2810">
            <w:pPr>
              <w:spacing w:line="240" w:lineRule="auto"/>
              <w:jc w:val="right"/>
              <w:rPr>
                <w:rFonts w:cs="Arial"/>
                <w:sz w:val="20"/>
                <w:lang w:eastAsia="pt-BR"/>
              </w:rPr>
            </w:pPr>
            <w:r w:rsidRPr="004C2810">
              <w:rPr>
                <w:rFonts w:cs="Arial"/>
                <w:sz w:val="20"/>
                <w:lang w:eastAsia="pt-BR"/>
              </w:rPr>
              <w:t>0,30</w:t>
            </w:r>
          </w:p>
        </w:tc>
        <w:tc>
          <w:tcPr>
            <w:tcW w:w="1000" w:type="pct"/>
            <w:noWrap/>
            <w:vAlign w:val="center"/>
            <w:hideMark/>
          </w:tcPr>
          <w:p w:rsidR="004C2810" w:rsidRPr="004C2810" w:rsidRDefault="004C2810" w:rsidP="000232EC">
            <w:pPr>
              <w:spacing w:line="240" w:lineRule="auto"/>
              <w:jc w:val="right"/>
              <w:rPr>
                <w:rFonts w:cs="Arial"/>
                <w:sz w:val="20"/>
                <w:lang w:eastAsia="pt-BR"/>
              </w:rPr>
            </w:pPr>
            <w:r w:rsidRPr="004C2810">
              <w:rPr>
                <w:rFonts w:cs="Arial"/>
                <w:sz w:val="20"/>
                <w:lang w:eastAsia="pt-BR"/>
              </w:rPr>
              <w:t>50</w:t>
            </w:r>
          </w:p>
        </w:tc>
        <w:tc>
          <w:tcPr>
            <w:tcW w:w="1000" w:type="pct"/>
            <w:noWrap/>
            <w:vAlign w:val="center"/>
            <w:hideMark/>
          </w:tcPr>
          <w:p w:rsidR="004C2810" w:rsidRPr="004C2810" w:rsidRDefault="004C2810" w:rsidP="004C2810">
            <w:pPr>
              <w:spacing w:line="240" w:lineRule="auto"/>
              <w:jc w:val="right"/>
              <w:rPr>
                <w:rFonts w:cs="Arial"/>
                <w:sz w:val="20"/>
                <w:lang w:eastAsia="pt-BR"/>
              </w:rPr>
            </w:pPr>
            <w:r w:rsidRPr="004C2810">
              <w:rPr>
                <w:rFonts w:cs="Arial"/>
                <w:sz w:val="20"/>
                <w:lang w:eastAsia="pt-BR"/>
              </w:rPr>
              <w:t>R$ 300,00</w:t>
            </w:r>
          </w:p>
        </w:tc>
        <w:tc>
          <w:tcPr>
            <w:tcW w:w="1000" w:type="pct"/>
            <w:noWrap/>
            <w:vAlign w:val="center"/>
            <w:hideMark/>
          </w:tcPr>
          <w:p w:rsidR="004C2810" w:rsidRPr="004C2810" w:rsidRDefault="004C2810" w:rsidP="004C2810">
            <w:pPr>
              <w:spacing w:line="240" w:lineRule="auto"/>
              <w:jc w:val="right"/>
              <w:rPr>
                <w:rFonts w:cs="Arial"/>
                <w:sz w:val="20"/>
                <w:lang w:eastAsia="pt-BR"/>
              </w:rPr>
            </w:pPr>
            <w:r w:rsidRPr="004C2810">
              <w:rPr>
                <w:rFonts w:cs="Arial"/>
                <w:sz w:val="20"/>
                <w:lang w:eastAsia="pt-BR"/>
              </w:rPr>
              <w:t>R$ 25,00</w:t>
            </w:r>
          </w:p>
        </w:tc>
      </w:tr>
      <w:tr w:rsidR="004C2810" w:rsidRPr="004C2810" w:rsidTr="004C2810">
        <w:trPr>
          <w:trHeight w:val="300"/>
        </w:trPr>
        <w:tc>
          <w:tcPr>
            <w:tcW w:w="1000" w:type="pct"/>
            <w:noWrap/>
            <w:vAlign w:val="center"/>
            <w:hideMark/>
          </w:tcPr>
          <w:p w:rsidR="004C2810" w:rsidRPr="004C2810" w:rsidRDefault="004C2810" w:rsidP="000232EC">
            <w:pPr>
              <w:spacing w:line="240" w:lineRule="auto"/>
              <w:jc w:val="center"/>
              <w:rPr>
                <w:rFonts w:cs="Arial"/>
                <w:sz w:val="20"/>
                <w:lang w:eastAsia="pt-BR"/>
              </w:rPr>
            </w:pPr>
            <w:r w:rsidRPr="004C2810">
              <w:rPr>
                <w:rFonts w:cs="Arial"/>
                <w:sz w:val="20"/>
                <w:lang w:eastAsia="pt-BR"/>
              </w:rPr>
              <w:t>Comercial 1</w:t>
            </w:r>
          </w:p>
        </w:tc>
        <w:tc>
          <w:tcPr>
            <w:tcW w:w="1000" w:type="pct"/>
            <w:noWrap/>
            <w:vAlign w:val="center"/>
            <w:hideMark/>
          </w:tcPr>
          <w:p w:rsidR="004C2810" w:rsidRPr="004C2810" w:rsidRDefault="004C2810" w:rsidP="004C2810">
            <w:pPr>
              <w:spacing w:line="240" w:lineRule="auto"/>
              <w:jc w:val="right"/>
              <w:rPr>
                <w:rFonts w:cs="Arial"/>
                <w:sz w:val="20"/>
                <w:lang w:eastAsia="pt-BR"/>
              </w:rPr>
            </w:pPr>
            <w:r w:rsidRPr="004C2810">
              <w:rPr>
                <w:rFonts w:cs="Arial"/>
                <w:sz w:val="20"/>
                <w:lang w:eastAsia="pt-BR"/>
              </w:rPr>
              <w:t>0,30</w:t>
            </w:r>
          </w:p>
        </w:tc>
        <w:tc>
          <w:tcPr>
            <w:tcW w:w="1000" w:type="pct"/>
            <w:noWrap/>
            <w:vAlign w:val="center"/>
            <w:hideMark/>
          </w:tcPr>
          <w:p w:rsidR="004C2810" w:rsidRPr="004C2810" w:rsidRDefault="004C2810" w:rsidP="000232EC">
            <w:pPr>
              <w:spacing w:line="240" w:lineRule="auto"/>
              <w:jc w:val="right"/>
              <w:rPr>
                <w:rFonts w:cs="Arial"/>
                <w:sz w:val="20"/>
                <w:lang w:eastAsia="pt-BR"/>
              </w:rPr>
            </w:pPr>
            <w:r w:rsidRPr="004C2810">
              <w:rPr>
                <w:rFonts w:cs="Arial"/>
                <w:sz w:val="20"/>
                <w:lang w:eastAsia="pt-BR"/>
              </w:rPr>
              <w:t>100</w:t>
            </w:r>
          </w:p>
        </w:tc>
        <w:tc>
          <w:tcPr>
            <w:tcW w:w="1000" w:type="pct"/>
            <w:noWrap/>
            <w:vAlign w:val="center"/>
            <w:hideMark/>
          </w:tcPr>
          <w:p w:rsidR="004C2810" w:rsidRPr="004C2810" w:rsidRDefault="004C2810" w:rsidP="004C2810">
            <w:pPr>
              <w:spacing w:line="240" w:lineRule="auto"/>
              <w:jc w:val="right"/>
              <w:rPr>
                <w:rFonts w:cs="Arial"/>
                <w:sz w:val="20"/>
                <w:lang w:eastAsia="pt-BR"/>
              </w:rPr>
            </w:pPr>
            <w:r w:rsidRPr="004C2810">
              <w:rPr>
                <w:rFonts w:cs="Arial"/>
                <w:sz w:val="20"/>
                <w:lang w:eastAsia="pt-BR"/>
              </w:rPr>
              <w:t>R$ 600,00</w:t>
            </w:r>
          </w:p>
        </w:tc>
        <w:tc>
          <w:tcPr>
            <w:tcW w:w="1000" w:type="pct"/>
            <w:noWrap/>
            <w:vAlign w:val="center"/>
            <w:hideMark/>
          </w:tcPr>
          <w:p w:rsidR="004C2810" w:rsidRPr="004C2810" w:rsidRDefault="004C2810" w:rsidP="004C2810">
            <w:pPr>
              <w:spacing w:line="240" w:lineRule="auto"/>
              <w:jc w:val="right"/>
              <w:rPr>
                <w:rFonts w:cs="Arial"/>
                <w:sz w:val="20"/>
                <w:lang w:eastAsia="pt-BR"/>
              </w:rPr>
            </w:pPr>
            <w:r w:rsidRPr="004C2810">
              <w:rPr>
                <w:rFonts w:cs="Arial"/>
                <w:sz w:val="20"/>
                <w:lang w:eastAsia="pt-BR"/>
              </w:rPr>
              <w:t>R$ 50,00</w:t>
            </w:r>
          </w:p>
        </w:tc>
      </w:tr>
      <w:tr w:rsidR="004C2810" w:rsidRPr="004C2810" w:rsidTr="004C2810">
        <w:trPr>
          <w:trHeight w:val="300"/>
        </w:trPr>
        <w:tc>
          <w:tcPr>
            <w:tcW w:w="1000" w:type="pct"/>
            <w:noWrap/>
            <w:vAlign w:val="center"/>
            <w:hideMark/>
          </w:tcPr>
          <w:p w:rsidR="004C2810" w:rsidRPr="004C2810" w:rsidRDefault="004C2810" w:rsidP="000232EC">
            <w:pPr>
              <w:spacing w:line="240" w:lineRule="auto"/>
              <w:jc w:val="center"/>
              <w:rPr>
                <w:rFonts w:cs="Arial"/>
                <w:sz w:val="20"/>
                <w:lang w:eastAsia="pt-BR"/>
              </w:rPr>
            </w:pPr>
            <w:r w:rsidRPr="004C2810">
              <w:rPr>
                <w:rFonts w:cs="Arial"/>
                <w:sz w:val="20"/>
                <w:lang w:eastAsia="pt-BR"/>
              </w:rPr>
              <w:t>Comercial 2</w:t>
            </w:r>
          </w:p>
        </w:tc>
        <w:tc>
          <w:tcPr>
            <w:tcW w:w="1000" w:type="pct"/>
            <w:noWrap/>
            <w:vAlign w:val="center"/>
            <w:hideMark/>
          </w:tcPr>
          <w:p w:rsidR="004C2810" w:rsidRPr="004C2810" w:rsidRDefault="004C2810" w:rsidP="004C2810">
            <w:pPr>
              <w:spacing w:line="240" w:lineRule="auto"/>
              <w:jc w:val="right"/>
              <w:rPr>
                <w:rFonts w:cs="Arial"/>
                <w:sz w:val="20"/>
                <w:lang w:eastAsia="pt-BR"/>
              </w:rPr>
            </w:pPr>
            <w:r w:rsidRPr="004C2810">
              <w:rPr>
                <w:rFonts w:cs="Arial"/>
                <w:sz w:val="20"/>
                <w:lang w:eastAsia="pt-BR"/>
              </w:rPr>
              <w:t>0,50</w:t>
            </w:r>
          </w:p>
        </w:tc>
        <w:tc>
          <w:tcPr>
            <w:tcW w:w="1000" w:type="pct"/>
            <w:noWrap/>
            <w:vAlign w:val="center"/>
            <w:hideMark/>
          </w:tcPr>
          <w:p w:rsidR="004C2810" w:rsidRPr="004C2810" w:rsidRDefault="004C2810" w:rsidP="000232EC">
            <w:pPr>
              <w:spacing w:line="240" w:lineRule="auto"/>
              <w:jc w:val="right"/>
              <w:rPr>
                <w:rFonts w:cs="Arial"/>
                <w:sz w:val="20"/>
                <w:lang w:eastAsia="pt-BR"/>
              </w:rPr>
            </w:pPr>
            <w:r w:rsidRPr="004C2810">
              <w:rPr>
                <w:rFonts w:cs="Arial"/>
                <w:sz w:val="20"/>
                <w:lang w:eastAsia="pt-BR"/>
              </w:rPr>
              <w:t>50</w:t>
            </w:r>
          </w:p>
        </w:tc>
        <w:tc>
          <w:tcPr>
            <w:tcW w:w="1000" w:type="pct"/>
            <w:noWrap/>
            <w:vAlign w:val="center"/>
            <w:hideMark/>
          </w:tcPr>
          <w:p w:rsidR="004C2810" w:rsidRPr="004C2810" w:rsidRDefault="004C2810" w:rsidP="004C2810">
            <w:pPr>
              <w:spacing w:line="240" w:lineRule="auto"/>
              <w:jc w:val="right"/>
              <w:rPr>
                <w:rFonts w:cs="Arial"/>
                <w:sz w:val="20"/>
                <w:lang w:eastAsia="pt-BR"/>
              </w:rPr>
            </w:pPr>
            <w:r w:rsidRPr="004C2810">
              <w:rPr>
                <w:rFonts w:cs="Arial"/>
                <w:sz w:val="20"/>
                <w:lang w:eastAsia="pt-BR"/>
              </w:rPr>
              <w:t>R$ 500,00</w:t>
            </w:r>
          </w:p>
        </w:tc>
        <w:tc>
          <w:tcPr>
            <w:tcW w:w="1000" w:type="pct"/>
            <w:noWrap/>
            <w:vAlign w:val="center"/>
            <w:hideMark/>
          </w:tcPr>
          <w:p w:rsidR="004C2810" w:rsidRPr="004C2810" w:rsidRDefault="004C2810" w:rsidP="004C2810">
            <w:pPr>
              <w:spacing w:line="240" w:lineRule="auto"/>
              <w:jc w:val="right"/>
              <w:rPr>
                <w:rFonts w:cs="Arial"/>
                <w:sz w:val="20"/>
                <w:lang w:eastAsia="pt-BR"/>
              </w:rPr>
            </w:pPr>
            <w:r w:rsidRPr="004C2810">
              <w:rPr>
                <w:rFonts w:cs="Arial"/>
                <w:sz w:val="20"/>
                <w:lang w:eastAsia="pt-BR"/>
              </w:rPr>
              <w:t>R$ 41,67</w:t>
            </w:r>
          </w:p>
        </w:tc>
      </w:tr>
      <w:tr w:rsidR="004C2810" w:rsidRPr="004C2810" w:rsidTr="004C2810">
        <w:trPr>
          <w:trHeight w:val="300"/>
        </w:trPr>
        <w:tc>
          <w:tcPr>
            <w:tcW w:w="1000" w:type="pct"/>
            <w:noWrap/>
            <w:vAlign w:val="center"/>
            <w:hideMark/>
          </w:tcPr>
          <w:p w:rsidR="004C2810" w:rsidRPr="004C2810" w:rsidRDefault="004C2810" w:rsidP="000232EC">
            <w:pPr>
              <w:spacing w:line="240" w:lineRule="auto"/>
              <w:jc w:val="center"/>
              <w:rPr>
                <w:rFonts w:cs="Arial"/>
                <w:sz w:val="20"/>
                <w:lang w:eastAsia="pt-BR"/>
              </w:rPr>
            </w:pPr>
            <w:r w:rsidRPr="004C2810">
              <w:rPr>
                <w:rFonts w:cs="Arial"/>
                <w:sz w:val="20"/>
                <w:lang w:eastAsia="pt-BR"/>
              </w:rPr>
              <w:t>Comercial 2</w:t>
            </w:r>
          </w:p>
        </w:tc>
        <w:tc>
          <w:tcPr>
            <w:tcW w:w="1000" w:type="pct"/>
            <w:noWrap/>
            <w:vAlign w:val="center"/>
            <w:hideMark/>
          </w:tcPr>
          <w:p w:rsidR="004C2810" w:rsidRPr="004C2810" w:rsidRDefault="004C2810" w:rsidP="004C2810">
            <w:pPr>
              <w:spacing w:line="240" w:lineRule="auto"/>
              <w:jc w:val="right"/>
              <w:rPr>
                <w:rFonts w:cs="Arial"/>
                <w:sz w:val="20"/>
                <w:lang w:eastAsia="pt-BR"/>
              </w:rPr>
            </w:pPr>
            <w:r w:rsidRPr="004C2810">
              <w:rPr>
                <w:rFonts w:cs="Arial"/>
                <w:sz w:val="20"/>
                <w:lang w:eastAsia="pt-BR"/>
              </w:rPr>
              <w:t>0,50</w:t>
            </w:r>
          </w:p>
        </w:tc>
        <w:tc>
          <w:tcPr>
            <w:tcW w:w="1000" w:type="pct"/>
            <w:noWrap/>
            <w:vAlign w:val="center"/>
            <w:hideMark/>
          </w:tcPr>
          <w:p w:rsidR="004C2810" w:rsidRPr="004C2810" w:rsidRDefault="004C2810" w:rsidP="000232EC">
            <w:pPr>
              <w:spacing w:line="240" w:lineRule="auto"/>
              <w:jc w:val="right"/>
              <w:rPr>
                <w:rFonts w:cs="Arial"/>
                <w:sz w:val="20"/>
                <w:lang w:eastAsia="pt-BR"/>
              </w:rPr>
            </w:pPr>
            <w:r w:rsidRPr="004C2810">
              <w:rPr>
                <w:rFonts w:cs="Arial"/>
                <w:sz w:val="20"/>
                <w:lang w:eastAsia="pt-BR"/>
              </w:rPr>
              <w:t>100</w:t>
            </w:r>
          </w:p>
        </w:tc>
        <w:tc>
          <w:tcPr>
            <w:tcW w:w="1000" w:type="pct"/>
            <w:noWrap/>
            <w:vAlign w:val="center"/>
            <w:hideMark/>
          </w:tcPr>
          <w:p w:rsidR="004C2810" w:rsidRPr="004C2810" w:rsidRDefault="004C2810" w:rsidP="004C2810">
            <w:pPr>
              <w:spacing w:line="240" w:lineRule="auto"/>
              <w:jc w:val="right"/>
              <w:rPr>
                <w:rFonts w:cs="Arial"/>
                <w:sz w:val="20"/>
                <w:lang w:eastAsia="pt-BR"/>
              </w:rPr>
            </w:pPr>
            <w:r w:rsidRPr="004C2810">
              <w:rPr>
                <w:rFonts w:cs="Arial"/>
                <w:sz w:val="20"/>
                <w:lang w:eastAsia="pt-BR"/>
              </w:rPr>
              <w:t>R$ 1.000,00</w:t>
            </w:r>
          </w:p>
        </w:tc>
        <w:tc>
          <w:tcPr>
            <w:tcW w:w="1000" w:type="pct"/>
            <w:noWrap/>
            <w:vAlign w:val="center"/>
            <w:hideMark/>
          </w:tcPr>
          <w:p w:rsidR="004C2810" w:rsidRPr="004C2810" w:rsidRDefault="004C2810" w:rsidP="004C2810">
            <w:pPr>
              <w:spacing w:line="240" w:lineRule="auto"/>
              <w:jc w:val="right"/>
              <w:rPr>
                <w:rFonts w:cs="Arial"/>
                <w:sz w:val="20"/>
                <w:lang w:eastAsia="pt-BR"/>
              </w:rPr>
            </w:pPr>
            <w:r w:rsidRPr="004C2810">
              <w:rPr>
                <w:rFonts w:cs="Arial"/>
                <w:sz w:val="20"/>
                <w:lang w:eastAsia="pt-BR"/>
              </w:rPr>
              <w:t>R$ 83,33</w:t>
            </w:r>
          </w:p>
        </w:tc>
      </w:tr>
    </w:tbl>
    <w:p w:rsidR="00C512B5" w:rsidRPr="004C2810" w:rsidRDefault="00C512B5" w:rsidP="00C512B5">
      <w:pPr>
        <w:pStyle w:val="Fonte"/>
        <w:spacing w:before="0"/>
      </w:pPr>
      <w:r w:rsidRPr="004C2810">
        <w:t>Fonte: SHS, 2017.</w:t>
      </w:r>
    </w:p>
    <w:p w:rsidR="00C512B5" w:rsidRPr="004C2810" w:rsidRDefault="00C512B5" w:rsidP="002828C8">
      <w:pPr>
        <w:pStyle w:val="Ttulo5"/>
      </w:pPr>
      <w:bookmarkStart w:id="302" w:name="_Toc447896760"/>
      <w:bookmarkStart w:id="303" w:name="_Toc487204534"/>
      <w:bookmarkStart w:id="304" w:name="_Toc497469027"/>
      <w:r w:rsidRPr="004C2810">
        <w:t>Cálculo baseado no consumo de água</w:t>
      </w:r>
      <w:bookmarkEnd w:id="302"/>
      <w:bookmarkEnd w:id="303"/>
      <w:bookmarkEnd w:id="304"/>
    </w:p>
    <w:p w:rsidR="00C512B5" w:rsidRPr="004C2810" w:rsidRDefault="00C512B5" w:rsidP="00C512B5">
      <w:pPr>
        <w:ind w:firstLine="709"/>
        <w:rPr>
          <w:rFonts w:cs="Arial"/>
          <w:lang w:eastAsia="pt-BR"/>
        </w:rPr>
      </w:pPr>
      <w:r w:rsidRPr="004C2810">
        <w:rPr>
          <w:rFonts w:cs="Arial"/>
          <w:lang w:eastAsia="pt-BR"/>
        </w:rPr>
        <w:t>De forma geral, as metodologias utilizadas até o momento têm se mostrado pouco eficazes em atender ao princípio que permite cobrar do gerador de resíduos sólidos de acordo com a sua capacidade de produzir tais resíduos. A área construída e a localização do imóvel são critérios bastante razoáveis para atender ao princípio da capacidade pagamento, mas pouco eficazes quanto à capacidade geradora.</w:t>
      </w:r>
    </w:p>
    <w:p w:rsidR="00C512B5" w:rsidRPr="004C2810" w:rsidRDefault="00C512B5" w:rsidP="00C512B5">
      <w:pPr>
        <w:ind w:firstLine="709"/>
        <w:rPr>
          <w:rFonts w:cs="Arial"/>
          <w:lang w:eastAsia="pt-BR"/>
        </w:rPr>
      </w:pPr>
      <w:r w:rsidRPr="004C2810">
        <w:rPr>
          <w:rFonts w:cs="Arial"/>
          <w:lang w:eastAsia="pt-BR"/>
        </w:rPr>
        <w:t>Sabe-se que a geração de resíduos sólidos está associada a fatores como renda, idade e nível educacional, difíceis de serem mensurados. Entretanto, recentemente, alguns estudos têm mostrado que há significativa correlação entre o consumo de água por economias (ou domicílios) e geração de resíduos.</w:t>
      </w:r>
    </w:p>
    <w:p w:rsidR="00C512B5" w:rsidRPr="004C2810" w:rsidRDefault="00C512B5" w:rsidP="00C512B5">
      <w:pPr>
        <w:ind w:firstLine="709"/>
      </w:pPr>
      <w:r w:rsidRPr="004C2810">
        <w:rPr>
          <w:rFonts w:cs="Arial"/>
          <w:lang w:eastAsia="pt-BR"/>
        </w:rPr>
        <w:t xml:space="preserve">Assim, a metodologia proposta por D’ella (2000 </w:t>
      </w:r>
      <w:r w:rsidRPr="004C2810">
        <w:rPr>
          <w:rFonts w:cs="Arial"/>
          <w:i/>
          <w:lang w:eastAsia="pt-BR"/>
        </w:rPr>
        <w:t>apud</w:t>
      </w:r>
      <w:r w:rsidRPr="004C2810">
        <w:rPr>
          <w:rFonts w:cs="Arial"/>
          <w:lang w:eastAsia="pt-BR"/>
        </w:rPr>
        <w:t xml:space="preserve"> Onofre, 2011) consiste em incluir o volume de água consumido pelas economias no cálculo da taxa de coleta de lixo</w:t>
      </w:r>
      <w:r w:rsidRPr="004C2810">
        <w:t>, como na equação a seguir.</w:t>
      </w:r>
    </w:p>
    <w:p w:rsidR="00C512B5" w:rsidRPr="004C2810" w:rsidRDefault="00C512B5" w:rsidP="00C512B5">
      <w:pPr>
        <w:ind w:firstLine="709"/>
      </w:pPr>
    </w:p>
    <w:p w:rsidR="00C512B5" w:rsidRPr="004C2810" w:rsidRDefault="004D1D76" w:rsidP="00C512B5">
      <w:pPr>
        <w:pStyle w:val="figura"/>
      </w:pPr>
      <m:oMathPara>
        <m:oMath>
          <m:sSub>
            <m:sSubPr>
              <m:ctrlPr>
                <w:rPr>
                  <w:rFonts w:ascii="Cambria Math" w:hAnsi="Cambria Math"/>
                </w:rPr>
              </m:ctrlPr>
            </m:sSubPr>
            <m:e>
              <m:r>
                <w:rPr>
                  <w:rFonts w:ascii="Cambria Math" w:hAnsi="Cambria Math"/>
                </w:rPr>
                <m:t>Taxa</m:t>
              </m:r>
            </m:e>
            <m:sub>
              <m:r>
                <w:rPr>
                  <w:rFonts w:ascii="Cambria Math" w:hAnsi="Cambria Math"/>
                </w:rPr>
                <m:t>Lixo</m:t>
              </m:r>
            </m:sub>
          </m:sSub>
          <m:r>
            <m:rPr>
              <m:sty m:val="p"/>
            </m:rPr>
            <w:rPr>
              <w:rFonts w:ascii="Cambria Math" w:hAnsi="Cambria Math"/>
            </w:rPr>
            <m:t xml:space="preserve"> =</m:t>
          </m:r>
          <m:d>
            <m:dPr>
              <m:ctrlPr>
                <w:rPr>
                  <w:rFonts w:ascii="Cambria Math" w:hAnsi="Cambria Math"/>
                </w:rPr>
              </m:ctrlPr>
            </m:dPr>
            <m:e>
              <m:f>
                <m:fPr>
                  <m:ctrlPr>
                    <w:rPr>
                      <w:rFonts w:ascii="Cambria Math" w:hAnsi="Cambria Math"/>
                    </w:rPr>
                  </m:ctrlPr>
                </m:fPr>
                <m:num>
                  <m:r>
                    <w:rPr>
                      <w:rFonts w:ascii="Cambria Math" w:hAnsi="Cambria Math"/>
                    </w:rPr>
                    <m:t>consumo</m:t>
                  </m:r>
                  <m:r>
                    <m:rPr>
                      <m:sty m:val="p"/>
                    </m:rPr>
                    <w:rPr>
                      <w:rFonts w:ascii="Cambria Math" w:hAnsi="Cambria Math"/>
                    </w:rPr>
                    <m:t xml:space="preserve"> </m:t>
                  </m:r>
                  <m:r>
                    <w:rPr>
                      <w:rFonts w:ascii="Cambria Math" w:hAnsi="Cambria Math"/>
                    </w:rPr>
                    <m:t>de</m:t>
                  </m:r>
                  <m:r>
                    <m:rPr>
                      <m:sty m:val="p"/>
                    </m:rPr>
                    <w:rPr>
                      <w:rFonts w:ascii="Cambria Math" w:hAnsi="Cambria Math"/>
                    </w:rPr>
                    <m:t xml:space="preserve"> á</m:t>
                  </m:r>
                  <m:r>
                    <w:rPr>
                      <w:rFonts w:ascii="Cambria Math" w:hAnsi="Cambria Math"/>
                    </w:rPr>
                    <m:t>gua</m:t>
                  </m:r>
                  <m:r>
                    <m:rPr>
                      <m:sty m:val="p"/>
                    </m:rPr>
                    <w:rPr>
                      <w:rFonts w:ascii="Cambria Math" w:hAnsi="Cambria Math"/>
                    </w:rPr>
                    <m:t xml:space="preserve"> </m:t>
                  </m:r>
                  <m:r>
                    <w:rPr>
                      <w:rFonts w:ascii="Cambria Math" w:hAnsi="Cambria Math"/>
                    </w:rPr>
                    <m:t>da</m:t>
                  </m:r>
                  <m:r>
                    <m:rPr>
                      <m:sty m:val="p"/>
                    </m:rPr>
                    <w:rPr>
                      <w:rFonts w:ascii="Cambria Math" w:hAnsi="Cambria Math"/>
                    </w:rPr>
                    <m:t xml:space="preserve"> </m:t>
                  </m:r>
                  <m:r>
                    <w:rPr>
                      <w:rFonts w:ascii="Cambria Math" w:hAnsi="Cambria Math"/>
                    </w:rPr>
                    <m:t>economia</m:t>
                  </m:r>
                  <m:r>
                    <m:rPr>
                      <m:sty m:val="p"/>
                    </m:rPr>
                    <w:rPr>
                      <w:rFonts w:ascii="Cambria Math" w:hAnsi="Cambria Math"/>
                    </w:rPr>
                    <m:t xml:space="preserve"> (</m:t>
                  </m:r>
                  <m:sSup>
                    <m:sSupPr>
                      <m:ctrlPr>
                        <w:rPr>
                          <w:rFonts w:ascii="Cambria Math" w:hAnsi="Cambria Math"/>
                        </w:rPr>
                      </m:ctrlPr>
                    </m:sSupPr>
                    <m:e>
                      <m:r>
                        <w:rPr>
                          <w:rFonts w:ascii="Cambria Math" w:hAnsi="Cambria Math"/>
                        </w:rPr>
                        <m:t>m</m:t>
                      </m:r>
                    </m:e>
                    <m:sup>
                      <m:r>
                        <m:rPr>
                          <m:sty m:val="p"/>
                        </m:rPr>
                        <w:rPr>
                          <w:rFonts w:ascii="Cambria Math" w:hAnsi="Cambria Math"/>
                        </w:rPr>
                        <m:t>3</m:t>
                      </m:r>
                    </m:sup>
                  </m:sSup>
                  <m:r>
                    <m:rPr>
                      <m:sty m:val="p"/>
                    </m:rPr>
                    <w:rPr>
                      <w:rFonts w:ascii="Cambria Math" w:hAnsi="Cambria Math"/>
                    </w:rPr>
                    <m:t>)</m:t>
                  </m:r>
                </m:num>
                <m:den>
                  <m:r>
                    <w:rPr>
                      <w:rFonts w:ascii="Cambria Math" w:hAnsi="Cambria Math"/>
                    </w:rPr>
                    <m:t>consumo</m:t>
                  </m:r>
                  <m:r>
                    <m:rPr>
                      <m:sty m:val="p"/>
                    </m:rPr>
                    <w:rPr>
                      <w:rFonts w:ascii="Cambria Math" w:hAnsi="Cambria Math"/>
                    </w:rPr>
                    <m:t xml:space="preserve"> </m:t>
                  </m:r>
                  <m:r>
                    <w:rPr>
                      <w:rFonts w:ascii="Cambria Math" w:hAnsi="Cambria Math"/>
                    </w:rPr>
                    <m:t>de</m:t>
                  </m:r>
                  <m:r>
                    <m:rPr>
                      <m:sty m:val="p"/>
                    </m:rPr>
                    <w:rPr>
                      <w:rFonts w:ascii="Cambria Math" w:hAnsi="Cambria Math"/>
                    </w:rPr>
                    <m:t xml:space="preserve"> á</m:t>
                  </m:r>
                  <m:r>
                    <w:rPr>
                      <w:rFonts w:ascii="Cambria Math" w:hAnsi="Cambria Math"/>
                    </w:rPr>
                    <m:t>gua</m:t>
                  </m:r>
                  <m:r>
                    <m:rPr>
                      <m:sty m:val="p"/>
                    </m:rPr>
                    <w:rPr>
                      <w:rFonts w:ascii="Cambria Math" w:hAnsi="Cambria Math"/>
                    </w:rPr>
                    <m:t xml:space="preserve"> </m:t>
                  </m:r>
                  <m:r>
                    <w:rPr>
                      <w:rFonts w:ascii="Cambria Math" w:hAnsi="Cambria Math"/>
                    </w:rPr>
                    <m:t>total</m:t>
                  </m:r>
                  <m:r>
                    <m:rPr>
                      <m:sty m:val="p"/>
                    </m:rPr>
                    <w:rPr>
                      <w:rFonts w:ascii="Cambria Math" w:hAnsi="Cambria Math"/>
                    </w:rPr>
                    <m:t xml:space="preserve"> </m:t>
                  </m:r>
                  <m:r>
                    <w:rPr>
                      <w:rFonts w:ascii="Cambria Math" w:hAnsi="Cambria Math"/>
                    </w:rPr>
                    <m:t>no</m:t>
                  </m:r>
                  <m:r>
                    <m:rPr>
                      <m:sty m:val="p"/>
                    </m:rPr>
                    <w:rPr>
                      <w:rFonts w:ascii="Cambria Math" w:hAnsi="Cambria Math"/>
                    </w:rPr>
                    <m:t xml:space="preserve"> </m:t>
                  </m:r>
                  <m:r>
                    <w:rPr>
                      <w:rFonts w:ascii="Cambria Math" w:hAnsi="Cambria Math"/>
                    </w:rPr>
                    <m:t>munic</m:t>
                  </m:r>
                  <m:r>
                    <m:rPr>
                      <m:sty m:val="p"/>
                    </m:rPr>
                    <w:rPr>
                      <w:rFonts w:ascii="Cambria Math" w:hAnsi="Cambria Math"/>
                    </w:rPr>
                    <m:t>í</m:t>
                  </m:r>
                  <m:r>
                    <w:rPr>
                      <w:rFonts w:ascii="Cambria Math" w:hAnsi="Cambria Math"/>
                    </w:rPr>
                    <m:t>pio</m:t>
                  </m:r>
                  <m:r>
                    <m:rPr>
                      <m:sty m:val="p"/>
                    </m:rPr>
                    <w:rPr>
                      <w:rFonts w:ascii="Cambria Math" w:hAnsi="Cambria Math"/>
                    </w:rPr>
                    <m:t xml:space="preserve"> (</m:t>
                  </m:r>
                  <m:sSup>
                    <m:sSupPr>
                      <m:ctrlPr>
                        <w:rPr>
                          <w:rFonts w:ascii="Cambria Math" w:hAnsi="Cambria Math"/>
                        </w:rPr>
                      </m:ctrlPr>
                    </m:sSupPr>
                    <m:e>
                      <m:r>
                        <w:rPr>
                          <w:rFonts w:ascii="Cambria Math" w:hAnsi="Cambria Math"/>
                        </w:rPr>
                        <m:t>m</m:t>
                      </m:r>
                    </m:e>
                    <m:sup>
                      <m:r>
                        <m:rPr>
                          <m:sty m:val="p"/>
                        </m:rPr>
                        <w:rPr>
                          <w:rFonts w:ascii="Cambria Math" w:hAnsi="Cambria Math"/>
                        </w:rPr>
                        <m:t>3</m:t>
                      </m:r>
                    </m:sup>
                  </m:sSup>
                  <m:r>
                    <m:rPr>
                      <m:sty m:val="p"/>
                    </m:rPr>
                    <w:rPr>
                      <w:rFonts w:ascii="Cambria Math" w:hAnsi="Cambria Math"/>
                    </w:rPr>
                    <m:t>)</m:t>
                  </m:r>
                </m:den>
              </m:f>
            </m:e>
          </m:d>
          <m:r>
            <m:rPr>
              <m:sty m:val="p"/>
            </m:rPr>
            <w:rPr>
              <w:rFonts w:ascii="Cambria Math" w:hAnsi="Cambria Math"/>
            </w:rPr>
            <m:t>×</m:t>
          </m:r>
          <m:r>
            <w:rPr>
              <w:rFonts w:ascii="Cambria Math" w:hAnsi="Cambria Math"/>
            </w:rPr>
            <m:t>custo</m:t>
          </m:r>
          <m:r>
            <m:rPr>
              <m:sty m:val="p"/>
            </m:rPr>
            <w:rPr>
              <w:rFonts w:ascii="Cambria Math" w:hAnsi="Cambria Math"/>
            </w:rPr>
            <m:t xml:space="preserve"> </m:t>
          </m:r>
          <m:r>
            <w:rPr>
              <w:rFonts w:ascii="Cambria Math" w:hAnsi="Cambria Math"/>
            </w:rPr>
            <m:t>dos</m:t>
          </m:r>
          <m:r>
            <m:rPr>
              <m:sty m:val="p"/>
            </m:rPr>
            <w:rPr>
              <w:rFonts w:ascii="Cambria Math" w:hAnsi="Cambria Math"/>
            </w:rPr>
            <m:t xml:space="preserve"> </m:t>
          </m:r>
          <m:r>
            <w:rPr>
              <w:rFonts w:ascii="Cambria Math" w:hAnsi="Cambria Math"/>
            </w:rPr>
            <m:t>servi</m:t>
          </m:r>
          <m:r>
            <m:rPr>
              <m:sty m:val="p"/>
            </m:rPr>
            <w:rPr>
              <w:rFonts w:ascii="Cambria Math" w:hAnsi="Cambria Math"/>
            </w:rPr>
            <m:t>ç</m:t>
          </m:r>
          <m:r>
            <w:rPr>
              <w:rFonts w:ascii="Cambria Math" w:hAnsi="Cambria Math"/>
            </w:rPr>
            <m:t>os</m:t>
          </m:r>
          <m:r>
            <m:rPr>
              <m:sty m:val="p"/>
            </m:rPr>
            <w:rPr>
              <w:rFonts w:ascii="Cambria Math" w:hAnsi="Cambria Math"/>
            </w:rPr>
            <m:t xml:space="preserve"> (</m:t>
          </m:r>
          <m:r>
            <w:rPr>
              <w:rFonts w:ascii="Cambria Math" w:hAnsi="Cambria Math"/>
            </w:rPr>
            <m:t>R</m:t>
          </m:r>
          <m:r>
            <m:rPr>
              <m:sty m:val="p"/>
            </m:rPr>
            <w:rPr>
              <w:rFonts w:ascii="Cambria Math" w:hAnsi="Cambria Math"/>
            </w:rPr>
            <m:t xml:space="preserve">$) </m:t>
          </m:r>
        </m:oMath>
      </m:oMathPara>
    </w:p>
    <w:p w:rsidR="00C512B5" w:rsidRPr="004C2810" w:rsidRDefault="00C512B5" w:rsidP="00C512B5">
      <w:pPr>
        <w:ind w:firstLine="709"/>
        <w:rPr>
          <w:rFonts w:cs="Arial"/>
        </w:rPr>
      </w:pPr>
    </w:p>
    <w:p w:rsidR="00C512B5" w:rsidRPr="004C2810" w:rsidRDefault="00C512B5" w:rsidP="00C512B5">
      <w:pPr>
        <w:ind w:firstLine="709"/>
        <w:rPr>
          <w:rFonts w:cs="Arial"/>
        </w:rPr>
      </w:pPr>
      <w:r w:rsidRPr="004C2810">
        <w:rPr>
          <w:rFonts w:cs="Arial"/>
        </w:rPr>
        <w:lastRenderedPageBreak/>
        <w:t>É possível simular quanto teria sido essa taxa no município de Córrego Novo no ano de 20</w:t>
      </w:r>
      <w:r w:rsidR="004C2810" w:rsidRPr="004C2810">
        <w:rPr>
          <w:rFonts w:cs="Arial"/>
        </w:rPr>
        <w:t>09</w:t>
      </w:r>
      <w:r w:rsidRPr="004C2810">
        <w:rPr>
          <w:rFonts w:cs="Arial"/>
        </w:rPr>
        <w:t xml:space="preserve"> para domicílios com diferentes padrões de consumo de água. Foram utilizados os mesmos dados considerados no cálculo da taxa pelo método do rateio dos custos pelo número de economias, isto é, população urbana de </w:t>
      </w:r>
      <w:r w:rsidR="004C2810">
        <w:rPr>
          <w:rFonts w:cs="Arial"/>
        </w:rPr>
        <w:t>3</w:t>
      </w:r>
      <w:r w:rsidRPr="004C2810">
        <w:rPr>
          <w:rFonts w:cs="Arial"/>
        </w:rPr>
        <w:t>.</w:t>
      </w:r>
      <w:r w:rsidR="004C2810">
        <w:rPr>
          <w:rFonts w:cs="Arial"/>
        </w:rPr>
        <w:t>138</w:t>
      </w:r>
      <w:r w:rsidRPr="004C2810">
        <w:rPr>
          <w:rFonts w:cs="Arial"/>
        </w:rPr>
        <w:t xml:space="preserve"> habitantes, total de </w:t>
      </w:r>
      <w:r w:rsidR="004C2810" w:rsidRPr="004C2810">
        <w:rPr>
          <w:rFonts w:cs="Arial"/>
        </w:rPr>
        <w:t>951</w:t>
      </w:r>
      <w:r w:rsidRPr="004C2810">
        <w:rPr>
          <w:rFonts w:cs="Arial"/>
        </w:rPr>
        <w:t> domicílios e custo total dos serviços de limpeza urbana e manejo de resíduos sólidos de R$</w:t>
      </w:r>
      <w:r w:rsidR="004C2810" w:rsidRPr="004C2810">
        <w:rPr>
          <w:rFonts w:cs="Arial"/>
        </w:rPr>
        <w:t>539</w:t>
      </w:r>
      <w:r w:rsidRPr="004C2810">
        <w:rPr>
          <w:rFonts w:cs="Arial"/>
        </w:rPr>
        <w:t>.</w:t>
      </w:r>
      <w:r w:rsidR="004C2810" w:rsidRPr="004C2810">
        <w:rPr>
          <w:rFonts w:cs="Arial"/>
        </w:rPr>
        <w:t>5</w:t>
      </w:r>
      <w:r w:rsidRPr="004C2810">
        <w:rPr>
          <w:rFonts w:cs="Arial"/>
        </w:rPr>
        <w:t xml:space="preserve">00,00. Foi estimado ainda o consumo de água total na área urbana do município a partir do valor do consumo </w:t>
      </w:r>
      <w:r w:rsidRPr="004C2810">
        <w:rPr>
          <w:rFonts w:cs="Arial"/>
          <w:i/>
        </w:rPr>
        <w:t>per capita</w:t>
      </w:r>
      <w:r w:rsidRPr="004C2810">
        <w:rPr>
          <w:rFonts w:cs="Arial"/>
        </w:rPr>
        <w:t xml:space="preserve"> de água indicado pela </w:t>
      </w:r>
      <w:r w:rsidR="004C2810" w:rsidRPr="004C2810">
        <w:rPr>
          <w:rFonts w:cs="Arial"/>
        </w:rPr>
        <w:t>SNIS</w:t>
      </w:r>
      <w:r w:rsidR="00AD5D71">
        <w:rPr>
          <w:rFonts w:cs="Arial"/>
        </w:rPr>
        <w:t xml:space="preserve"> </w:t>
      </w:r>
      <w:r w:rsidRPr="004C2810">
        <w:rPr>
          <w:rFonts w:cs="Arial"/>
        </w:rPr>
        <w:t>(</w:t>
      </w:r>
      <w:r w:rsidR="004C2810" w:rsidRPr="004C2810">
        <w:rPr>
          <w:rFonts w:cs="Arial"/>
        </w:rPr>
        <w:t xml:space="preserve">137 </w:t>
      </w:r>
      <w:r w:rsidRPr="004C2810">
        <w:rPr>
          <w:rFonts w:cs="Arial"/>
        </w:rPr>
        <w:t xml:space="preserve">L/hab.dia), resultando em um total de </w:t>
      </w:r>
      <w:r w:rsidR="004C2810" w:rsidRPr="004C2810">
        <w:rPr>
          <w:rFonts w:cs="Arial"/>
        </w:rPr>
        <w:t>156.916</w:t>
      </w:r>
      <w:r w:rsidRPr="004C2810">
        <w:rPr>
          <w:rFonts w:cs="Arial"/>
        </w:rPr>
        <w:t>m³ de água consumidos.</w:t>
      </w:r>
    </w:p>
    <w:p w:rsidR="00C512B5" w:rsidRPr="004C2810" w:rsidRDefault="00C512B5" w:rsidP="00C512B5">
      <w:pPr>
        <w:ind w:firstLine="709"/>
        <w:rPr>
          <w:rFonts w:cs="Arial"/>
          <w:szCs w:val="24"/>
        </w:rPr>
      </w:pPr>
      <w:r w:rsidRPr="004C2810">
        <w:rPr>
          <w:rFonts w:cs="Arial"/>
        </w:rPr>
        <w:t>A partir desses valores, foram simuladas as taxas de coleta de lixo urbano que seriam aplicadas em 2016 para domicílios com consumo anual de água de 50, 100, 150 e 200m³ (</w:t>
      </w:r>
      <w:r w:rsidRPr="004C2810">
        <w:rPr>
          <w:rFonts w:cs="Arial"/>
        </w:rPr>
        <w:fldChar w:fldCharType="begin"/>
      </w:r>
      <w:r w:rsidRPr="004C2810">
        <w:rPr>
          <w:rFonts w:cs="Arial"/>
        </w:rPr>
        <w:instrText xml:space="preserve"> REF _Ref435168570 \h  \* MERGEFORMAT </w:instrText>
      </w:r>
      <w:r w:rsidRPr="004C2810">
        <w:rPr>
          <w:rFonts w:cs="Arial"/>
        </w:rPr>
      </w:r>
      <w:r w:rsidRPr="004C2810">
        <w:rPr>
          <w:rFonts w:cs="Arial"/>
        </w:rPr>
        <w:fldChar w:fldCharType="separate"/>
      </w:r>
      <w:r w:rsidR="004D1D76" w:rsidRPr="004C2810">
        <w:t xml:space="preserve">Tabela </w:t>
      </w:r>
      <w:r w:rsidR="004D1D76">
        <w:rPr>
          <w:noProof/>
        </w:rPr>
        <w:t>9</w:t>
      </w:r>
      <w:r w:rsidRPr="004C2810">
        <w:rPr>
          <w:rFonts w:cs="Arial"/>
        </w:rPr>
        <w:fldChar w:fldCharType="end"/>
      </w:r>
      <w:r w:rsidRPr="004C2810">
        <w:rPr>
          <w:rFonts w:cs="Arial"/>
        </w:rPr>
        <w:t xml:space="preserve">). Como é possível observar, essa metodologia </w:t>
      </w:r>
      <w:r w:rsidRPr="004C2810">
        <w:rPr>
          <w:rFonts w:cs="Arial"/>
          <w:szCs w:val="24"/>
        </w:rPr>
        <w:t>permite que o pagamento da taxa seja proporcional à geração de lixo pela economia, observando o princípio do poluidor-pagador.</w:t>
      </w:r>
    </w:p>
    <w:p w:rsidR="00C512B5" w:rsidRPr="004C2810" w:rsidRDefault="00C512B5" w:rsidP="00C512B5">
      <w:pPr>
        <w:pStyle w:val="Legenda"/>
      </w:pPr>
      <w:bookmarkStart w:id="305" w:name="_Ref435168570"/>
      <w:bookmarkStart w:id="306" w:name="_Toc447896844"/>
      <w:bookmarkStart w:id="307" w:name="_Toc487204723"/>
      <w:bookmarkStart w:id="308" w:name="_Toc497469211"/>
      <w:r w:rsidRPr="004C2810">
        <w:t xml:space="preserve">Tabela </w:t>
      </w:r>
      <w:r w:rsidR="00D71C43">
        <w:fldChar w:fldCharType="begin"/>
      </w:r>
      <w:r w:rsidR="00D71C43">
        <w:instrText xml:space="preserve"> SEQ Tabela \* ARABIC </w:instrText>
      </w:r>
      <w:r w:rsidR="00D71C43">
        <w:fldChar w:fldCharType="separate"/>
      </w:r>
      <w:r w:rsidR="004D1D76">
        <w:rPr>
          <w:noProof/>
        </w:rPr>
        <w:t>9</w:t>
      </w:r>
      <w:r w:rsidR="00D71C43">
        <w:rPr>
          <w:noProof/>
        </w:rPr>
        <w:fldChar w:fldCharType="end"/>
      </w:r>
      <w:bookmarkEnd w:id="305"/>
      <w:r w:rsidRPr="004C2810">
        <w:t xml:space="preserve"> - Simulação das taxas de coleta de resíduos sólidos baseadas no consumo de água</w:t>
      </w:r>
      <w:bookmarkEnd w:id="306"/>
      <w:bookmarkEnd w:id="307"/>
      <w:bookmarkEnd w:id="308"/>
    </w:p>
    <w:tbl>
      <w:tblPr>
        <w:tblStyle w:val="Tabelacomgrade"/>
        <w:tblW w:w="4533" w:type="pct"/>
        <w:jc w:val="center"/>
        <w:tblBorders>
          <w:left w:val="none" w:sz="0" w:space="0" w:color="auto"/>
          <w:right w:val="none" w:sz="0" w:space="0" w:color="auto"/>
        </w:tblBorders>
        <w:tblLook w:val="04A0" w:firstRow="1" w:lastRow="0" w:firstColumn="1" w:lastColumn="0" w:noHBand="0" w:noVBand="1"/>
      </w:tblPr>
      <w:tblGrid>
        <w:gridCol w:w="2892"/>
        <w:gridCol w:w="2891"/>
        <w:gridCol w:w="2893"/>
      </w:tblGrid>
      <w:tr w:rsidR="00C512B5" w:rsidRPr="004C2810" w:rsidTr="000232EC">
        <w:trPr>
          <w:trHeight w:val="510"/>
          <w:jc w:val="center"/>
        </w:trPr>
        <w:tc>
          <w:tcPr>
            <w:tcW w:w="1667" w:type="pct"/>
            <w:vAlign w:val="center"/>
            <w:hideMark/>
          </w:tcPr>
          <w:p w:rsidR="00C512B5" w:rsidRPr="004C2810" w:rsidRDefault="00C512B5" w:rsidP="000232EC">
            <w:pPr>
              <w:spacing w:line="240" w:lineRule="auto"/>
              <w:jc w:val="center"/>
              <w:rPr>
                <w:b/>
                <w:sz w:val="20"/>
              </w:rPr>
            </w:pPr>
            <w:r w:rsidRPr="004C2810">
              <w:rPr>
                <w:b/>
                <w:sz w:val="20"/>
              </w:rPr>
              <w:t>Consumo anual de água</w:t>
            </w:r>
          </w:p>
          <w:p w:rsidR="00C512B5" w:rsidRPr="004C2810" w:rsidRDefault="00C512B5" w:rsidP="000232EC">
            <w:pPr>
              <w:spacing w:line="240" w:lineRule="auto"/>
              <w:jc w:val="center"/>
              <w:rPr>
                <w:b/>
                <w:sz w:val="20"/>
              </w:rPr>
            </w:pPr>
            <w:r w:rsidRPr="004C2810">
              <w:rPr>
                <w:b/>
                <w:sz w:val="20"/>
              </w:rPr>
              <w:t>da economia (m³)</w:t>
            </w:r>
          </w:p>
        </w:tc>
        <w:tc>
          <w:tcPr>
            <w:tcW w:w="1666" w:type="pct"/>
            <w:vAlign w:val="center"/>
            <w:hideMark/>
          </w:tcPr>
          <w:p w:rsidR="00C512B5" w:rsidRPr="004C2810" w:rsidRDefault="00C512B5" w:rsidP="000232EC">
            <w:pPr>
              <w:spacing w:line="240" w:lineRule="auto"/>
              <w:jc w:val="center"/>
              <w:rPr>
                <w:b/>
                <w:sz w:val="20"/>
              </w:rPr>
            </w:pPr>
            <w:r w:rsidRPr="004C2810">
              <w:rPr>
                <w:b/>
                <w:sz w:val="20"/>
              </w:rPr>
              <w:t>Taxa anual de coleta</w:t>
            </w:r>
          </w:p>
          <w:p w:rsidR="00C512B5" w:rsidRPr="004C2810" w:rsidRDefault="00C512B5" w:rsidP="000232EC">
            <w:pPr>
              <w:spacing w:line="240" w:lineRule="auto"/>
              <w:jc w:val="center"/>
              <w:rPr>
                <w:b/>
                <w:sz w:val="20"/>
              </w:rPr>
            </w:pPr>
            <w:r w:rsidRPr="004C2810">
              <w:rPr>
                <w:b/>
                <w:sz w:val="20"/>
              </w:rPr>
              <w:t>de lixo urbano</w:t>
            </w:r>
          </w:p>
        </w:tc>
        <w:tc>
          <w:tcPr>
            <w:tcW w:w="1667" w:type="pct"/>
            <w:vAlign w:val="center"/>
            <w:hideMark/>
          </w:tcPr>
          <w:p w:rsidR="00C512B5" w:rsidRPr="004C2810" w:rsidRDefault="00C512B5" w:rsidP="000232EC">
            <w:pPr>
              <w:spacing w:line="240" w:lineRule="auto"/>
              <w:jc w:val="center"/>
              <w:rPr>
                <w:b/>
                <w:sz w:val="20"/>
              </w:rPr>
            </w:pPr>
            <w:r w:rsidRPr="004C2810">
              <w:rPr>
                <w:b/>
                <w:sz w:val="20"/>
              </w:rPr>
              <w:t>Taxa mensal de coleta</w:t>
            </w:r>
          </w:p>
          <w:p w:rsidR="00C512B5" w:rsidRPr="004C2810" w:rsidRDefault="00C512B5" w:rsidP="000232EC">
            <w:pPr>
              <w:spacing w:line="240" w:lineRule="auto"/>
              <w:jc w:val="center"/>
              <w:rPr>
                <w:b/>
                <w:sz w:val="20"/>
              </w:rPr>
            </w:pPr>
            <w:r w:rsidRPr="004C2810">
              <w:rPr>
                <w:b/>
                <w:sz w:val="20"/>
              </w:rPr>
              <w:t>de lixo urbano</w:t>
            </w:r>
          </w:p>
        </w:tc>
      </w:tr>
      <w:tr w:rsidR="004C2810" w:rsidRPr="004C2810" w:rsidTr="004C2810">
        <w:trPr>
          <w:trHeight w:val="300"/>
          <w:jc w:val="center"/>
        </w:trPr>
        <w:tc>
          <w:tcPr>
            <w:tcW w:w="1667" w:type="pct"/>
            <w:noWrap/>
            <w:vAlign w:val="center"/>
            <w:hideMark/>
          </w:tcPr>
          <w:p w:rsidR="004C2810" w:rsidRPr="004C2810" w:rsidRDefault="004C2810" w:rsidP="000232EC">
            <w:pPr>
              <w:spacing w:line="240" w:lineRule="auto"/>
              <w:jc w:val="right"/>
              <w:rPr>
                <w:sz w:val="20"/>
              </w:rPr>
            </w:pPr>
            <w:r w:rsidRPr="004C2810">
              <w:rPr>
                <w:sz w:val="20"/>
              </w:rPr>
              <w:t>50</w:t>
            </w:r>
          </w:p>
        </w:tc>
        <w:tc>
          <w:tcPr>
            <w:tcW w:w="1666" w:type="pct"/>
            <w:noWrap/>
            <w:vAlign w:val="center"/>
            <w:hideMark/>
          </w:tcPr>
          <w:p w:rsidR="004C2810" w:rsidRPr="004C2810" w:rsidRDefault="004C2810" w:rsidP="004C2810">
            <w:pPr>
              <w:spacing w:line="240" w:lineRule="auto"/>
              <w:jc w:val="right"/>
              <w:rPr>
                <w:sz w:val="20"/>
              </w:rPr>
            </w:pPr>
            <w:r w:rsidRPr="004C2810">
              <w:rPr>
                <w:sz w:val="20"/>
              </w:rPr>
              <w:t>R$ 171,91</w:t>
            </w:r>
          </w:p>
        </w:tc>
        <w:tc>
          <w:tcPr>
            <w:tcW w:w="1667" w:type="pct"/>
            <w:noWrap/>
            <w:vAlign w:val="center"/>
            <w:hideMark/>
          </w:tcPr>
          <w:p w:rsidR="004C2810" w:rsidRPr="004C2810" w:rsidRDefault="004C2810" w:rsidP="004C2810">
            <w:pPr>
              <w:spacing w:line="240" w:lineRule="auto"/>
              <w:jc w:val="right"/>
              <w:rPr>
                <w:sz w:val="20"/>
              </w:rPr>
            </w:pPr>
            <w:r w:rsidRPr="004C2810">
              <w:rPr>
                <w:sz w:val="20"/>
              </w:rPr>
              <w:t>R$ 14,33</w:t>
            </w:r>
          </w:p>
        </w:tc>
      </w:tr>
      <w:tr w:rsidR="004C2810" w:rsidRPr="004C2810" w:rsidTr="004C2810">
        <w:trPr>
          <w:trHeight w:val="300"/>
          <w:jc w:val="center"/>
        </w:trPr>
        <w:tc>
          <w:tcPr>
            <w:tcW w:w="1667" w:type="pct"/>
            <w:noWrap/>
            <w:vAlign w:val="center"/>
            <w:hideMark/>
          </w:tcPr>
          <w:p w:rsidR="004C2810" w:rsidRPr="004C2810" w:rsidRDefault="004C2810" w:rsidP="000232EC">
            <w:pPr>
              <w:spacing w:line="240" w:lineRule="auto"/>
              <w:jc w:val="right"/>
              <w:rPr>
                <w:sz w:val="20"/>
              </w:rPr>
            </w:pPr>
            <w:r w:rsidRPr="004C2810">
              <w:rPr>
                <w:sz w:val="20"/>
              </w:rPr>
              <w:t>100</w:t>
            </w:r>
          </w:p>
        </w:tc>
        <w:tc>
          <w:tcPr>
            <w:tcW w:w="1666" w:type="pct"/>
            <w:noWrap/>
            <w:vAlign w:val="center"/>
            <w:hideMark/>
          </w:tcPr>
          <w:p w:rsidR="004C2810" w:rsidRPr="004C2810" w:rsidRDefault="004C2810" w:rsidP="004C2810">
            <w:pPr>
              <w:spacing w:line="240" w:lineRule="auto"/>
              <w:jc w:val="right"/>
              <w:rPr>
                <w:sz w:val="20"/>
              </w:rPr>
            </w:pPr>
            <w:r w:rsidRPr="004C2810">
              <w:rPr>
                <w:sz w:val="20"/>
              </w:rPr>
              <w:t>R$ 343,82</w:t>
            </w:r>
          </w:p>
        </w:tc>
        <w:tc>
          <w:tcPr>
            <w:tcW w:w="1667" w:type="pct"/>
            <w:noWrap/>
            <w:vAlign w:val="center"/>
            <w:hideMark/>
          </w:tcPr>
          <w:p w:rsidR="004C2810" w:rsidRPr="004C2810" w:rsidRDefault="004C2810" w:rsidP="004C2810">
            <w:pPr>
              <w:spacing w:line="240" w:lineRule="auto"/>
              <w:jc w:val="right"/>
              <w:rPr>
                <w:sz w:val="20"/>
              </w:rPr>
            </w:pPr>
            <w:r w:rsidRPr="004C2810">
              <w:rPr>
                <w:sz w:val="20"/>
              </w:rPr>
              <w:t>R$ 28,65</w:t>
            </w:r>
          </w:p>
        </w:tc>
      </w:tr>
      <w:tr w:rsidR="004C2810" w:rsidRPr="004C2810" w:rsidTr="004C2810">
        <w:trPr>
          <w:trHeight w:val="300"/>
          <w:jc w:val="center"/>
        </w:trPr>
        <w:tc>
          <w:tcPr>
            <w:tcW w:w="1667" w:type="pct"/>
            <w:noWrap/>
            <w:vAlign w:val="center"/>
            <w:hideMark/>
          </w:tcPr>
          <w:p w:rsidR="004C2810" w:rsidRPr="004C2810" w:rsidRDefault="004C2810" w:rsidP="000232EC">
            <w:pPr>
              <w:spacing w:line="240" w:lineRule="auto"/>
              <w:jc w:val="right"/>
              <w:rPr>
                <w:sz w:val="20"/>
              </w:rPr>
            </w:pPr>
            <w:r w:rsidRPr="004C2810">
              <w:rPr>
                <w:sz w:val="20"/>
              </w:rPr>
              <w:t>150</w:t>
            </w:r>
          </w:p>
        </w:tc>
        <w:tc>
          <w:tcPr>
            <w:tcW w:w="1666" w:type="pct"/>
            <w:noWrap/>
            <w:vAlign w:val="center"/>
            <w:hideMark/>
          </w:tcPr>
          <w:p w:rsidR="004C2810" w:rsidRPr="004C2810" w:rsidRDefault="004C2810" w:rsidP="004C2810">
            <w:pPr>
              <w:spacing w:line="240" w:lineRule="auto"/>
              <w:jc w:val="right"/>
              <w:rPr>
                <w:sz w:val="20"/>
              </w:rPr>
            </w:pPr>
            <w:r w:rsidRPr="004C2810">
              <w:rPr>
                <w:sz w:val="20"/>
              </w:rPr>
              <w:t>R$ 515,72</w:t>
            </w:r>
          </w:p>
        </w:tc>
        <w:tc>
          <w:tcPr>
            <w:tcW w:w="1667" w:type="pct"/>
            <w:noWrap/>
            <w:vAlign w:val="center"/>
            <w:hideMark/>
          </w:tcPr>
          <w:p w:rsidR="004C2810" w:rsidRPr="004C2810" w:rsidRDefault="004C2810" w:rsidP="004C2810">
            <w:pPr>
              <w:spacing w:line="240" w:lineRule="auto"/>
              <w:jc w:val="right"/>
              <w:rPr>
                <w:sz w:val="20"/>
              </w:rPr>
            </w:pPr>
            <w:r w:rsidRPr="004C2810">
              <w:rPr>
                <w:sz w:val="20"/>
              </w:rPr>
              <w:t>R$ 42,98</w:t>
            </w:r>
          </w:p>
        </w:tc>
      </w:tr>
      <w:tr w:rsidR="004C2810" w:rsidRPr="004C2810" w:rsidTr="004C2810">
        <w:trPr>
          <w:trHeight w:val="300"/>
          <w:jc w:val="center"/>
        </w:trPr>
        <w:tc>
          <w:tcPr>
            <w:tcW w:w="1667" w:type="pct"/>
            <w:noWrap/>
            <w:vAlign w:val="center"/>
            <w:hideMark/>
          </w:tcPr>
          <w:p w:rsidR="004C2810" w:rsidRPr="004C2810" w:rsidRDefault="004C2810" w:rsidP="000232EC">
            <w:pPr>
              <w:spacing w:line="240" w:lineRule="auto"/>
              <w:jc w:val="right"/>
              <w:rPr>
                <w:sz w:val="20"/>
              </w:rPr>
            </w:pPr>
            <w:r w:rsidRPr="004C2810">
              <w:rPr>
                <w:sz w:val="20"/>
              </w:rPr>
              <w:t>200</w:t>
            </w:r>
          </w:p>
        </w:tc>
        <w:tc>
          <w:tcPr>
            <w:tcW w:w="1666" w:type="pct"/>
            <w:noWrap/>
            <w:vAlign w:val="center"/>
            <w:hideMark/>
          </w:tcPr>
          <w:p w:rsidR="004C2810" w:rsidRPr="004C2810" w:rsidRDefault="004C2810" w:rsidP="004C2810">
            <w:pPr>
              <w:spacing w:line="240" w:lineRule="auto"/>
              <w:jc w:val="right"/>
              <w:rPr>
                <w:sz w:val="20"/>
              </w:rPr>
            </w:pPr>
            <w:r w:rsidRPr="004C2810">
              <w:rPr>
                <w:sz w:val="20"/>
              </w:rPr>
              <w:t>R$ 687,63</w:t>
            </w:r>
          </w:p>
        </w:tc>
        <w:tc>
          <w:tcPr>
            <w:tcW w:w="1667" w:type="pct"/>
            <w:noWrap/>
            <w:vAlign w:val="center"/>
            <w:hideMark/>
          </w:tcPr>
          <w:p w:rsidR="004C2810" w:rsidRPr="004C2810" w:rsidRDefault="004C2810" w:rsidP="004C2810">
            <w:pPr>
              <w:spacing w:line="240" w:lineRule="auto"/>
              <w:jc w:val="right"/>
              <w:rPr>
                <w:sz w:val="20"/>
              </w:rPr>
            </w:pPr>
            <w:r w:rsidRPr="004C2810">
              <w:rPr>
                <w:sz w:val="20"/>
              </w:rPr>
              <w:t>R$ 57,30</w:t>
            </w:r>
          </w:p>
        </w:tc>
      </w:tr>
    </w:tbl>
    <w:p w:rsidR="00C512B5" w:rsidRPr="004C2810" w:rsidRDefault="00C512B5" w:rsidP="00C512B5">
      <w:pPr>
        <w:pStyle w:val="Fonte"/>
      </w:pPr>
      <w:r w:rsidRPr="004C2810">
        <w:t>Fonte: SHS, 2017.</w:t>
      </w:r>
    </w:p>
    <w:p w:rsidR="00C512B5" w:rsidRPr="004C2810" w:rsidRDefault="00C512B5" w:rsidP="002828C8">
      <w:pPr>
        <w:pStyle w:val="Ttulo5"/>
      </w:pPr>
      <w:bookmarkStart w:id="309" w:name="_Toc447896761"/>
      <w:bookmarkStart w:id="310" w:name="_Toc487204535"/>
      <w:bookmarkStart w:id="311" w:name="_Toc497469028"/>
      <w:r w:rsidRPr="004C2810">
        <w:t>Cálculo alternativo baseado no consumo de água</w:t>
      </w:r>
      <w:bookmarkEnd w:id="309"/>
      <w:bookmarkEnd w:id="310"/>
      <w:bookmarkEnd w:id="311"/>
    </w:p>
    <w:p w:rsidR="00C512B5" w:rsidRPr="004C2810" w:rsidRDefault="00C512B5" w:rsidP="00C512B5">
      <w:pPr>
        <w:ind w:firstLine="709"/>
        <w:rPr>
          <w:rFonts w:cs="Arial"/>
          <w:szCs w:val="24"/>
        </w:rPr>
      </w:pPr>
      <w:r w:rsidRPr="004C2810">
        <w:rPr>
          <w:rFonts w:cs="Arial"/>
          <w:szCs w:val="24"/>
        </w:rPr>
        <w:t xml:space="preserve">A fim de se aperfeiçoar o método proposto por </w:t>
      </w:r>
      <w:r w:rsidRPr="004C2810">
        <w:rPr>
          <w:rFonts w:cs="Arial"/>
          <w:lang w:eastAsia="pt-BR"/>
        </w:rPr>
        <w:t xml:space="preserve">D’ella (2000 </w:t>
      </w:r>
      <w:r w:rsidRPr="004C2810">
        <w:rPr>
          <w:rFonts w:cs="Arial"/>
          <w:i/>
          <w:lang w:eastAsia="pt-BR"/>
        </w:rPr>
        <w:t>apud</w:t>
      </w:r>
      <w:r w:rsidRPr="004C2810">
        <w:rPr>
          <w:rFonts w:cs="Arial"/>
          <w:lang w:eastAsia="pt-BR"/>
        </w:rPr>
        <w:t xml:space="preserve"> Onofre, 2011)</w:t>
      </w:r>
      <w:r w:rsidRPr="004C2810">
        <w:rPr>
          <w:rFonts w:cs="Arial"/>
          <w:szCs w:val="24"/>
        </w:rPr>
        <w:t>, levando em conta o princípio da capacidade de pagamento, são propostos alguns ajustes, a saber:</w:t>
      </w:r>
    </w:p>
    <w:p w:rsidR="00C512B5" w:rsidRPr="004C2810" w:rsidRDefault="00C512B5" w:rsidP="00A87269">
      <w:pPr>
        <w:numPr>
          <w:ilvl w:val="0"/>
          <w:numId w:val="56"/>
        </w:numPr>
        <w:ind w:left="709" w:hanging="283"/>
        <w:contextualSpacing/>
        <w:rPr>
          <w:rFonts w:cs="Arial"/>
          <w:szCs w:val="24"/>
          <w:lang w:eastAsia="pt-BR"/>
        </w:rPr>
      </w:pPr>
      <w:r w:rsidRPr="004C2810">
        <w:rPr>
          <w:rFonts w:cs="Arial"/>
          <w:szCs w:val="24"/>
          <w:lang w:eastAsia="pt-BR"/>
        </w:rPr>
        <w:t>Classificar as economias em zonas de acordo com sua localização e tipologia.</w:t>
      </w:r>
    </w:p>
    <w:p w:rsidR="00C512B5" w:rsidRPr="004C2810" w:rsidRDefault="00C512B5" w:rsidP="00A87269">
      <w:pPr>
        <w:numPr>
          <w:ilvl w:val="0"/>
          <w:numId w:val="56"/>
        </w:numPr>
        <w:ind w:left="709" w:hanging="283"/>
        <w:contextualSpacing/>
        <w:rPr>
          <w:rFonts w:cs="Arial"/>
          <w:szCs w:val="24"/>
          <w:lang w:eastAsia="pt-BR"/>
        </w:rPr>
      </w:pPr>
      <w:r w:rsidRPr="004C2810">
        <w:rPr>
          <w:rFonts w:cs="Arial"/>
          <w:szCs w:val="24"/>
          <w:lang w:eastAsia="pt-BR"/>
        </w:rPr>
        <w:t>Criar um fator de referência relacionado a cada zona, a ser considerado junto à área construída, a fim de apurar o cálculo e impedir, por exemplo, que residências de alto padrão em bairros populares sejam subtaxadas.</w:t>
      </w:r>
    </w:p>
    <w:p w:rsidR="00C512B5" w:rsidRPr="004C2810" w:rsidRDefault="00C512B5" w:rsidP="00C512B5">
      <w:pPr>
        <w:tabs>
          <w:tab w:val="left" w:pos="709"/>
        </w:tabs>
        <w:spacing w:line="240" w:lineRule="auto"/>
        <w:rPr>
          <w:rFonts w:ascii="Calibri" w:eastAsia="Times New Roman" w:hAnsi="Calibri"/>
          <w:sz w:val="22"/>
          <w:lang w:eastAsia="pt-BR"/>
        </w:rPr>
      </w:pPr>
    </w:p>
    <w:p w:rsidR="00C512B5" w:rsidRPr="004C2810" w:rsidRDefault="00C512B5" w:rsidP="00C512B5">
      <w:pPr>
        <w:tabs>
          <w:tab w:val="left" w:pos="709"/>
        </w:tabs>
        <w:spacing w:line="240" w:lineRule="auto"/>
        <w:rPr>
          <w:rFonts w:eastAsia="Times New Roman" w:cs="Arial"/>
          <w:szCs w:val="24"/>
          <w:lang w:eastAsia="pt-BR"/>
        </w:rPr>
      </w:pPr>
      <w:r w:rsidRPr="004C2810">
        <w:rPr>
          <w:rFonts w:ascii="Calibri" w:eastAsia="Times New Roman" w:hAnsi="Calibri"/>
          <w:sz w:val="22"/>
          <w:lang w:eastAsia="pt-BR"/>
        </w:rPr>
        <w:tab/>
      </w:r>
      <w:r w:rsidRPr="004C2810">
        <w:rPr>
          <w:rFonts w:eastAsia="Times New Roman" w:cs="Arial"/>
          <w:szCs w:val="24"/>
          <w:lang w:eastAsia="pt-BR"/>
        </w:rPr>
        <w:t>A nova taxa seria calculada da seguinte forma:</w:t>
      </w:r>
    </w:p>
    <w:p w:rsidR="00C512B5" w:rsidRPr="004C2810" w:rsidRDefault="00C512B5" w:rsidP="00C512B5">
      <w:pPr>
        <w:tabs>
          <w:tab w:val="left" w:pos="1950"/>
        </w:tabs>
        <w:spacing w:line="240" w:lineRule="auto"/>
        <w:rPr>
          <w:rFonts w:ascii="Calibri" w:eastAsia="Times New Roman" w:hAnsi="Calibri"/>
          <w:sz w:val="22"/>
          <w:lang w:eastAsia="pt-BR"/>
        </w:rPr>
      </w:pPr>
    </w:p>
    <w:p w:rsidR="00C512B5" w:rsidRPr="004C2810" w:rsidRDefault="004D1D76" w:rsidP="00C512B5">
      <w:pPr>
        <w:ind w:right="-142"/>
        <w:jc w:val="center"/>
        <w:rPr>
          <w:rFonts w:cs="Arial"/>
          <w:szCs w:val="24"/>
        </w:rPr>
      </w:pPr>
      <m:oMath>
        <m:sSub>
          <m:sSubPr>
            <m:ctrlPr>
              <w:rPr>
                <w:rFonts w:ascii="Cambria Math" w:hAnsi="Cambria Math" w:cs="Arial"/>
                <w:i/>
                <w:szCs w:val="24"/>
              </w:rPr>
            </m:ctrlPr>
          </m:sSubPr>
          <m:e>
            <m:r>
              <w:rPr>
                <w:rFonts w:ascii="Cambria Math" w:hAnsi="Cambria Math" w:cs="Arial"/>
                <w:szCs w:val="24"/>
              </w:rPr>
              <m:t>Taxa</m:t>
            </m:r>
          </m:e>
          <m:sub>
            <m:r>
              <w:rPr>
                <w:rFonts w:ascii="Cambria Math" w:hAnsi="Cambria Math" w:cs="Arial"/>
                <w:szCs w:val="24"/>
              </w:rPr>
              <m:t>Lixo</m:t>
            </m:r>
          </m:sub>
        </m:sSub>
        <m:r>
          <w:rPr>
            <w:rFonts w:ascii="Cambria Math" w:hAnsi="Cambria Math" w:cs="Arial"/>
            <w:szCs w:val="24"/>
          </w:rPr>
          <m:t>=</m:t>
        </m:r>
        <m:d>
          <m:dPr>
            <m:ctrlPr>
              <w:rPr>
                <w:rFonts w:ascii="Cambria Math" w:hAnsi="Cambria Math" w:cs="Arial"/>
                <w:i/>
                <w:szCs w:val="24"/>
              </w:rPr>
            </m:ctrlPr>
          </m:dPr>
          <m:e>
            <m:r>
              <w:rPr>
                <w:rFonts w:ascii="Cambria Math" w:hAnsi="Cambria Math" w:cs="Arial"/>
                <w:szCs w:val="24"/>
              </w:rPr>
              <m:t>fator de referência × área construída em m²</m:t>
            </m:r>
          </m:e>
        </m:d>
        <m:r>
          <w:rPr>
            <w:rFonts w:ascii="Cambria Math" w:hAnsi="Cambria Math" w:cs="Arial"/>
            <w:szCs w:val="24"/>
          </w:rPr>
          <m:t>+fator água</m:t>
        </m:r>
      </m:oMath>
      <w:r w:rsidR="00C512B5" w:rsidRPr="004C2810">
        <w:rPr>
          <w:rFonts w:cs="Arial"/>
          <w:szCs w:val="24"/>
        </w:rPr>
        <w:t>.</w:t>
      </w:r>
    </w:p>
    <w:p w:rsidR="00C512B5" w:rsidRPr="004C2810" w:rsidRDefault="00C512B5" w:rsidP="00C512B5">
      <w:pPr>
        <w:rPr>
          <w:rFonts w:cs="Arial"/>
          <w:szCs w:val="24"/>
        </w:rPr>
      </w:pPr>
    </w:p>
    <w:p w:rsidR="00C512B5" w:rsidRPr="004C2810" w:rsidRDefault="00C512B5" w:rsidP="00C512B5">
      <w:pPr>
        <w:ind w:firstLine="709"/>
        <w:rPr>
          <w:rFonts w:cs="Arial"/>
          <w:szCs w:val="24"/>
        </w:rPr>
      </w:pPr>
      <w:r w:rsidRPr="004C2810">
        <w:rPr>
          <w:rFonts w:cs="Arial"/>
          <w:szCs w:val="24"/>
        </w:rPr>
        <w:t>Na qual o fator água se dá pela seguinte equação:</w:t>
      </w:r>
    </w:p>
    <w:p w:rsidR="00C512B5" w:rsidRPr="004C2810" w:rsidRDefault="00C512B5" w:rsidP="00C512B5">
      <w:pPr>
        <w:ind w:firstLine="709"/>
        <w:rPr>
          <w:rFonts w:cs="Arial"/>
          <w:sz w:val="18"/>
          <w:szCs w:val="24"/>
        </w:rPr>
      </w:pPr>
    </w:p>
    <w:p w:rsidR="00C512B5" w:rsidRPr="004C2810" w:rsidRDefault="00C512B5" w:rsidP="00C512B5">
      <w:pPr>
        <w:ind w:right="-142"/>
        <w:rPr>
          <w:rFonts w:eastAsiaTheme="minorEastAsia" w:cs="Arial"/>
          <w:sz w:val="20"/>
          <w:szCs w:val="24"/>
        </w:rPr>
      </w:pPr>
      <m:oMathPara>
        <m:oMath>
          <m:r>
            <w:rPr>
              <w:rFonts w:ascii="Cambria Math" w:hAnsi="Cambria Math" w:cs="Arial"/>
              <w:sz w:val="18"/>
              <w:szCs w:val="24"/>
            </w:rPr>
            <m:t>fator água =</m:t>
          </m:r>
          <m:r>
            <w:rPr>
              <w:rFonts w:ascii="Cambria Math" w:hAnsi="Cambria Math" w:cs="Arial"/>
              <w:sz w:val="20"/>
              <w:szCs w:val="24"/>
            </w:rPr>
            <m:t>0,3×</m:t>
          </m:r>
          <m:d>
            <m:dPr>
              <m:ctrlPr>
                <w:rPr>
                  <w:rFonts w:ascii="Cambria Math" w:hAnsi="Cambria Math" w:cs="Arial"/>
                  <w:i/>
                  <w:sz w:val="20"/>
                  <w:szCs w:val="24"/>
                </w:rPr>
              </m:ctrlPr>
            </m:dPr>
            <m:e>
              <m:f>
                <m:fPr>
                  <m:ctrlPr>
                    <w:rPr>
                      <w:rFonts w:ascii="Cambria Math" w:hAnsi="Cambria Math" w:cs="Arial"/>
                      <w:i/>
                      <w:sz w:val="20"/>
                      <w:szCs w:val="24"/>
                    </w:rPr>
                  </m:ctrlPr>
                </m:fPr>
                <m:num>
                  <m:r>
                    <w:rPr>
                      <w:rFonts w:ascii="Cambria Math" w:hAnsi="Cambria Math" w:cs="Arial"/>
                      <w:sz w:val="20"/>
                      <w:szCs w:val="24"/>
                    </w:rPr>
                    <m:t>consumo de água da economia (</m:t>
                  </m:r>
                  <m:sSup>
                    <m:sSupPr>
                      <m:ctrlPr>
                        <w:rPr>
                          <w:rFonts w:ascii="Cambria Math" w:hAnsi="Cambria Math" w:cs="Arial"/>
                          <w:i/>
                          <w:sz w:val="20"/>
                          <w:szCs w:val="24"/>
                        </w:rPr>
                      </m:ctrlPr>
                    </m:sSupPr>
                    <m:e>
                      <m:r>
                        <w:rPr>
                          <w:rFonts w:ascii="Cambria Math" w:hAnsi="Cambria Math" w:cs="Arial"/>
                          <w:sz w:val="20"/>
                          <w:szCs w:val="24"/>
                        </w:rPr>
                        <m:t>m</m:t>
                      </m:r>
                    </m:e>
                    <m:sup>
                      <m:r>
                        <w:rPr>
                          <w:rFonts w:ascii="Cambria Math" w:hAnsi="Cambria Math" w:cs="Arial"/>
                          <w:sz w:val="20"/>
                          <w:szCs w:val="24"/>
                        </w:rPr>
                        <m:t>3</m:t>
                      </m:r>
                    </m:sup>
                  </m:sSup>
                  <m:r>
                    <w:rPr>
                      <w:rFonts w:ascii="Cambria Math" w:hAnsi="Cambria Math" w:cs="Arial"/>
                      <w:sz w:val="20"/>
                      <w:szCs w:val="24"/>
                    </w:rPr>
                    <m:t>)</m:t>
                  </m:r>
                </m:num>
                <m:den>
                  <m:r>
                    <w:rPr>
                      <w:rFonts w:ascii="Cambria Math" w:hAnsi="Cambria Math" w:cs="Arial"/>
                      <w:sz w:val="20"/>
                      <w:szCs w:val="24"/>
                    </w:rPr>
                    <m:t>consumo de água total no município (</m:t>
                  </m:r>
                  <m:sSup>
                    <m:sSupPr>
                      <m:ctrlPr>
                        <w:rPr>
                          <w:rFonts w:ascii="Cambria Math" w:hAnsi="Cambria Math" w:cs="Arial"/>
                          <w:i/>
                          <w:sz w:val="20"/>
                          <w:szCs w:val="24"/>
                        </w:rPr>
                      </m:ctrlPr>
                    </m:sSupPr>
                    <m:e>
                      <m:r>
                        <w:rPr>
                          <w:rFonts w:ascii="Cambria Math" w:hAnsi="Cambria Math" w:cs="Arial"/>
                          <w:sz w:val="20"/>
                          <w:szCs w:val="24"/>
                        </w:rPr>
                        <m:t>m</m:t>
                      </m:r>
                    </m:e>
                    <m:sup>
                      <m:r>
                        <w:rPr>
                          <w:rFonts w:ascii="Cambria Math" w:hAnsi="Cambria Math" w:cs="Arial"/>
                          <w:sz w:val="20"/>
                          <w:szCs w:val="24"/>
                        </w:rPr>
                        <m:t>3</m:t>
                      </m:r>
                    </m:sup>
                  </m:sSup>
                  <m:r>
                    <w:rPr>
                      <w:rFonts w:ascii="Cambria Math" w:hAnsi="Cambria Math" w:cs="Arial"/>
                      <w:sz w:val="20"/>
                      <w:szCs w:val="24"/>
                    </w:rPr>
                    <m:t>)</m:t>
                  </m:r>
                </m:den>
              </m:f>
            </m:e>
          </m:d>
          <m:r>
            <w:rPr>
              <w:rFonts w:ascii="Cambria Math" w:hAnsi="Cambria Math" w:cs="Arial"/>
              <w:sz w:val="20"/>
              <w:szCs w:val="24"/>
            </w:rPr>
            <m:t xml:space="preserve">×custo dos serviços (R$) </m:t>
          </m:r>
        </m:oMath>
      </m:oMathPara>
    </w:p>
    <w:p w:rsidR="00C512B5" w:rsidRPr="004C2810" w:rsidRDefault="00C512B5" w:rsidP="00C512B5">
      <w:pPr>
        <w:ind w:firstLine="709"/>
        <w:rPr>
          <w:rFonts w:eastAsiaTheme="minorEastAsia"/>
          <w:lang w:eastAsia="pt-BR"/>
        </w:rPr>
      </w:pPr>
      <w:r w:rsidRPr="004C2810">
        <w:rPr>
          <w:rFonts w:eastAsiaTheme="minorEastAsia"/>
          <w:lang w:eastAsia="pt-BR"/>
        </w:rPr>
        <w:t xml:space="preserve">A fim de ilustrar a metodologia, foi realizada uma simulação considerando os fatores de referência da </w:t>
      </w:r>
      <w:r w:rsidRPr="004C2810">
        <w:rPr>
          <w:rFonts w:eastAsiaTheme="minorEastAsia"/>
          <w:lang w:eastAsia="pt-BR"/>
        </w:rPr>
        <w:fldChar w:fldCharType="begin"/>
      </w:r>
      <w:r w:rsidRPr="004C2810">
        <w:rPr>
          <w:rFonts w:eastAsiaTheme="minorEastAsia"/>
          <w:lang w:eastAsia="pt-BR"/>
        </w:rPr>
        <w:instrText xml:space="preserve"> REF _Ref435193395 \h  \* MERGEFORMAT </w:instrText>
      </w:r>
      <w:r w:rsidRPr="004C2810">
        <w:rPr>
          <w:rFonts w:eastAsiaTheme="minorEastAsia"/>
          <w:lang w:eastAsia="pt-BR"/>
        </w:rPr>
      </w:r>
      <w:r w:rsidRPr="004C2810">
        <w:rPr>
          <w:rFonts w:eastAsiaTheme="minorEastAsia"/>
          <w:lang w:eastAsia="pt-BR"/>
        </w:rPr>
        <w:fldChar w:fldCharType="separate"/>
      </w:r>
      <w:r w:rsidR="004D1D76" w:rsidRPr="004C2810">
        <w:t xml:space="preserve">Tabela </w:t>
      </w:r>
      <w:r w:rsidR="004D1D76">
        <w:rPr>
          <w:noProof/>
        </w:rPr>
        <w:t>10</w:t>
      </w:r>
      <w:r w:rsidRPr="004C2810">
        <w:rPr>
          <w:rFonts w:eastAsiaTheme="minorEastAsia"/>
          <w:lang w:eastAsia="pt-BR"/>
        </w:rPr>
        <w:fldChar w:fldCharType="end"/>
      </w:r>
      <w:r w:rsidRPr="004C2810">
        <w:rPr>
          <w:rFonts w:eastAsiaTheme="minorEastAsia"/>
          <w:lang w:eastAsia="pt-BR"/>
        </w:rPr>
        <w:t>.</w:t>
      </w:r>
    </w:p>
    <w:p w:rsidR="00C512B5" w:rsidRPr="004C2810" w:rsidRDefault="00C512B5" w:rsidP="00C512B5">
      <w:pPr>
        <w:pStyle w:val="Legenda"/>
      </w:pPr>
      <w:bookmarkStart w:id="312" w:name="_Ref435193395"/>
      <w:bookmarkStart w:id="313" w:name="_Toc447896845"/>
      <w:bookmarkStart w:id="314" w:name="_Toc487204724"/>
      <w:bookmarkStart w:id="315" w:name="_Toc497469212"/>
      <w:r w:rsidRPr="004C2810">
        <w:t xml:space="preserve">Tabela </w:t>
      </w:r>
      <w:r w:rsidR="00D71C43">
        <w:fldChar w:fldCharType="begin"/>
      </w:r>
      <w:r w:rsidR="00D71C43">
        <w:instrText xml:space="preserve"> SEQ Tabela \* ARABIC </w:instrText>
      </w:r>
      <w:r w:rsidR="00D71C43">
        <w:fldChar w:fldCharType="separate"/>
      </w:r>
      <w:r w:rsidR="004D1D76">
        <w:rPr>
          <w:noProof/>
        </w:rPr>
        <w:t>10</w:t>
      </w:r>
      <w:r w:rsidR="00D71C43">
        <w:rPr>
          <w:noProof/>
        </w:rPr>
        <w:fldChar w:fldCharType="end"/>
      </w:r>
      <w:bookmarkEnd w:id="312"/>
      <w:r w:rsidRPr="004C2810">
        <w:t xml:space="preserve"> - Fatores de referência hipotéticos para o cálculo da taxa de coleta de lixo baseado no consumo de água</w:t>
      </w:r>
      <w:bookmarkEnd w:id="313"/>
      <w:bookmarkEnd w:id="314"/>
      <w:bookmarkEnd w:id="315"/>
    </w:p>
    <w:tbl>
      <w:tblPr>
        <w:tblStyle w:val="Tabelacomgrade"/>
        <w:tblW w:w="0" w:type="auto"/>
        <w:jc w:val="center"/>
        <w:tblBorders>
          <w:left w:val="none" w:sz="0" w:space="0" w:color="auto"/>
          <w:right w:val="none" w:sz="0" w:space="0" w:color="auto"/>
        </w:tblBorders>
        <w:tblLook w:val="04A0" w:firstRow="1" w:lastRow="0" w:firstColumn="1" w:lastColumn="0" w:noHBand="0" w:noVBand="1"/>
      </w:tblPr>
      <w:tblGrid>
        <w:gridCol w:w="751"/>
        <w:gridCol w:w="1715"/>
        <w:gridCol w:w="2467"/>
      </w:tblGrid>
      <w:tr w:rsidR="00C512B5" w:rsidRPr="004C2810" w:rsidTr="000232EC">
        <w:trPr>
          <w:trHeight w:val="300"/>
          <w:jc w:val="center"/>
        </w:trPr>
        <w:tc>
          <w:tcPr>
            <w:tcW w:w="2466" w:type="dxa"/>
            <w:gridSpan w:val="2"/>
            <w:noWrap/>
            <w:vAlign w:val="center"/>
            <w:hideMark/>
          </w:tcPr>
          <w:p w:rsidR="00C512B5" w:rsidRPr="004C2810" w:rsidRDefault="00C512B5" w:rsidP="000232EC">
            <w:pPr>
              <w:spacing w:line="240" w:lineRule="auto"/>
              <w:jc w:val="center"/>
              <w:rPr>
                <w:rFonts w:eastAsiaTheme="minorEastAsia"/>
                <w:b/>
                <w:sz w:val="20"/>
                <w:lang w:eastAsia="pt-BR"/>
              </w:rPr>
            </w:pPr>
            <w:r w:rsidRPr="004C2810">
              <w:rPr>
                <w:rFonts w:eastAsiaTheme="minorEastAsia"/>
                <w:b/>
                <w:sz w:val="20"/>
                <w:lang w:eastAsia="pt-BR"/>
              </w:rPr>
              <w:t>Zonas</w:t>
            </w:r>
          </w:p>
        </w:tc>
        <w:tc>
          <w:tcPr>
            <w:tcW w:w="2467" w:type="dxa"/>
            <w:noWrap/>
            <w:vAlign w:val="center"/>
            <w:hideMark/>
          </w:tcPr>
          <w:p w:rsidR="00C512B5" w:rsidRPr="004C2810" w:rsidRDefault="00C512B5" w:rsidP="000232EC">
            <w:pPr>
              <w:spacing w:line="240" w:lineRule="auto"/>
              <w:jc w:val="center"/>
              <w:rPr>
                <w:rFonts w:eastAsiaTheme="minorEastAsia"/>
                <w:b/>
                <w:sz w:val="20"/>
                <w:lang w:eastAsia="pt-BR"/>
              </w:rPr>
            </w:pPr>
            <w:r w:rsidRPr="004C2810">
              <w:rPr>
                <w:rFonts w:eastAsiaTheme="minorEastAsia"/>
                <w:b/>
                <w:sz w:val="20"/>
                <w:lang w:eastAsia="pt-BR"/>
              </w:rPr>
              <w:t>Fator de referência</w:t>
            </w:r>
          </w:p>
        </w:tc>
      </w:tr>
      <w:tr w:rsidR="00C512B5" w:rsidRPr="004C2810" w:rsidTr="000232EC">
        <w:trPr>
          <w:trHeight w:val="300"/>
          <w:jc w:val="center"/>
        </w:trPr>
        <w:tc>
          <w:tcPr>
            <w:tcW w:w="751" w:type="dxa"/>
            <w:noWrap/>
            <w:vAlign w:val="center"/>
            <w:hideMark/>
          </w:tcPr>
          <w:p w:rsidR="00C512B5" w:rsidRPr="004C2810" w:rsidRDefault="00C512B5" w:rsidP="000232EC">
            <w:pPr>
              <w:spacing w:line="240" w:lineRule="auto"/>
              <w:jc w:val="center"/>
              <w:rPr>
                <w:rFonts w:eastAsiaTheme="minorEastAsia"/>
                <w:b/>
                <w:sz w:val="20"/>
                <w:lang w:eastAsia="pt-BR"/>
              </w:rPr>
            </w:pPr>
            <w:r w:rsidRPr="004C2810">
              <w:rPr>
                <w:rFonts w:eastAsiaTheme="minorEastAsia"/>
                <w:b/>
                <w:sz w:val="20"/>
                <w:lang w:eastAsia="pt-BR"/>
              </w:rPr>
              <w:t>A</w:t>
            </w:r>
          </w:p>
        </w:tc>
        <w:tc>
          <w:tcPr>
            <w:tcW w:w="1715" w:type="dxa"/>
            <w:noWrap/>
            <w:vAlign w:val="center"/>
            <w:hideMark/>
          </w:tcPr>
          <w:p w:rsidR="00C512B5" w:rsidRPr="004C2810" w:rsidRDefault="00C512B5" w:rsidP="000232EC">
            <w:pPr>
              <w:spacing w:line="240" w:lineRule="auto"/>
              <w:jc w:val="center"/>
              <w:rPr>
                <w:rFonts w:eastAsiaTheme="minorEastAsia"/>
                <w:b/>
                <w:sz w:val="20"/>
                <w:lang w:eastAsia="pt-BR"/>
              </w:rPr>
            </w:pPr>
            <w:r w:rsidRPr="004C2810">
              <w:rPr>
                <w:rFonts w:eastAsiaTheme="minorEastAsia"/>
                <w:b/>
                <w:sz w:val="20"/>
                <w:lang w:eastAsia="pt-BR"/>
              </w:rPr>
              <w:t>Residencial 1</w:t>
            </w:r>
          </w:p>
        </w:tc>
        <w:tc>
          <w:tcPr>
            <w:tcW w:w="2467" w:type="dxa"/>
            <w:noWrap/>
            <w:vAlign w:val="center"/>
            <w:hideMark/>
          </w:tcPr>
          <w:p w:rsidR="00C512B5" w:rsidRPr="004C2810" w:rsidRDefault="00C512B5" w:rsidP="000232EC">
            <w:pPr>
              <w:spacing w:line="240" w:lineRule="auto"/>
              <w:jc w:val="right"/>
              <w:rPr>
                <w:sz w:val="20"/>
              </w:rPr>
            </w:pPr>
            <w:r w:rsidRPr="004C2810">
              <w:rPr>
                <w:sz w:val="20"/>
              </w:rPr>
              <w:t>0,30</w:t>
            </w:r>
          </w:p>
        </w:tc>
      </w:tr>
      <w:tr w:rsidR="00C512B5" w:rsidRPr="004C2810" w:rsidTr="000232EC">
        <w:trPr>
          <w:trHeight w:val="300"/>
          <w:jc w:val="center"/>
        </w:trPr>
        <w:tc>
          <w:tcPr>
            <w:tcW w:w="751" w:type="dxa"/>
            <w:noWrap/>
            <w:vAlign w:val="center"/>
            <w:hideMark/>
          </w:tcPr>
          <w:p w:rsidR="00C512B5" w:rsidRPr="004C2810" w:rsidRDefault="00C512B5" w:rsidP="000232EC">
            <w:pPr>
              <w:spacing w:line="240" w:lineRule="auto"/>
              <w:jc w:val="center"/>
              <w:rPr>
                <w:rFonts w:eastAsiaTheme="minorEastAsia"/>
                <w:b/>
                <w:sz w:val="20"/>
                <w:lang w:eastAsia="pt-BR"/>
              </w:rPr>
            </w:pPr>
            <w:r w:rsidRPr="004C2810">
              <w:rPr>
                <w:rFonts w:eastAsiaTheme="minorEastAsia"/>
                <w:b/>
                <w:sz w:val="20"/>
                <w:lang w:eastAsia="pt-BR"/>
              </w:rPr>
              <w:t>B</w:t>
            </w:r>
          </w:p>
        </w:tc>
        <w:tc>
          <w:tcPr>
            <w:tcW w:w="1715" w:type="dxa"/>
            <w:noWrap/>
            <w:vAlign w:val="center"/>
            <w:hideMark/>
          </w:tcPr>
          <w:p w:rsidR="00C512B5" w:rsidRPr="004C2810" w:rsidRDefault="00C512B5" w:rsidP="000232EC">
            <w:pPr>
              <w:spacing w:line="240" w:lineRule="auto"/>
              <w:jc w:val="center"/>
              <w:rPr>
                <w:rFonts w:eastAsiaTheme="minorEastAsia"/>
                <w:b/>
                <w:sz w:val="20"/>
                <w:lang w:eastAsia="pt-BR"/>
              </w:rPr>
            </w:pPr>
            <w:r w:rsidRPr="004C2810">
              <w:rPr>
                <w:rFonts w:eastAsiaTheme="minorEastAsia"/>
                <w:b/>
                <w:sz w:val="20"/>
                <w:lang w:eastAsia="pt-BR"/>
              </w:rPr>
              <w:t>Residencial 2</w:t>
            </w:r>
          </w:p>
        </w:tc>
        <w:tc>
          <w:tcPr>
            <w:tcW w:w="2467" w:type="dxa"/>
            <w:noWrap/>
            <w:vAlign w:val="center"/>
            <w:hideMark/>
          </w:tcPr>
          <w:p w:rsidR="00C512B5" w:rsidRPr="004C2810" w:rsidRDefault="00C512B5" w:rsidP="000232EC">
            <w:pPr>
              <w:spacing w:line="240" w:lineRule="auto"/>
              <w:jc w:val="right"/>
              <w:rPr>
                <w:sz w:val="20"/>
              </w:rPr>
            </w:pPr>
            <w:r w:rsidRPr="004C2810">
              <w:rPr>
                <w:sz w:val="20"/>
              </w:rPr>
              <w:t>0,60</w:t>
            </w:r>
          </w:p>
        </w:tc>
      </w:tr>
      <w:tr w:rsidR="00C512B5" w:rsidRPr="004C2810" w:rsidTr="000232EC">
        <w:trPr>
          <w:trHeight w:val="300"/>
          <w:jc w:val="center"/>
        </w:trPr>
        <w:tc>
          <w:tcPr>
            <w:tcW w:w="751" w:type="dxa"/>
            <w:noWrap/>
            <w:vAlign w:val="center"/>
            <w:hideMark/>
          </w:tcPr>
          <w:p w:rsidR="00C512B5" w:rsidRPr="004C2810" w:rsidRDefault="00C512B5" w:rsidP="000232EC">
            <w:pPr>
              <w:spacing w:line="240" w:lineRule="auto"/>
              <w:jc w:val="center"/>
              <w:rPr>
                <w:rFonts w:eastAsiaTheme="minorEastAsia"/>
                <w:b/>
                <w:sz w:val="20"/>
                <w:lang w:eastAsia="pt-BR"/>
              </w:rPr>
            </w:pPr>
            <w:r w:rsidRPr="004C2810">
              <w:rPr>
                <w:rFonts w:eastAsiaTheme="minorEastAsia"/>
                <w:b/>
                <w:sz w:val="20"/>
                <w:lang w:eastAsia="pt-BR"/>
              </w:rPr>
              <w:t>C</w:t>
            </w:r>
          </w:p>
        </w:tc>
        <w:tc>
          <w:tcPr>
            <w:tcW w:w="1715" w:type="dxa"/>
            <w:noWrap/>
            <w:vAlign w:val="center"/>
            <w:hideMark/>
          </w:tcPr>
          <w:p w:rsidR="00C512B5" w:rsidRPr="004C2810" w:rsidRDefault="00C512B5" w:rsidP="000232EC">
            <w:pPr>
              <w:spacing w:line="240" w:lineRule="auto"/>
              <w:jc w:val="center"/>
              <w:rPr>
                <w:rFonts w:eastAsiaTheme="minorEastAsia"/>
                <w:b/>
                <w:sz w:val="20"/>
                <w:lang w:eastAsia="pt-BR"/>
              </w:rPr>
            </w:pPr>
            <w:r w:rsidRPr="004C2810">
              <w:rPr>
                <w:rFonts w:eastAsiaTheme="minorEastAsia"/>
                <w:b/>
                <w:sz w:val="20"/>
                <w:lang w:eastAsia="pt-BR"/>
              </w:rPr>
              <w:t>Residencial 3</w:t>
            </w:r>
          </w:p>
        </w:tc>
        <w:tc>
          <w:tcPr>
            <w:tcW w:w="2467" w:type="dxa"/>
            <w:noWrap/>
            <w:vAlign w:val="center"/>
            <w:hideMark/>
          </w:tcPr>
          <w:p w:rsidR="00C512B5" w:rsidRPr="004C2810" w:rsidRDefault="00C512B5" w:rsidP="000232EC">
            <w:pPr>
              <w:spacing w:line="240" w:lineRule="auto"/>
              <w:jc w:val="right"/>
              <w:rPr>
                <w:sz w:val="20"/>
              </w:rPr>
            </w:pPr>
            <w:r w:rsidRPr="004C2810">
              <w:rPr>
                <w:sz w:val="20"/>
              </w:rPr>
              <w:t>0,90</w:t>
            </w:r>
          </w:p>
        </w:tc>
      </w:tr>
      <w:tr w:rsidR="00C512B5" w:rsidRPr="004C2810" w:rsidTr="000232EC">
        <w:trPr>
          <w:trHeight w:val="300"/>
          <w:jc w:val="center"/>
        </w:trPr>
        <w:tc>
          <w:tcPr>
            <w:tcW w:w="751" w:type="dxa"/>
            <w:noWrap/>
            <w:vAlign w:val="center"/>
            <w:hideMark/>
          </w:tcPr>
          <w:p w:rsidR="00C512B5" w:rsidRPr="004C2810" w:rsidRDefault="00C512B5" w:rsidP="000232EC">
            <w:pPr>
              <w:spacing w:line="240" w:lineRule="auto"/>
              <w:jc w:val="center"/>
              <w:rPr>
                <w:rFonts w:eastAsiaTheme="minorEastAsia"/>
                <w:b/>
                <w:sz w:val="20"/>
                <w:lang w:eastAsia="pt-BR"/>
              </w:rPr>
            </w:pPr>
            <w:r w:rsidRPr="004C2810">
              <w:rPr>
                <w:rFonts w:eastAsiaTheme="minorEastAsia"/>
                <w:b/>
                <w:sz w:val="20"/>
                <w:lang w:eastAsia="pt-BR"/>
              </w:rPr>
              <w:t>D</w:t>
            </w:r>
          </w:p>
        </w:tc>
        <w:tc>
          <w:tcPr>
            <w:tcW w:w="1715" w:type="dxa"/>
            <w:noWrap/>
            <w:vAlign w:val="center"/>
            <w:hideMark/>
          </w:tcPr>
          <w:p w:rsidR="00C512B5" w:rsidRPr="004C2810" w:rsidRDefault="00C512B5" w:rsidP="000232EC">
            <w:pPr>
              <w:spacing w:line="240" w:lineRule="auto"/>
              <w:jc w:val="center"/>
              <w:rPr>
                <w:rFonts w:eastAsiaTheme="minorEastAsia"/>
                <w:b/>
                <w:sz w:val="20"/>
                <w:lang w:eastAsia="pt-BR"/>
              </w:rPr>
            </w:pPr>
            <w:r w:rsidRPr="004C2810">
              <w:rPr>
                <w:rFonts w:eastAsiaTheme="minorEastAsia"/>
                <w:b/>
                <w:sz w:val="20"/>
                <w:lang w:eastAsia="pt-BR"/>
              </w:rPr>
              <w:t>Comercial 1</w:t>
            </w:r>
          </w:p>
        </w:tc>
        <w:tc>
          <w:tcPr>
            <w:tcW w:w="2467" w:type="dxa"/>
            <w:noWrap/>
            <w:vAlign w:val="center"/>
            <w:hideMark/>
          </w:tcPr>
          <w:p w:rsidR="00C512B5" w:rsidRPr="004C2810" w:rsidRDefault="00C512B5" w:rsidP="000232EC">
            <w:pPr>
              <w:spacing w:line="240" w:lineRule="auto"/>
              <w:jc w:val="right"/>
              <w:rPr>
                <w:sz w:val="20"/>
              </w:rPr>
            </w:pPr>
            <w:r w:rsidRPr="004C2810">
              <w:rPr>
                <w:sz w:val="20"/>
              </w:rPr>
              <w:t>1,00</w:t>
            </w:r>
          </w:p>
        </w:tc>
      </w:tr>
      <w:tr w:rsidR="00C512B5" w:rsidRPr="004C2810" w:rsidTr="000232EC">
        <w:trPr>
          <w:trHeight w:val="300"/>
          <w:jc w:val="center"/>
        </w:trPr>
        <w:tc>
          <w:tcPr>
            <w:tcW w:w="751" w:type="dxa"/>
            <w:noWrap/>
            <w:vAlign w:val="center"/>
            <w:hideMark/>
          </w:tcPr>
          <w:p w:rsidR="00C512B5" w:rsidRPr="004C2810" w:rsidRDefault="00C512B5" w:rsidP="000232EC">
            <w:pPr>
              <w:spacing w:line="240" w:lineRule="auto"/>
              <w:jc w:val="center"/>
              <w:rPr>
                <w:rFonts w:eastAsiaTheme="minorEastAsia"/>
                <w:b/>
                <w:sz w:val="20"/>
                <w:lang w:eastAsia="pt-BR"/>
              </w:rPr>
            </w:pPr>
            <w:r w:rsidRPr="004C2810">
              <w:rPr>
                <w:rFonts w:eastAsiaTheme="minorEastAsia"/>
                <w:b/>
                <w:sz w:val="20"/>
                <w:lang w:eastAsia="pt-BR"/>
              </w:rPr>
              <w:t>E</w:t>
            </w:r>
          </w:p>
        </w:tc>
        <w:tc>
          <w:tcPr>
            <w:tcW w:w="1715" w:type="dxa"/>
            <w:noWrap/>
            <w:vAlign w:val="center"/>
            <w:hideMark/>
          </w:tcPr>
          <w:p w:rsidR="00C512B5" w:rsidRPr="004C2810" w:rsidRDefault="00C512B5" w:rsidP="000232EC">
            <w:pPr>
              <w:spacing w:line="240" w:lineRule="auto"/>
              <w:jc w:val="center"/>
              <w:rPr>
                <w:rFonts w:eastAsiaTheme="minorEastAsia"/>
                <w:b/>
                <w:sz w:val="20"/>
                <w:lang w:eastAsia="pt-BR"/>
              </w:rPr>
            </w:pPr>
            <w:r w:rsidRPr="004C2810">
              <w:rPr>
                <w:rFonts w:eastAsiaTheme="minorEastAsia"/>
                <w:b/>
                <w:sz w:val="20"/>
                <w:lang w:eastAsia="pt-BR"/>
              </w:rPr>
              <w:t>Comercial 2</w:t>
            </w:r>
          </w:p>
        </w:tc>
        <w:tc>
          <w:tcPr>
            <w:tcW w:w="2467" w:type="dxa"/>
            <w:noWrap/>
            <w:vAlign w:val="center"/>
            <w:hideMark/>
          </w:tcPr>
          <w:p w:rsidR="00C512B5" w:rsidRPr="004C2810" w:rsidRDefault="00C512B5" w:rsidP="000232EC">
            <w:pPr>
              <w:spacing w:line="240" w:lineRule="auto"/>
              <w:jc w:val="right"/>
              <w:rPr>
                <w:sz w:val="20"/>
              </w:rPr>
            </w:pPr>
            <w:r w:rsidRPr="004C2810">
              <w:rPr>
                <w:sz w:val="20"/>
              </w:rPr>
              <w:t>1,50</w:t>
            </w:r>
          </w:p>
        </w:tc>
      </w:tr>
    </w:tbl>
    <w:p w:rsidR="00C512B5" w:rsidRPr="004C2810" w:rsidRDefault="00C512B5" w:rsidP="00C512B5">
      <w:pPr>
        <w:pStyle w:val="Fonte"/>
        <w:spacing w:before="0"/>
      </w:pPr>
      <w:r w:rsidRPr="004C2810">
        <w:t>Fonte: SHS, 2017.</w:t>
      </w:r>
    </w:p>
    <w:p w:rsidR="00C512B5" w:rsidRPr="004C2810" w:rsidRDefault="00C512B5" w:rsidP="00C512B5">
      <w:pPr>
        <w:ind w:right="-142" w:firstLine="709"/>
        <w:rPr>
          <w:rFonts w:cs="Arial"/>
          <w:szCs w:val="24"/>
        </w:rPr>
      </w:pPr>
      <w:r w:rsidRPr="004C2810">
        <w:rPr>
          <w:rFonts w:cs="Arial"/>
          <w:szCs w:val="24"/>
        </w:rPr>
        <w:t xml:space="preserve">Assim, foram simuladas as taxas calculadas por este método para economias hipotéticas de 100m² de área construída de cada zona determinada. Para os imóveis residenciais, os cálculos foram realizados considerando-se dois valores diferentes de consumo anual de água: 100 e 200m². Já para os imóveis comerciais, foram considerados 150 e 300m². Os resultados da simulação estão apresentados na </w:t>
      </w:r>
      <w:r w:rsidRPr="004C2810">
        <w:rPr>
          <w:rFonts w:cs="Arial"/>
          <w:szCs w:val="24"/>
        </w:rPr>
        <w:fldChar w:fldCharType="begin"/>
      </w:r>
      <w:r w:rsidRPr="004C2810">
        <w:rPr>
          <w:rFonts w:cs="Arial"/>
          <w:szCs w:val="24"/>
        </w:rPr>
        <w:instrText xml:space="preserve"> REF _Ref435193736 \h  \* MERGEFORMAT </w:instrText>
      </w:r>
      <w:r w:rsidRPr="004C2810">
        <w:rPr>
          <w:rFonts w:cs="Arial"/>
          <w:szCs w:val="24"/>
        </w:rPr>
      </w:r>
      <w:r w:rsidRPr="004C2810">
        <w:rPr>
          <w:rFonts w:cs="Arial"/>
          <w:szCs w:val="24"/>
        </w:rPr>
        <w:fldChar w:fldCharType="separate"/>
      </w:r>
      <w:r w:rsidR="004D1D76" w:rsidRPr="004C2810">
        <w:t xml:space="preserve">Tabela </w:t>
      </w:r>
      <w:r w:rsidR="004D1D76">
        <w:rPr>
          <w:noProof/>
        </w:rPr>
        <w:t>11</w:t>
      </w:r>
      <w:r w:rsidRPr="004C2810">
        <w:rPr>
          <w:rFonts w:cs="Arial"/>
          <w:szCs w:val="24"/>
        </w:rPr>
        <w:fldChar w:fldCharType="end"/>
      </w:r>
      <w:r w:rsidRPr="004C2810">
        <w:rPr>
          <w:rFonts w:cs="Arial"/>
          <w:szCs w:val="24"/>
        </w:rPr>
        <w:t>.</w:t>
      </w:r>
    </w:p>
    <w:p w:rsidR="00C512B5" w:rsidRPr="004C2810" w:rsidRDefault="00C512B5" w:rsidP="00C512B5">
      <w:pPr>
        <w:pStyle w:val="Legenda"/>
      </w:pPr>
      <w:bookmarkStart w:id="316" w:name="_Ref435193736"/>
      <w:bookmarkStart w:id="317" w:name="_Toc447896846"/>
      <w:bookmarkStart w:id="318" w:name="_Toc487204725"/>
      <w:bookmarkStart w:id="319" w:name="_Toc497469213"/>
      <w:r w:rsidRPr="004C2810">
        <w:t xml:space="preserve">Tabela </w:t>
      </w:r>
      <w:r w:rsidR="00D71C43">
        <w:fldChar w:fldCharType="begin"/>
      </w:r>
      <w:r w:rsidR="00D71C43">
        <w:instrText xml:space="preserve"> SEQ Tabela \* ARABIC </w:instrText>
      </w:r>
      <w:r w:rsidR="00D71C43">
        <w:fldChar w:fldCharType="separate"/>
      </w:r>
      <w:r w:rsidR="004D1D76">
        <w:rPr>
          <w:noProof/>
        </w:rPr>
        <w:t>11</w:t>
      </w:r>
      <w:r w:rsidR="00D71C43">
        <w:rPr>
          <w:noProof/>
        </w:rPr>
        <w:fldChar w:fldCharType="end"/>
      </w:r>
      <w:bookmarkEnd w:id="316"/>
      <w:r w:rsidRPr="004C2810">
        <w:t xml:space="preserve"> - Fatores de referência hipotéticos para o cálculo da taxa de coleta de lixo baseado no consumo de água</w:t>
      </w:r>
      <w:bookmarkEnd w:id="317"/>
      <w:bookmarkEnd w:id="318"/>
      <w:bookmarkEnd w:id="319"/>
    </w:p>
    <w:tbl>
      <w:tblPr>
        <w:tblStyle w:val="Tabelacomgrade"/>
        <w:tblW w:w="5000" w:type="pct"/>
        <w:tblBorders>
          <w:left w:val="none" w:sz="0" w:space="0" w:color="auto"/>
          <w:right w:val="none" w:sz="0" w:space="0" w:color="auto"/>
        </w:tblBorders>
        <w:tblLook w:val="04A0" w:firstRow="1" w:lastRow="0" w:firstColumn="1" w:lastColumn="0" w:noHBand="0" w:noVBand="1"/>
      </w:tblPr>
      <w:tblGrid>
        <w:gridCol w:w="1620"/>
        <w:gridCol w:w="1418"/>
        <w:gridCol w:w="1282"/>
        <w:gridCol w:w="1554"/>
        <w:gridCol w:w="1847"/>
        <w:gridCol w:w="1849"/>
      </w:tblGrid>
      <w:tr w:rsidR="00C512B5" w:rsidRPr="004C2810" w:rsidTr="000232EC">
        <w:trPr>
          <w:trHeight w:val="332"/>
        </w:trPr>
        <w:tc>
          <w:tcPr>
            <w:tcW w:w="846" w:type="pct"/>
            <w:noWrap/>
            <w:vAlign w:val="center"/>
            <w:hideMark/>
          </w:tcPr>
          <w:p w:rsidR="00C512B5" w:rsidRPr="004C2810" w:rsidRDefault="00C512B5" w:rsidP="000232EC">
            <w:pPr>
              <w:pStyle w:val="figura"/>
              <w:rPr>
                <w:b/>
                <w:bCs/>
              </w:rPr>
            </w:pPr>
            <w:r w:rsidRPr="004C2810">
              <w:rPr>
                <w:b/>
                <w:bCs/>
              </w:rPr>
              <w:t>Zona</w:t>
            </w:r>
          </w:p>
        </w:tc>
        <w:tc>
          <w:tcPr>
            <w:tcW w:w="741" w:type="pct"/>
            <w:noWrap/>
            <w:vAlign w:val="center"/>
            <w:hideMark/>
          </w:tcPr>
          <w:p w:rsidR="00C512B5" w:rsidRPr="004C2810" w:rsidRDefault="00C512B5" w:rsidP="000232EC">
            <w:pPr>
              <w:pStyle w:val="figura"/>
              <w:rPr>
                <w:b/>
                <w:bCs/>
              </w:rPr>
            </w:pPr>
            <w:r w:rsidRPr="004C2810">
              <w:rPr>
                <w:b/>
                <w:bCs/>
              </w:rPr>
              <w:t>FR</w:t>
            </w:r>
          </w:p>
        </w:tc>
        <w:tc>
          <w:tcPr>
            <w:tcW w:w="670" w:type="pct"/>
            <w:noWrap/>
            <w:vAlign w:val="center"/>
            <w:hideMark/>
          </w:tcPr>
          <w:p w:rsidR="00C512B5" w:rsidRPr="004C2810" w:rsidRDefault="00C512B5" w:rsidP="000232EC">
            <w:pPr>
              <w:pStyle w:val="figura"/>
              <w:rPr>
                <w:b/>
                <w:bCs/>
              </w:rPr>
            </w:pPr>
            <w:r w:rsidRPr="004C2810">
              <w:rPr>
                <w:b/>
                <w:bCs/>
              </w:rPr>
              <w:t>Área (m²)</w:t>
            </w:r>
          </w:p>
        </w:tc>
        <w:tc>
          <w:tcPr>
            <w:tcW w:w="812" w:type="pct"/>
            <w:vAlign w:val="center"/>
            <w:hideMark/>
          </w:tcPr>
          <w:p w:rsidR="00C512B5" w:rsidRPr="004C2810" w:rsidRDefault="00C512B5" w:rsidP="000232EC">
            <w:pPr>
              <w:pStyle w:val="figura"/>
              <w:rPr>
                <w:b/>
                <w:bCs/>
              </w:rPr>
            </w:pPr>
            <w:r w:rsidRPr="004C2810">
              <w:rPr>
                <w:b/>
                <w:bCs/>
              </w:rPr>
              <w:t>Consumo de água (m³)</w:t>
            </w:r>
          </w:p>
        </w:tc>
        <w:tc>
          <w:tcPr>
            <w:tcW w:w="965" w:type="pct"/>
            <w:noWrap/>
            <w:vAlign w:val="center"/>
            <w:hideMark/>
          </w:tcPr>
          <w:p w:rsidR="00C512B5" w:rsidRPr="004C2810" w:rsidRDefault="00C512B5" w:rsidP="000232EC">
            <w:pPr>
              <w:pStyle w:val="figura"/>
              <w:rPr>
                <w:b/>
                <w:bCs/>
              </w:rPr>
            </w:pPr>
            <w:r w:rsidRPr="004C2810">
              <w:rPr>
                <w:b/>
                <w:bCs/>
              </w:rPr>
              <w:t>Taxa anual</w:t>
            </w:r>
          </w:p>
        </w:tc>
        <w:tc>
          <w:tcPr>
            <w:tcW w:w="966" w:type="pct"/>
            <w:noWrap/>
            <w:vAlign w:val="center"/>
            <w:hideMark/>
          </w:tcPr>
          <w:p w:rsidR="00C512B5" w:rsidRPr="004C2810" w:rsidRDefault="00C512B5" w:rsidP="000232EC">
            <w:pPr>
              <w:pStyle w:val="figura"/>
              <w:rPr>
                <w:b/>
                <w:bCs/>
              </w:rPr>
            </w:pPr>
            <w:r w:rsidRPr="004C2810">
              <w:rPr>
                <w:b/>
                <w:bCs/>
              </w:rPr>
              <w:t>Taxa mensal</w:t>
            </w:r>
          </w:p>
        </w:tc>
      </w:tr>
      <w:tr w:rsidR="004C2810" w:rsidRPr="004C2810" w:rsidTr="004C2810">
        <w:trPr>
          <w:trHeight w:val="300"/>
        </w:trPr>
        <w:tc>
          <w:tcPr>
            <w:tcW w:w="846" w:type="pct"/>
            <w:noWrap/>
            <w:vAlign w:val="center"/>
            <w:hideMark/>
          </w:tcPr>
          <w:p w:rsidR="004C2810" w:rsidRPr="004C2810" w:rsidRDefault="004C2810" w:rsidP="000232EC">
            <w:pPr>
              <w:pStyle w:val="figura"/>
            </w:pPr>
            <w:r w:rsidRPr="004C2810">
              <w:t>Residencial 1</w:t>
            </w:r>
          </w:p>
        </w:tc>
        <w:tc>
          <w:tcPr>
            <w:tcW w:w="741" w:type="pct"/>
            <w:noWrap/>
            <w:vAlign w:val="center"/>
            <w:hideMark/>
          </w:tcPr>
          <w:p w:rsidR="004C2810" w:rsidRPr="004C2810" w:rsidRDefault="004C2810" w:rsidP="000232EC">
            <w:pPr>
              <w:pStyle w:val="figura"/>
              <w:jc w:val="right"/>
              <w:rPr>
                <w:sz w:val="20"/>
              </w:rPr>
            </w:pPr>
            <w:r w:rsidRPr="004C2810">
              <w:rPr>
                <w:sz w:val="20"/>
              </w:rPr>
              <w:t>0,30</w:t>
            </w:r>
          </w:p>
        </w:tc>
        <w:tc>
          <w:tcPr>
            <w:tcW w:w="670" w:type="pct"/>
            <w:noWrap/>
            <w:vAlign w:val="center"/>
            <w:hideMark/>
          </w:tcPr>
          <w:p w:rsidR="004C2810" w:rsidRPr="004C2810" w:rsidRDefault="004C2810" w:rsidP="000232EC">
            <w:pPr>
              <w:pStyle w:val="figura"/>
              <w:jc w:val="right"/>
              <w:rPr>
                <w:sz w:val="20"/>
              </w:rPr>
            </w:pPr>
            <w:r w:rsidRPr="004C2810">
              <w:rPr>
                <w:sz w:val="20"/>
              </w:rPr>
              <w:t>100</w:t>
            </w:r>
          </w:p>
        </w:tc>
        <w:tc>
          <w:tcPr>
            <w:tcW w:w="812" w:type="pct"/>
            <w:noWrap/>
            <w:vAlign w:val="center"/>
            <w:hideMark/>
          </w:tcPr>
          <w:p w:rsidR="004C2810" w:rsidRPr="004C2810" w:rsidRDefault="004C2810" w:rsidP="000232EC">
            <w:pPr>
              <w:pStyle w:val="figura"/>
              <w:jc w:val="right"/>
              <w:rPr>
                <w:sz w:val="20"/>
              </w:rPr>
            </w:pPr>
            <w:r w:rsidRPr="004C2810">
              <w:rPr>
                <w:sz w:val="20"/>
              </w:rPr>
              <w:t>100</w:t>
            </w:r>
          </w:p>
        </w:tc>
        <w:tc>
          <w:tcPr>
            <w:tcW w:w="965" w:type="pct"/>
            <w:noWrap/>
            <w:vAlign w:val="center"/>
            <w:hideMark/>
          </w:tcPr>
          <w:p w:rsidR="004C2810" w:rsidRPr="004C2810" w:rsidRDefault="004C2810" w:rsidP="004C2810">
            <w:pPr>
              <w:pStyle w:val="figura"/>
              <w:jc w:val="right"/>
              <w:rPr>
                <w:sz w:val="20"/>
              </w:rPr>
            </w:pPr>
            <w:r w:rsidRPr="004C2810">
              <w:rPr>
                <w:sz w:val="20"/>
              </w:rPr>
              <w:t>R$ 133,14</w:t>
            </w:r>
          </w:p>
        </w:tc>
        <w:tc>
          <w:tcPr>
            <w:tcW w:w="966" w:type="pct"/>
            <w:noWrap/>
            <w:vAlign w:val="center"/>
            <w:hideMark/>
          </w:tcPr>
          <w:p w:rsidR="004C2810" w:rsidRPr="004C2810" w:rsidRDefault="004C2810" w:rsidP="004C2810">
            <w:pPr>
              <w:pStyle w:val="figura"/>
              <w:jc w:val="right"/>
              <w:rPr>
                <w:sz w:val="20"/>
              </w:rPr>
            </w:pPr>
            <w:r w:rsidRPr="004C2810">
              <w:rPr>
                <w:sz w:val="20"/>
              </w:rPr>
              <w:t>R$ 11,10</w:t>
            </w:r>
          </w:p>
        </w:tc>
      </w:tr>
      <w:tr w:rsidR="004C2810" w:rsidRPr="004C2810" w:rsidTr="004C2810">
        <w:trPr>
          <w:trHeight w:val="300"/>
        </w:trPr>
        <w:tc>
          <w:tcPr>
            <w:tcW w:w="846" w:type="pct"/>
            <w:noWrap/>
            <w:vAlign w:val="center"/>
            <w:hideMark/>
          </w:tcPr>
          <w:p w:rsidR="004C2810" w:rsidRPr="004C2810" w:rsidRDefault="004C2810" w:rsidP="000232EC">
            <w:pPr>
              <w:pStyle w:val="figura"/>
            </w:pPr>
            <w:r w:rsidRPr="004C2810">
              <w:t>Residencial 1</w:t>
            </w:r>
          </w:p>
        </w:tc>
        <w:tc>
          <w:tcPr>
            <w:tcW w:w="741" w:type="pct"/>
            <w:noWrap/>
            <w:vAlign w:val="center"/>
            <w:hideMark/>
          </w:tcPr>
          <w:p w:rsidR="004C2810" w:rsidRPr="004C2810" w:rsidRDefault="004C2810" w:rsidP="000232EC">
            <w:pPr>
              <w:pStyle w:val="figura"/>
              <w:jc w:val="right"/>
              <w:rPr>
                <w:sz w:val="20"/>
              </w:rPr>
            </w:pPr>
            <w:r w:rsidRPr="004C2810">
              <w:rPr>
                <w:sz w:val="20"/>
              </w:rPr>
              <w:t>0,30</w:t>
            </w:r>
          </w:p>
        </w:tc>
        <w:tc>
          <w:tcPr>
            <w:tcW w:w="670" w:type="pct"/>
            <w:noWrap/>
            <w:vAlign w:val="center"/>
            <w:hideMark/>
          </w:tcPr>
          <w:p w:rsidR="004C2810" w:rsidRPr="004C2810" w:rsidRDefault="004C2810" w:rsidP="000232EC">
            <w:pPr>
              <w:pStyle w:val="figura"/>
              <w:jc w:val="right"/>
              <w:rPr>
                <w:sz w:val="20"/>
              </w:rPr>
            </w:pPr>
            <w:r w:rsidRPr="004C2810">
              <w:rPr>
                <w:sz w:val="20"/>
              </w:rPr>
              <w:t>100</w:t>
            </w:r>
          </w:p>
        </w:tc>
        <w:tc>
          <w:tcPr>
            <w:tcW w:w="812" w:type="pct"/>
            <w:noWrap/>
            <w:vAlign w:val="center"/>
            <w:hideMark/>
          </w:tcPr>
          <w:p w:rsidR="004C2810" w:rsidRPr="004C2810" w:rsidRDefault="004C2810" w:rsidP="000232EC">
            <w:pPr>
              <w:pStyle w:val="figura"/>
              <w:jc w:val="right"/>
              <w:rPr>
                <w:sz w:val="20"/>
              </w:rPr>
            </w:pPr>
            <w:r w:rsidRPr="004C2810">
              <w:rPr>
                <w:sz w:val="20"/>
              </w:rPr>
              <w:t>200</w:t>
            </w:r>
          </w:p>
        </w:tc>
        <w:tc>
          <w:tcPr>
            <w:tcW w:w="965" w:type="pct"/>
            <w:noWrap/>
            <w:vAlign w:val="center"/>
            <w:hideMark/>
          </w:tcPr>
          <w:p w:rsidR="004C2810" w:rsidRPr="004C2810" w:rsidRDefault="004C2810" w:rsidP="004C2810">
            <w:pPr>
              <w:pStyle w:val="figura"/>
              <w:jc w:val="right"/>
              <w:rPr>
                <w:sz w:val="20"/>
              </w:rPr>
            </w:pPr>
            <w:r w:rsidRPr="004C2810">
              <w:rPr>
                <w:sz w:val="20"/>
              </w:rPr>
              <w:t>R$ 236,29</w:t>
            </w:r>
          </w:p>
        </w:tc>
        <w:tc>
          <w:tcPr>
            <w:tcW w:w="966" w:type="pct"/>
            <w:noWrap/>
            <w:vAlign w:val="center"/>
            <w:hideMark/>
          </w:tcPr>
          <w:p w:rsidR="004C2810" w:rsidRPr="004C2810" w:rsidRDefault="004C2810" w:rsidP="004C2810">
            <w:pPr>
              <w:pStyle w:val="figura"/>
              <w:jc w:val="right"/>
              <w:rPr>
                <w:sz w:val="20"/>
              </w:rPr>
            </w:pPr>
            <w:r w:rsidRPr="004C2810">
              <w:rPr>
                <w:sz w:val="20"/>
              </w:rPr>
              <w:t>R$ 19,69</w:t>
            </w:r>
          </w:p>
        </w:tc>
      </w:tr>
      <w:tr w:rsidR="004C2810" w:rsidRPr="004C2810" w:rsidTr="004C2810">
        <w:trPr>
          <w:trHeight w:val="300"/>
        </w:trPr>
        <w:tc>
          <w:tcPr>
            <w:tcW w:w="846" w:type="pct"/>
            <w:noWrap/>
            <w:vAlign w:val="center"/>
            <w:hideMark/>
          </w:tcPr>
          <w:p w:rsidR="004C2810" w:rsidRPr="004C2810" w:rsidRDefault="004C2810" w:rsidP="000232EC">
            <w:pPr>
              <w:pStyle w:val="figura"/>
            </w:pPr>
            <w:r w:rsidRPr="004C2810">
              <w:t>Residencial 2</w:t>
            </w:r>
          </w:p>
        </w:tc>
        <w:tc>
          <w:tcPr>
            <w:tcW w:w="741" w:type="pct"/>
            <w:noWrap/>
            <w:vAlign w:val="center"/>
            <w:hideMark/>
          </w:tcPr>
          <w:p w:rsidR="004C2810" w:rsidRPr="004C2810" w:rsidRDefault="004C2810" w:rsidP="000232EC">
            <w:pPr>
              <w:pStyle w:val="figura"/>
              <w:jc w:val="right"/>
              <w:rPr>
                <w:sz w:val="20"/>
              </w:rPr>
            </w:pPr>
            <w:r w:rsidRPr="004C2810">
              <w:rPr>
                <w:sz w:val="20"/>
              </w:rPr>
              <w:t>0,60</w:t>
            </w:r>
          </w:p>
        </w:tc>
        <w:tc>
          <w:tcPr>
            <w:tcW w:w="670" w:type="pct"/>
            <w:noWrap/>
            <w:vAlign w:val="center"/>
            <w:hideMark/>
          </w:tcPr>
          <w:p w:rsidR="004C2810" w:rsidRPr="004C2810" w:rsidRDefault="004C2810" w:rsidP="000232EC">
            <w:pPr>
              <w:pStyle w:val="figura"/>
              <w:jc w:val="right"/>
              <w:rPr>
                <w:sz w:val="20"/>
              </w:rPr>
            </w:pPr>
            <w:r w:rsidRPr="004C2810">
              <w:rPr>
                <w:sz w:val="20"/>
              </w:rPr>
              <w:t>100</w:t>
            </w:r>
          </w:p>
        </w:tc>
        <w:tc>
          <w:tcPr>
            <w:tcW w:w="812" w:type="pct"/>
            <w:noWrap/>
            <w:vAlign w:val="center"/>
            <w:hideMark/>
          </w:tcPr>
          <w:p w:rsidR="004C2810" w:rsidRPr="004C2810" w:rsidRDefault="004C2810" w:rsidP="000232EC">
            <w:pPr>
              <w:pStyle w:val="figura"/>
              <w:jc w:val="right"/>
              <w:rPr>
                <w:sz w:val="20"/>
              </w:rPr>
            </w:pPr>
            <w:r w:rsidRPr="004C2810">
              <w:rPr>
                <w:sz w:val="20"/>
              </w:rPr>
              <w:t>100</w:t>
            </w:r>
          </w:p>
        </w:tc>
        <w:tc>
          <w:tcPr>
            <w:tcW w:w="965" w:type="pct"/>
            <w:noWrap/>
            <w:vAlign w:val="center"/>
            <w:hideMark/>
          </w:tcPr>
          <w:p w:rsidR="004C2810" w:rsidRPr="004C2810" w:rsidRDefault="004C2810" w:rsidP="004C2810">
            <w:pPr>
              <w:pStyle w:val="figura"/>
              <w:jc w:val="right"/>
              <w:rPr>
                <w:sz w:val="20"/>
              </w:rPr>
            </w:pPr>
            <w:r w:rsidRPr="004C2810">
              <w:rPr>
                <w:sz w:val="20"/>
              </w:rPr>
              <w:t>R$ 163,14</w:t>
            </w:r>
          </w:p>
        </w:tc>
        <w:tc>
          <w:tcPr>
            <w:tcW w:w="966" w:type="pct"/>
            <w:noWrap/>
            <w:vAlign w:val="center"/>
            <w:hideMark/>
          </w:tcPr>
          <w:p w:rsidR="004C2810" w:rsidRPr="004C2810" w:rsidRDefault="004C2810" w:rsidP="004C2810">
            <w:pPr>
              <w:pStyle w:val="figura"/>
              <w:jc w:val="right"/>
              <w:rPr>
                <w:sz w:val="20"/>
              </w:rPr>
            </w:pPr>
            <w:r w:rsidRPr="004C2810">
              <w:rPr>
                <w:sz w:val="20"/>
              </w:rPr>
              <w:t>R$ 13,60</w:t>
            </w:r>
          </w:p>
        </w:tc>
      </w:tr>
      <w:tr w:rsidR="004C2810" w:rsidRPr="004C2810" w:rsidTr="004C2810">
        <w:trPr>
          <w:trHeight w:val="300"/>
        </w:trPr>
        <w:tc>
          <w:tcPr>
            <w:tcW w:w="846" w:type="pct"/>
            <w:noWrap/>
            <w:vAlign w:val="center"/>
            <w:hideMark/>
          </w:tcPr>
          <w:p w:rsidR="004C2810" w:rsidRPr="004C2810" w:rsidRDefault="004C2810" w:rsidP="000232EC">
            <w:pPr>
              <w:pStyle w:val="figura"/>
            </w:pPr>
            <w:r w:rsidRPr="004C2810">
              <w:t>Residencial 2</w:t>
            </w:r>
          </w:p>
        </w:tc>
        <w:tc>
          <w:tcPr>
            <w:tcW w:w="741" w:type="pct"/>
            <w:noWrap/>
            <w:vAlign w:val="center"/>
            <w:hideMark/>
          </w:tcPr>
          <w:p w:rsidR="004C2810" w:rsidRPr="004C2810" w:rsidRDefault="004C2810" w:rsidP="000232EC">
            <w:pPr>
              <w:pStyle w:val="figura"/>
              <w:jc w:val="right"/>
              <w:rPr>
                <w:sz w:val="20"/>
              </w:rPr>
            </w:pPr>
            <w:r w:rsidRPr="004C2810">
              <w:rPr>
                <w:sz w:val="20"/>
              </w:rPr>
              <w:t>0,60</w:t>
            </w:r>
          </w:p>
        </w:tc>
        <w:tc>
          <w:tcPr>
            <w:tcW w:w="670" w:type="pct"/>
            <w:noWrap/>
            <w:vAlign w:val="center"/>
            <w:hideMark/>
          </w:tcPr>
          <w:p w:rsidR="004C2810" w:rsidRPr="004C2810" w:rsidRDefault="004C2810" w:rsidP="000232EC">
            <w:pPr>
              <w:pStyle w:val="figura"/>
              <w:jc w:val="right"/>
              <w:rPr>
                <w:sz w:val="20"/>
              </w:rPr>
            </w:pPr>
            <w:r w:rsidRPr="004C2810">
              <w:rPr>
                <w:sz w:val="20"/>
              </w:rPr>
              <w:t>100</w:t>
            </w:r>
          </w:p>
        </w:tc>
        <w:tc>
          <w:tcPr>
            <w:tcW w:w="812" w:type="pct"/>
            <w:noWrap/>
            <w:vAlign w:val="center"/>
            <w:hideMark/>
          </w:tcPr>
          <w:p w:rsidR="004C2810" w:rsidRPr="004C2810" w:rsidRDefault="004C2810" w:rsidP="000232EC">
            <w:pPr>
              <w:pStyle w:val="figura"/>
              <w:jc w:val="right"/>
              <w:rPr>
                <w:sz w:val="20"/>
              </w:rPr>
            </w:pPr>
            <w:r w:rsidRPr="004C2810">
              <w:rPr>
                <w:sz w:val="20"/>
              </w:rPr>
              <w:t>200</w:t>
            </w:r>
          </w:p>
        </w:tc>
        <w:tc>
          <w:tcPr>
            <w:tcW w:w="965" w:type="pct"/>
            <w:noWrap/>
            <w:vAlign w:val="center"/>
            <w:hideMark/>
          </w:tcPr>
          <w:p w:rsidR="004C2810" w:rsidRPr="004C2810" w:rsidRDefault="004C2810" w:rsidP="004C2810">
            <w:pPr>
              <w:pStyle w:val="figura"/>
              <w:jc w:val="right"/>
              <w:rPr>
                <w:sz w:val="20"/>
              </w:rPr>
            </w:pPr>
            <w:r w:rsidRPr="004C2810">
              <w:rPr>
                <w:sz w:val="20"/>
              </w:rPr>
              <w:t>R$ 266,29</w:t>
            </w:r>
          </w:p>
        </w:tc>
        <w:tc>
          <w:tcPr>
            <w:tcW w:w="966" w:type="pct"/>
            <w:noWrap/>
            <w:vAlign w:val="center"/>
            <w:hideMark/>
          </w:tcPr>
          <w:p w:rsidR="004C2810" w:rsidRPr="004C2810" w:rsidRDefault="004C2810" w:rsidP="004C2810">
            <w:pPr>
              <w:pStyle w:val="figura"/>
              <w:jc w:val="right"/>
              <w:rPr>
                <w:sz w:val="20"/>
              </w:rPr>
            </w:pPr>
            <w:r w:rsidRPr="004C2810">
              <w:rPr>
                <w:sz w:val="20"/>
              </w:rPr>
              <w:t>R$ 22,19</w:t>
            </w:r>
          </w:p>
        </w:tc>
      </w:tr>
      <w:tr w:rsidR="004C2810" w:rsidRPr="004C2810" w:rsidTr="004C2810">
        <w:trPr>
          <w:trHeight w:val="300"/>
        </w:trPr>
        <w:tc>
          <w:tcPr>
            <w:tcW w:w="846" w:type="pct"/>
            <w:noWrap/>
            <w:vAlign w:val="center"/>
            <w:hideMark/>
          </w:tcPr>
          <w:p w:rsidR="004C2810" w:rsidRPr="004C2810" w:rsidRDefault="004C2810" w:rsidP="000232EC">
            <w:pPr>
              <w:pStyle w:val="figura"/>
            </w:pPr>
            <w:r w:rsidRPr="004C2810">
              <w:t>Residencial 3</w:t>
            </w:r>
          </w:p>
        </w:tc>
        <w:tc>
          <w:tcPr>
            <w:tcW w:w="741" w:type="pct"/>
            <w:noWrap/>
            <w:vAlign w:val="center"/>
            <w:hideMark/>
          </w:tcPr>
          <w:p w:rsidR="004C2810" w:rsidRPr="004C2810" w:rsidRDefault="004C2810" w:rsidP="000232EC">
            <w:pPr>
              <w:pStyle w:val="figura"/>
              <w:jc w:val="right"/>
              <w:rPr>
                <w:sz w:val="20"/>
              </w:rPr>
            </w:pPr>
            <w:r w:rsidRPr="004C2810">
              <w:rPr>
                <w:sz w:val="20"/>
              </w:rPr>
              <w:t>0,90</w:t>
            </w:r>
          </w:p>
        </w:tc>
        <w:tc>
          <w:tcPr>
            <w:tcW w:w="670" w:type="pct"/>
            <w:noWrap/>
            <w:vAlign w:val="center"/>
            <w:hideMark/>
          </w:tcPr>
          <w:p w:rsidR="004C2810" w:rsidRPr="004C2810" w:rsidRDefault="004C2810" w:rsidP="000232EC">
            <w:pPr>
              <w:pStyle w:val="figura"/>
              <w:jc w:val="right"/>
              <w:rPr>
                <w:sz w:val="20"/>
              </w:rPr>
            </w:pPr>
            <w:r w:rsidRPr="004C2810">
              <w:rPr>
                <w:sz w:val="20"/>
              </w:rPr>
              <w:t>100</w:t>
            </w:r>
          </w:p>
        </w:tc>
        <w:tc>
          <w:tcPr>
            <w:tcW w:w="812" w:type="pct"/>
            <w:noWrap/>
            <w:vAlign w:val="center"/>
            <w:hideMark/>
          </w:tcPr>
          <w:p w:rsidR="004C2810" w:rsidRPr="004C2810" w:rsidRDefault="004C2810" w:rsidP="000232EC">
            <w:pPr>
              <w:pStyle w:val="figura"/>
              <w:jc w:val="right"/>
              <w:rPr>
                <w:sz w:val="20"/>
              </w:rPr>
            </w:pPr>
            <w:r w:rsidRPr="004C2810">
              <w:rPr>
                <w:sz w:val="20"/>
              </w:rPr>
              <w:t>100</w:t>
            </w:r>
          </w:p>
        </w:tc>
        <w:tc>
          <w:tcPr>
            <w:tcW w:w="965" w:type="pct"/>
            <w:noWrap/>
            <w:vAlign w:val="center"/>
            <w:hideMark/>
          </w:tcPr>
          <w:p w:rsidR="004C2810" w:rsidRPr="004C2810" w:rsidRDefault="004C2810" w:rsidP="004C2810">
            <w:pPr>
              <w:pStyle w:val="figura"/>
              <w:jc w:val="right"/>
              <w:rPr>
                <w:sz w:val="20"/>
              </w:rPr>
            </w:pPr>
            <w:r w:rsidRPr="004C2810">
              <w:rPr>
                <w:sz w:val="20"/>
              </w:rPr>
              <w:t>R$ 193,14</w:t>
            </w:r>
          </w:p>
        </w:tc>
        <w:tc>
          <w:tcPr>
            <w:tcW w:w="966" w:type="pct"/>
            <w:noWrap/>
            <w:vAlign w:val="center"/>
            <w:hideMark/>
          </w:tcPr>
          <w:p w:rsidR="004C2810" w:rsidRPr="004C2810" w:rsidRDefault="004C2810" w:rsidP="004C2810">
            <w:pPr>
              <w:pStyle w:val="figura"/>
              <w:jc w:val="right"/>
              <w:rPr>
                <w:sz w:val="20"/>
              </w:rPr>
            </w:pPr>
            <w:r w:rsidRPr="004C2810">
              <w:rPr>
                <w:sz w:val="20"/>
              </w:rPr>
              <w:t>R$ 16,10</w:t>
            </w:r>
          </w:p>
        </w:tc>
      </w:tr>
      <w:tr w:rsidR="004C2810" w:rsidRPr="004C2810" w:rsidTr="004C2810">
        <w:trPr>
          <w:trHeight w:val="300"/>
        </w:trPr>
        <w:tc>
          <w:tcPr>
            <w:tcW w:w="846" w:type="pct"/>
            <w:noWrap/>
            <w:vAlign w:val="center"/>
            <w:hideMark/>
          </w:tcPr>
          <w:p w:rsidR="004C2810" w:rsidRPr="004C2810" w:rsidRDefault="004C2810" w:rsidP="000232EC">
            <w:pPr>
              <w:pStyle w:val="figura"/>
            </w:pPr>
            <w:r w:rsidRPr="004C2810">
              <w:t>Residencial 3</w:t>
            </w:r>
          </w:p>
        </w:tc>
        <w:tc>
          <w:tcPr>
            <w:tcW w:w="741" w:type="pct"/>
            <w:noWrap/>
            <w:vAlign w:val="center"/>
            <w:hideMark/>
          </w:tcPr>
          <w:p w:rsidR="004C2810" w:rsidRPr="004C2810" w:rsidRDefault="004C2810" w:rsidP="000232EC">
            <w:pPr>
              <w:pStyle w:val="figura"/>
              <w:jc w:val="right"/>
              <w:rPr>
                <w:sz w:val="20"/>
              </w:rPr>
            </w:pPr>
            <w:r w:rsidRPr="004C2810">
              <w:rPr>
                <w:sz w:val="20"/>
              </w:rPr>
              <w:t>0,90</w:t>
            </w:r>
          </w:p>
        </w:tc>
        <w:tc>
          <w:tcPr>
            <w:tcW w:w="670" w:type="pct"/>
            <w:noWrap/>
            <w:vAlign w:val="center"/>
            <w:hideMark/>
          </w:tcPr>
          <w:p w:rsidR="004C2810" w:rsidRPr="004C2810" w:rsidRDefault="004C2810" w:rsidP="000232EC">
            <w:pPr>
              <w:pStyle w:val="figura"/>
              <w:jc w:val="right"/>
              <w:rPr>
                <w:sz w:val="20"/>
              </w:rPr>
            </w:pPr>
            <w:r w:rsidRPr="004C2810">
              <w:rPr>
                <w:sz w:val="20"/>
              </w:rPr>
              <w:t>100</w:t>
            </w:r>
          </w:p>
        </w:tc>
        <w:tc>
          <w:tcPr>
            <w:tcW w:w="812" w:type="pct"/>
            <w:noWrap/>
            <w:vAlign w:val="center"/>
            <w:hideMark/>
          </w:tcPr>
          <w:p w:rsidR="004C2810" w:rsidRPr="004C2810" w:rsidRDefault="004C2810" w:rsidP="000232EC">
            <w:pPr>
              <w:pStyle w:val="figura"/>
              <w:jc w:val="right"/>
              <w:rPr>
                <w:sz w:val="20"/>
              </w:rPr>
            </w:pPr>
            <w:r w:rsidRPr="004C2810">
              <w:rPr>
                <w:sz w:val="20"/>
              </w:rPr>
              <w:t>200</w:t>
            </w:r>
          </w:p>
        </w:tc>
        <w:tc>
          <w:tcPr>
            <w:tcW w:w="965" w:type="pct"/>
            <w:noWrap/>
            <w:vAlign w:val="center"/>
            <w:hideMark/>
          </w:tcPr>
          <w:p w:rsidR="004C2810" w:rsidRPr="004C2810" w:rsidRDefault="004C2810" w:rsidP="004C2810">
            <w:pPr>
              <w:pStyle w:val="figura"/>
              <w:jc w:val="right"/>
              <w:rPr>
                <w:sz w:val="20"/>
              </w:rPr>
            </w:pPr>
            <w:r w:rsidRPr="004C2810">
              <w:rPr>
                <w:sz w:val="20"/>
              </w:rPr>
              <w:t>R$ 296,29</w:t>
            </w:r>
          </w:p>
        </w:tc>
        <w:tc>
          <w:tcPr>
            <w:tcW w:w="966" w:type="pct"/>
            <w:noWrap/>
            <w:vAlign w:val="center"/>
            <w:hideMark/>
          </w:tcPr>
          <w:p w:rsidR="004C2810" w:rsidRPr="004C2810" w:rsidRDefault="004C2810" w:rsidP="004C2810">
            <w:pPr>
              <w:pStyle w:val="figura"/>
              <w:jc w:val="right"/>
              <w:rPr>
                <w:sz w:val="20"/>
              </w:rPr>
            </w:pPr>
            <w:r w:rsidRPr="004C2810">
              <w:rPr>
                <w:sz w:val="20"/>
              </w:rPr>
              <w:t>R$ 24,69</w:t>
            </w:r>
          </w:p>
        </w:tc>
      </w:tr>
      <w:tr w:rsidR="004C2810" w:rsidRPr="004C2810" w:rsidTr="004C2810">
        <w:trPr>
          <w:trHeight w:val="300"/>
        </w:trPr>
        <w:tc>
          <w:tcPr>
            <w:tcW w:w="846" w:type="pct"/>
            <w:noWrap/>
            <w:vAlign w:val="center"/>
            <w:hideMark/>
          </w:tcPr>
          <w:p w:rsidR="004C2810" w:rsidRPr="004C2810" w:rsidRDefault="004C2810" w:rsidP="000232EC">
            <w:pPr>
              <w:pStyle w:val="figura"/>
            </w:pPr>
            <w:r w:rsidRPr="004C2810">
              <w:t>Comercial 1</w:t>
            </w:r>
          </w:p>
        </w:tc>
        <w:tc>
          <w:tcPr>
            <w:tcW w:w="741" w:type="pct"/>
            <w:noWrap/>
            <w:vAlign w:val="center"/>
            <w:hideMark/>
          </w:tcPr>
          <w:p w:rsidR="004C2810" w:rsidRPr="004C2810" w:rsidRDefault="004C2810" w:rsidP="000232EC">
            <w:pPr>
              <w:pStyle w:val="figura"/>
              <w:jc w:val="right"/>
              <w:rPr>
                <w:sz w:val="20"/>
              </w:rPr>
            </w:pPr>
            <w:r w:rsidRPr="004C2810">
              <w:rPr>
                <w:sz w:val="20"/>
              </w:rPr>
              <w:t>1,00</w:t>
            </w:r>
          </w:p>
        </w:tc>
        <w:tc>
          <w:tcPr>
            <w:tcW w:w="670" w:type="pct"/>
            <w:noWrap/>
            <w:vAlign w:val="center"/>
            <w:hideMark/>
          </w:tcPr>
          <w:p w:rsidR="004C2810" w:rsidRPr="004C2810" w:rsidRDefault="004C2810" w:rsidP="000232EC">
            <w:pPr>
              <w:pStyle w:val="figura"/>
              <w:jc w:val="right"/>
              <w:rPr>
                <w:sz w:val="20"/>
              </w:rPr>
            </w:pPr>
            <w:r w:rsidRPr="004C2810">
              <w:rPr>
                <w:sz w:val="20"/>
              </w:rPr>
              <w:t>100</w:t>
            </w:r>
          </w:p>
        </w:tc>
        <w:tc>
          <w:tcPr>
            <w:tcW w:w="812" w:type="pct"/>
            <w:noWrap/>
            <w:vAlign w:val="center"/>
            <w:hideMark/>
          </w:tcPr>
          <w:p w:rsidR="004C2810" w:rsidRPr="004C2810" w:rsidRDefault="004C2810" w:rsidP="000232EC">
            <w:pPr>
              <w:pStyle w:val="figura"/>
              <w:jc w:val="right"/>
              <w:rPr>
                <w:sz w:val="20"/>
              </w:rPr>
            </w:pPr>
            <w:r w:rsidRPr="004C2810">
              <w:rPr>
                <w:sz w:val="20"/>
              </w:rPr>
              <w:t>150</w:t>
            </w:r>
          </w:p>
        </w:tc>
        <w:tc>
          <w:tcPr>
            <w:tcW w:w="965" w:type="pct"/>
            <w:noWrap/>
            <w:vAlign w:val="center"/>
            <w:hideMark/>
          </w:tcPr>
          <w:p w:rsidR="004C2810" w:rsidRPr="004C2810" w:rsidRDefault="004C2810" w:rsidP="004C2810">
            <w:pPr>
              <w:pStyle w:val="figura"/>
              <w:jc w:val="right"/>
              <w:rPr>
                <w:sz w:val="20"/>
              </w:rPr>
            </w:pPr>
            <w:r w:rsidRPr="004C2810">
              <w:rPr>
                <w:sz w:val="20"/>
              </w:rPr>
              <w:t>R$ 254,72</w:t>
            </w:r>
          </w:p>
        </w:tc>
        <w:tc>
          <w:tcPr>
            <w:tcW w:w="966" w:type="pct"/>
            <w:noWrap/>
            <w:vAlign w:val="center"/>
            <w:hideMark/>
          </w:tcPr>
          <w:p w:rsidR="004C2810" w:rsidRPr="004C2810" w:rsidRDefault="004C2810" w:rsidP="004C2810">
            <w:pPr>
              <w:pStyle w:val="figura"/>
              <w:jc w:val="right"/>
              <w:rPr>
                <w:sz w:val="20"/>
              </w:rPr>
            </w:pPr>
            <w:r w:rsidRPr="004C2810">
              <w:rPr>
                <w:sz w:val="20"/>
              </w:rPr>
              <w:t>R$ 21,23</w:t>
            </w:r>
          </w:p>
        </w:tc>
      </w:tr>
      <w:tr w:rsidR="004C2810" w:rsidRPr="004C2810" w:rsidTr="004C2810">
        <w:trPr>
          <w:trHeight w:val="300"/>
        </w:trPr>
        <w:tc>
          <w:tcPr>
            <w:tcW w:w="846" w:type="pct"/>
            <w:noWrap/>
            <w:vAlign w:val="center"/>
            <w:hideMark/>
          </w:tcPr>
          <w:p w:rsidR="004C2810" w:rsidRPr="004C2810" w:rsidRDefault="004C2810" w:rsidP="000232EC">
            <w:pPr>
              <w:pStyle w:val="figura"/>
            </w:pPr>
            <w:r w:rsidRPr="004C2810">
              <w:t>Comercial 1</w:t>
            </w:r>
          </w:p>
        </w:tc>
        <w:tc>
          <w:tcPr>
            <w:tcW w:w="741" w:type="pct"/>
            <w:noWrap/>
            <w:vAlign w:val="center"/>
            <w:hideMark/>
          </w:tcPr>
          <w:p w:rsidR="004C2810" w:rsidRPr="004C2810" w:rsidRDefault="004C2810" w:rsidP="000232EC">
            <w:pPr>
              <w:pStyle w:val="figura"/>
              <w:jc w:val="right"/>
              <w:rPr>
                <w:sz w:val="20"/>
              </w:rPr>
            </w:pPr>
            <w:r w:rsidRPr="004C2810">
              <w:rPr>
                <w:sz w:val="20"/>
              </w:rPr>
              <w:t>1,00</w:t>
            </w:r>
          </w:p>
        </w:tc>
        <w:tc>
          <w:tcPr>
            <w:tcW w:w="670" w:type="pct"/>
            <w:noWrap/>
            <w:vAlign w:val="center"/>
            <w:hideMark/>
          </w:tcPr>
          <w:p w:rsidR="004C2810" w:rsidRPr="004C2810" w:rsidRDefault="004C2810" w:rsidP="000232EC">
            <w:pPr>
              <w:pStyle w:val="figura"/>
              <w:jc w:val="right"/>
              <w:rPr>
                <w:sz w:val="20"/>
              </w:rPr>
            </w:pPr>
            <w:r w:rsidRPr="004C2810">
              <w:rPr>
                <w:sz w:val="20"/>
              </w:rPr>
              <w:t>100</w:t>
            </w:r>
          </w:p>
        </w:tc>
        <w:tc>
          <w:tcPr>
            <w:tcW w:w="812" w:type="pct"/>
            <w:noWrap/>
            <w:vAlign w:val="center"/>
            <w:hideMark/>
          </w:tcPr>
          <w:p w:rsidR="004C2810" w:rsidRPr="004C2810" w:rsidRDefault="004C2810" w:rsidP="000232EC">
            <w:pPr>
              <w:pStyle w:val="figura"/>
              <w:jc w:val="right"/>
              <w:rPr>
                <w:sz w:val="20"/>
              </w:rPr>
            </w:pPr>
            <w:r w:rsidRPr="004C2810">
              <w:rPr>
                <w:sz w:val="20"/>
              </w:rPr>
              <w:t>300</w:t>
            </w:r>
          </w:p>
        </w:tc>
        <w:tc>
          <w:tcPr>
            <w:tcW w:w="965" w:type="pct"/>
            <w:noWrap/>
            <w:vAlign w:val="center"/>
            <w:hideMark/>
          </w:tcPr>
          <w:p w:rsidR="004C2810" w:rsidRPr="004C2810" w:rsidRDefault="004C2810" w:rsidP="004C2810">
            <w:pPr>
              <w:pStyle w:val="figura"/>
              <w:jc w:val="right"/>
              <w:rPr>
                <w:sz w:val="20"/>
              </w:rPr>
            </w:pPr>
            <w:r w:rsidRPr="004C2810">
              <w:rPr>
                <w:sz w:val="20"/>
              </w:rPr>
              <w:t>R$ 409,43</w:t>
            </w:r>
          </w:p>
        </w:tc>
        <w:tc>
          <w:tcPr>
            <w:tcW w:w="966" w:type="pct"/>
            <w:noWrap/>
            <w:vAlign w:val="center"/>
            <w:hideMark/>
          </w:tcPr>
          <w:p w:rsidR="004C2810" w:rsidRPr="004C2810" w:rsidRDefault="004C2810" w:rsidP="004C2810">
            <w:pPr>
              <w:pStyle w:val="figura"/>
              <w:jc w:val="right"/>
              <w:rPr>
                <w:sz w:val="20"/>
              </w:rPr>
            </w:pPr>
            <w:r w:rsidRPr="004C2810">
              <w:rPr>
                <w:sz w:val="20"/>
              </w:rPr>
              <w:t>R$ 34,12</w:t>
            </w:r>
          </w:p>
        </w:tc>
      </w:tr>
      <w:tr w:rsidR="004C2810" w:rsidRPr="004C2810" w:rsidTr="004C2810">
        <w:trPr>
          <w:trHeight w:val="300"/>
        </w:trPr>
        <w:tc>
          <w:tcPr>
            <w:tcW w:w="846" w:type="pct"/>
            <w:noWrap/>
            <w:vAlign w:val="center"/>
            <w:hideMark/>
          </w:tcPr>
          <w:p w:rsidR="004C2810" w:rsidRPr="004C2810" w:rsidRDefault="004C2810" w:rsidP="000232EC">
            <w:pPr>
              <w:pStyle w:val="figura"/>
            </w:pPr>
            <w:r w:rsidRPr="004C2810">
              <w:t>Comercial 2</w:t>
            </w:r>
          </w:p>
        </w:tc>
        <w:tc>
          <w:tcPr>
            <w:tcW w:w="741" w:type="pct"/>
            <w:noWrap/>
            <w:vAlign w:val="center"/>
            <w:hideMark/>
          </w:tcPr>
          <w:p w:rsidR="004C2810" w:rsidRPr="004C2810" w:rsidRDefault="004C2810" w:rsidP="000232EC">
            <w:pPr>
              <w:pStyle w:val="figura"/>
              <w:jc w:val="right"/>
              <w:rPr>
                <w:sz w:val="20"/>
              </w:rPr>
            </w:pPr>
            <w:r w:rsidRPr="004C2810">
              <w:rPr>
                <w:sz w:val="20"/>
              </w:rPr>
              <w:t>1,50</w:t>
            </w:r>
          </w:p>
        </w:tc>
        <w:tc>
          <w:tcPr>
            <w:tcW w:w="670" w:type="pct"/>
            <w:noWrap/>
            <w:vAlign w:val="center"/>
            <w:hideMark/>
          </w:tcPr>
          <w:p w:rsidR="004C2810" w:rsidRPr="004C2810" w:rsidRDefault="004C2810" w:rsidP="000232EC">
            <w:pPr>
              <w:pStyle w:val="figura"/>
              <w:jc w:val="right"/>
              <w:rPr>
                <w:sz w:val="20"/>
              </w:rPr>
            </w:pPr>
            <w:r w:rsidRPr="004C2810">
              <w:rPr>
                <w:sz w:val="20"/>
              </w:rPr>
              <w:t>100</w:t>
            </w:r>
          </w:p>
        </w:tc>
        <w:tc>
          <w:tcPr>
            <w:tcW w:w="812" w:type="pct"/>
            <w:noWrap/>
            <w:vAlign w:val="center"/>
            <w:hideMark/>
          </w:tcPr>
          <w:p w:rsidR="004C2810" w:rsidRPr="004C2810" w:rsidRDefault="004C2810" w:rsidP="000232EC">
            <w:pPr>
              <w:pStyle w:val="figura"/>
              <w:jc w:val="right"/>
              <w:rPr>
                <w:sz w:val="20"/>
              </w:rPr>
            </w:pPr>
            <w:r w:rsidRPr="004C2810">
              <w:rPr>
                <w:sz w:val="20"/>
              </w:rPr>
              <w:t>150</w:t>
            </w:r>
          </w:p>
        </w:tc>
        <w:tc>
          <w:tcPr>
            <w:tcW w:w="965" w:type="pct"/>
            <w:noWrap/>
            <w:vAlign w:val="center"/>
            <w:hideMark/>
          </w:tcPr>
          <w:p w:rsidR="004C2810" w:rsidRPr="004C2810" w:rsidRDefault="004C2810" w:rsidP="004C2810">
            <w:pPr>
              <w:pStyle w:val="figura"/>
              <w:jc w:val="right"/>
              <w:rPr>
                <w:sz w:val="20"/>
              </w:rPr>
            </w:pPr>
            <w:r w:rsidRPr="004C2810">
              <w:rPr>
                <w:sz w:val="20"/>
              </w:rPr>
              <w:t>R$ 304,72</w:t>
            </w:r>
          </w:p>
        </w:tc>
        <w:tc>
          <w:tcPr>
            <w:tcW w:w="966" w:type="pct"/>
            <w:noWrap/>
            <w:vAlign w:val="center"/>
            <w:hideMark/>
          </w:tcPr>
          <w:p w:rsidR="004C2810" w:rsidRPr="004C2810" w:rsidRDefault="004C2810" w:rsidP="004C2810">
            <w:pPr>
              <w:pStyle w:val="figura"/>
              <w:jc w:val="right"/>
              <w:rPr>
                <w:sz w:val="20"/>
              </w:rPr>
            </w:pPr>
            <w:r w:rsidRPr="004C2810">
              <w:rPr>
                <w:sz w:val="20"/>
              </w:rPr>
              <w:t>R$ 25,39</w:t>
            </w:r>
          </w:p>
        </w:tc>
      </w:tr>
      <w:tr w:rsidR="004C2810" w:rsidRPr="004C2810" w:rsidTr="004C2810">
        <w:trPr>
          <w:trHeight w:val="300"/>
        </w:trPr>
        <w:tc>
          <w:tcPr>
            <w:tcW w:w="846" w:type="pct"/>
            <w:noWrap/>
            <w:vAlign w:val="center"/>
            <w:hideMark/>
          </w:tcPr>
          <w:p w:rsidR="004C2810" w:rsidRPr="004C2810" w:rsidRDefault="004C2810" w:rsidP="000232EC">
            <w:pPr>
              <w:pStyle w:val="figura"/>
            </w:pPr>
            <w:r w:rsidRPr="004C2810">
              <w:t>Comercial 2</w:t>
            </w:r>
          </w:p>
        </w:tc>
        <w:tc>
          <w:tcPr>
            <w:tcW w:w="741" w:type="pct"/>
            <w:noWrap/>
            <w:vAlign w:val="center"/>
            <w:hideMark/>
          </w:tcPr>
          <w:p w:rsidR="004C2810" w:rsidRPr="004C2810" w:rsidRDefault="004C2810" w:rsidP="000232EC">
            <w:pPr>
              <w:pStyle w:val="figura"/>
              <w:jc w:val="right"/>
              <w:rPr>
                <w:sz w:val="20"/>
              </w:rPr>
            </w:pPr>
            <w:r w:rsidRPr="004C2810">
              <w:rPr>
                <w:sz w:val="20"/>
              </w:rPr>
              <w:t>1,50</w:t>
            </w:r>
          </w:p>
        </w:tc>
        <w:tc>
          <w:tcPr>
            <w:tcW w:w="670" w:type="pct"/>
            <w:noWrap/>
            <w:vAlign w:val="center"/>
            <w:hideMark/>
          </w:tcPr>
          <w:p w:rsidR="004C2810" w:rsidRPr="004C2810" w:rsidRDefault="004C2810" w:rsidP="000232EC">
            <w:pPr>
              <w:pStyle w:val="figura"/>
              <w:jc w:val="right"/>
              <w:rPr>
                <w:sz w:val="20"/>
              </w:rPr>
            </w:pPr>
            <w:r w:rsidRPr="004C2810">
              <w:rPr>
                <w:sz w:val="20"/>
              </w:rPr>
              <w:t>100</w:t>
            </w:r>
          </w:p>
        </w:tc>
        <w:tc>
          <w:tcPr>
            <w:tcW w:w="812" w:type="pct"/>
            <w:noWrap/>
            <w:vAlign w:val="center"/>
            <w:hideMark/>
          </w:tcPr>
          <w:p w:rsidR="004C2810" w:rsidRPr="004C2810" w:rsidRDefault="004C2810" w:rsidP="000232EC">
            <w:pPr>
              <w:pStyle w:val="figura"/>
              <w:jc w:val="right"/>
              <w:rPr>
                <w:sz w:val="20"/>
              </w:rPr>
            </w:pPr>
            <w:r w:rsidRPr="004C2810">
              <w:rPr>
                <w:sz w:val="20"/>
              </w:rPr>
              <w:t>300</w:t>
            </w:r>
          </w:p>
        </w:tc>
        <w:tc>
          <w:tcPr>
            <w:tcW w:w="965" w:type="pct"/>
            <w:noWrap/>
            <w:vAlign w:val="center"/>
            <w:hideMark/>
          </w:tcPr>
          <w:p w:rsidR="004C2810" w:rsidRPr="004C2810" w:rsidRDefault="004C2810" w:rsidP="004C2810">
            <w:pPr>
              <w:pStyle w:val="figura"/>
              <w:jc w:val="right"/>
              <w:rPr>
                <w:sz w:val="20"/>
              </w:rPr>
            </w:pPr>
            <w:r w:rsidRPr="004C2810">
              <w:rPr>
                <w:sz w:val="20"/>
              </w:rPr>
              <w:t>R$ 459,43</w:t>
            </w:r>
          </w:p>
        </w:tc>
        <w:tc>
          <w:tcPr>
            <w:tcW w:w="966" w:type="pct"/>
            <w:noWrap/>
            <w:vAlign w:val="center"/>
            <w:hideMark/>
          </w:tcPr>
          <w:p w:rsidR="004C2810" w:rsidRPr="004C2810" w:rsidRDefault="004C2810" w:rsidP="004C2810">
            <w:pPr>
              <w:pStyle w:val="figura"/>
              <w:jc w:val="right"/>
              <w:rPr>
                <w:sz w:val="20"/>
              </w:rPr>
            </w:pPr>
            <w:r w:rsidRPr="004C2810">
              <w:rPr>
                <w:sz w:val="20"/>
              </w:rPr>
              <w:t>R$ 38,29</w:t>
            </w:r>
          </w:p>
        </w:tc>
      </w:tr>
    </w:tbl>
    <w:p w:rsidR="00C512B5" w:rsidRPr="004C2810" w:rsidRDefault="00C512B5" w:rsidP="00C512B5">
      <w:pPr>
        <w:pStyle w:val="Fonte"/>
      </w:pPr>
      <w:r w:rsidRPr="004C2810">
        <w:t>Fonte: SHS, 2017.</w:t>
      </w:r>
    </w:p>
    <w:p w:rsidR="00C512B5" w:rsidRPr="004C2810" w:rsidRDefault="00C512B5" w:rsidP="00C512B5">
      <w:pPr>
        <w:ind w:firstLine="709"/>
        <w:rPr>
          <w:rFonts w:cs="Arial"/>
          <w:szCs w:val="24"/>
        </w:rPr>
      </w:pPr>
      <w:r w:rsidRPr="004C2810">
        <w:rPr>
          <w:rFonts w:cs="Arial"/>
          <w:szCs w:val="24"/>
        </w:rPr>
        <w:lastRenderedPageBreak/>
        <w:t>Embora ausente dessa metodologia de cálculo, um fator interessante no sentido de se fazer justiça tributária aliada às práticas de políticas públicas ambientalmente sustentáveis é a criação de um redutor de preço da taxa ao se premiar o uso de tecnologias modernas e eficientes no manejo com os resíduos sólidos, observando o disposto no art. 29, § 1º, VII da Lei n.º 11.445/07.</w:t>
      </w:r>
    </w:p>
    <w:p w:rsidR="00C512B5" w:rsidRPr="004C2810" w:rsidRDefault="00C512B5" w:rsidP="00C512B5">
      <w:pPr>
        <w:ind w:firstLine="709"/>
        <w:rPr>
          <w:rFonts w:cs="Arial"/>
          <w:szCs w:val="24"/>
        </w:rPr>
      </w:pPr>
      <w:r w:rsidRPr="004C2810">
        <w:rPr>
          <w:rFonts w:cs="Arial"/>
          <w:szCs w:val="24"/>
        </w:rPr>
        <w:t xml:space="preserve">Essa metodologia de cálculo traz alguns benefícios: </w:t>
      </w:r>
    </w:p>
    <w:p w:rsidR="00C512B5" w:rsidRPr="004C2810" w:rsidRDefault="00C512B5" w:rsidP="00A87269">
      <w:pPr>
        <w:numPr>
          <w:ilvl w:val="0"/>
          <w:numId w:val="56"/>
        </w:numPr>
        <w:ind w:left="709" w:hanging="283"/>
        <w:contextualSpacing/>
        <w:rPr>
          <w:rFonts w:cs="Arial"/>
          <w:szCs w:val="24"/>
          <w:lang w:eastAsia="pt-BR"/>
        </w:rPr>
      </w:pPr>
      <w:r w:rsidRPr="004C2810">
        <w:rPr>
          <w:rFonts w:cs="Arial"/>
          <w:szCs w:val="24"/>
          <w:lang w:eastAsia="pt-BR"/>
        </w:rPr>
        <w:t>Considera um maior número de variáveis, tornando a cobrança mais justa e observando os princípios do poluidor-pagador, da isonomia e da capacidade contributiva.</w:t>
      </w:r>
    </w:p>
    <w:p w:rsidR="00C512B5" w:rsidRPr="004C2810" w:rsidRDefault="00C512B5" w:rsidP="00A87269">
      <w:pPr>
        <w:numPr>
          <w:ilvl w:val="0"/>
          <w:numId w:val="56"/>
        </w:numPr>
        <w:ind w:left="709" w:hanging="283"/>
        <w:contextualSpacing/>
        <w:rPr>
          <w:rFonts w:cs="Arial"/>
          <w:szCs w:val="24"/>
          <w:lang w:eastAsia="pt-BR"/>
        </w:rPr>
      </w:pPr>
      <w:r w:rsidRPr="004C2810">
        <w:rPr>
          <w:rFonts w:cs="Arial"/>
          <w:szCs w:val="24"/>
          <w:lang w:eastAsia="pt-BR"/>
        </w:rPr>
        <w:t>Permite que a cobrança seja proporcional ao uso que cada economia faz do serviço, ao gerar mais ou menos volume de resíduos.</w:t>
      </w:r>
    </w:p>
    <w:p w:rsidR="00C512B5" w:rsidRPr="004C2810" w:rsidRDefault="00C512B5" w:rsidP="00A87269">
      <w:pPr>
        <w:numPr>
          <w:ilvl w:val="0"/>
          <w:numId w:val="56"/>
        </w:numPr>
        <w:ind w:left="709" w:hanging="283"/>
        <w:contextualSpacing/>
        <w:rPr>
          <w:rFonts w:cs="Arial"/>
          <w:szCs w:val="24"/>
          <w:lang w:eastAsia="pt-BR"/>
        </w:rPr>
      </w:pPr>
      <w:r w:rsidRPr="004C2810">
        <w:rPr>
          <w:rFonts w:cs="Arial"/>
          <w:szCs w:val="24"/>
          <w:lang w:eastAsia="pt-BR"/>
        </w:rPr>
        <w:t>Permite atenuar as distorções causadas quando, por exemplo, uma residência de padrão elevado está situada em uma zona residencial popular, ao considerar, além da localização, o porte dos imóveis.</w:t>
      </w:r>
    </w:p>
    <w:p w:rsidR="00C512B5" w:rsidRPr="004C2810" w:rsidRDefault="00C512B5" w:rsidP="00A87269">
      <w:pPr>
        <w:numPr>
          <w:ilvl w:val="0"/>
          <w:numId w:val="56"/>
        </w:numPr>
        <w:ind w:left="709" w:hanging="283"/>
        <w:contextualSpacing/>
        <w:rPr>
          <w:rFonts w:cs="Arial"/>
          <w:szCs w:val="24"/>
          <w:lang w:eastAsia="pt-BR"/>
        </w:rPr>
      </w:pPr>
      <w:r w:rsidRPr="004C2810">
        <w:rPr>
          <w:rFonts w:cs="Arial"/>
          <w:szCs w:val="24"/>
          <w:lang w:eastAsia="pt-BR"/>
        </w:rPr>
        <w:t>Estimula o uso racional da água, uma vez que o volume de água consumido é parte da base de cálculo do tributo.</w:t>
      </w:r>
    </w:p>
    <w:p w:rsidR="00193B74" w:rsidRPr="004C2810" w:rsidRDefault="00193B74" w:rsidP="002828C8">
      <w:pPr>
        <w:pStyle w:val="Ttulo4"/>
      </w:pPr>
      <w:bookmarkStart w:id="320" w:name="_Toc374612658"/>
      <w:bookmarkStart w:id="321" w:name="_Toc447896762"/>
      <w:bookmarkStart w:id="322" w:name="_Toc497469029"/>
      <w:r w:rsidRPr="004C2810">
        <w:t xml:space="preserve">Formas de cobrança da </w:t>
      </w:r>
      <w:bookmarkEnd w:id="320"/>
      <w:r w:rsidRPr="004C2810">
        <w:t>taxa de coleta de lixo</w:t>
      </w:r>
      <w:bookmarkEnd w:id="321"/>
      <w:bookmarkEnd w:id="322"/>
    </w:p>
    <w:p w:rsidR="00193B74" w:rsidRPr="004C2810" w:rsidRDefault="00193B74" w:rsidP="00193B74">
      <w:pPr>
        <w:ind w:firstLine="709"/>
        <w:rPr>
          <w:rFonts w:cs="Arial"/>
        </w:rPr>
      </w:pPr>
      <w:r w:rsidRPr="004C2810">
        <w:rPr>
          <w:rFonts w:cs="Arial"/>
        </w:rPr>
        <w:t>A forma de cobrança pelos serviços de limpeza urbana e manejo de resíduos sólidos a ser adotada pelo município deverá ser escolhida com base no que melhor se adequar às especificidades locais e deverá ser estabelecida por legislação municipal.</w:t>
      </w:r>
    </w:p>
    <w:p w:rsidR="00193B74" w:rsidRPr="004C2810" w:rsidRDefault="00193B74" w:rsidP="00193B74">
      <w:pPr>
        <w:ind w:firstLine="709"/>
        <w:rPr>
          <w:rFonts w:cs="Arial"/>
        </w:rPr>
      </w:pPr>
      <w:r w:rsidRPr="004C2810">
        <w:rPr>
          <w:rFonts w:cs="Arial"/>
        </w:rPr>
        <w:t>Usualmente, cobra-se a taxa de coleta de lixo anualmente junto ao Imposto Predial Territorial Urbano (IPTU). Entretanto, foram observados alguns problemas relacionados a essa forma de cobrança. Verifica-se que há um alto nível de inadimplência no pagamento desse tributo, o que afeta diretamente o recebimento das receitas referentes aos serviços de limpeza urbana e manejo de resíduos sólidos. Além disso, o fato de se tratar de uma entrada de recursos anual</w:t>
      </w:r>
      <w:r w:rsidR="0027083E" w:rsidRPr="004C2810">
        <w:rPr>
          <w:rFonts w:cs="Arial"/>
        </w:rPr>
        <w:t>,</w:t>
      </w:r>
      <w:r w:rsidRPr="004C2810">
        <w:rPr>
          <w:rFonts w:cs="Arial"/>
        </w:rPr>
        <w:t xml:space="preserve"> em contrapartida ao repasse mensal às empresas executoras dos serviços, gera um cenário de </w:t>
      </w:r>
      <w:r w:rsidRPr="004C2810">
        <w:rPr>
          <w:rFonts w:cs="Arial"/>
          <w:i/>
        </w:rPr>
        <w:t>déficit</w:t>
      </w:r>
      <w:r w:rsidRPr="004C2810">
        <w:rPr>
          <w:rFonts w:cs="Arial"/>
        </w:rPr>
        <w:t xml:space="preserve"> acumulado.</w:t>
      </w:r>
    </w:p>
    <w:p w:rsidR="00193B74" w:rsidRPr="004C2810" w:rsidRDefault="00193B74" w:rsidP="00193B74">
      <w:pPr>
        <w:ind w:firstLine="709"/>
        <w:rPr>
          <w:rFonts w:cs="Arial"/>
        </w:rPr>
      </w:pPr>
      <w:r w:rsidRPr="004C2810">
        <w:rPr>
          <w:rFonts w:cs="Arial"/>
        </w:rPr>
        <w:t xml:space="preserve">Visando evitar esses problemas, uma forma alternativa de cobrança da taxa de coleta de lixo seria a cobrança mensal, junto à taxa/tarifa de água. É possível realizar uma parceria entre a Prefeitura Municipal e a empresa que tem a concessão dos </w:t>
      </w:r>
      <w:r w:rsidRPr="004C2810">
        <w:rPr>
          <w:rFonts w:cs="Arial"/>
        </w:rPr>
        <w:lastRenderedPageBreak/>
        <w:t xml:space="preserve">serviços de água e esgoto (tarifa) ou o SAAE (taxa), na qual a Prefeitura faria uso do sistema já consolidado da empresa e esta receberia um determinado valor por economia cobrada, reduzindo seu custo de faturamento/cobrança. </w:t>
      </w:r>
    </w:p>
    <w:p w:rsidR="00C57ADC" w:rsidRPr="004C2810" w:rsidRDefault="00C57ADC" w:rsidP="002828C8">
      <w:pPr>
        <w:pStyle w:val="Ttulo3"/>
      </w:pPr>
      <w:bookmarkStart w:id="323" w:name="_Toc497469030"/>
      <w:r w:rsidRPr="004C2810">
        <w:t>Identificação de áreas favoráveis à disposição final ambientalmente adequada de rejeitos</w:t>
      </w:r>
      <w:bookmarkEnd w:id="323"/>
    </w:p>
    <w:p w:rsidR="00193B74" w:rsidRPr="004C2810" w:rsidRDefault="00193B74" w:rsidP="00193B74">
      <w:pPr>
        <w:ind w:firstLine="709"/>
        <w:rPr>
          <w:rFonts w:cs="Arial"/>
          <w:szCs w:val="24"/>
          <w:shd w:val="clear" w:color="auto" w:fill="FFFFFF"/>
        </w:rPr>
      </w:pPr>
      <w:r w:rsidRPr="004C2810">
        <w:rPr>
          <w:rFonts w:cs="Arial"/>
          <w:szCs w:val="24"/>
          <w:shd w:val="clear" w:color="auto" w:fill="FFFFFF"/>
        </w:rPr>
        <w:t xml:space="preserve">A gestão e a disposição inadequada dos resíduos sólidos causam impactos socioambientais, tais como degradação do solo, comprometimento dos corpos d'água e mananciais, intensificação de enchentes, contribuição para a poluição do ar e proliferação de vetores de importância sanitária nos centros urbanos e de condições insalubres nas ruas e nas áreas de disposição final (BESEN </w:t>
      </w:r>
      <w:r w:rsidRPr="004C2810">
        <w:rPr>
          <w:rFonts w:cs="Arial"/>
          <w:i/>
          <w:szCs w:val="24"/>
          <w:shd w:val="clear" w:color="auto" w:fill="FFFFFF"/>
        </w:rPr>
        <w:t>et al</w:t>
      </w:r>
      <w:r w:rsidRPr="004C2810">
        <w:rPr>
          <w:rFonts w:cs="Arial"/>
          <w:szCs w:val="24"/>
          <w:shd w:val="clear" w:color="auto" w:fill="FFFFFF"/>
        </w:rPr>
        <w:t>., 2010).</w:t>
      </w:r>
    </w:p>
    <w:p w:rsidR="00193B74" w:rsidRPr="004C2810" w:rsidRDefault="00193B74" w:rsidP="00193B74">
      <w:pPr>
        <w:ind w:firstLine="709"/>
        <w:rPr>
          <w:rFonts w:cs="Arial"/>
          <w:szCs w:val="24"/>
          <w:shd w:val="clear" w:color="auto" w:fill="FFFFFF"/>
        </w:rPr>
      </w:pPr>
      <w:r w:rsidRPr="004C2810">
        <w:rPr>
          <w:rFonts w:cs="Arial"/>
          <w:szCs w:val="24"/>
          <w:shd w:val="clear" w:color="auto" w:fill="FFFFFF"/>
        </w:rPr>
        <w:t xml:space="preserve">O crescimento populacional e as transformações no desenvolvimento da cidade acarretam diretamente mudanças qualitativas e quantitativas na geração </w:t>
      </w:r>
      <w:r w:rsidRPr="004C2810">
        <w:rPr>
          <w:rFonts w:cs="Arial"/>
          <w:i/>
          <w:szCs w:val="24"/>
          <w:shd w:val="clear" w:color="auto" w:fill="FFFFFF"/>
        </w:rPr>
        <w:t>per capita</w:t>
      </w:r>
      <w:r w:rsidRPr="004C2810">
        <w:rPr>
          <w:rFonts w:cs="Arial"/>
          <w:szCs w:val="24"/>
          <w:shd w:val="clear" w:color="auto" w:fill="FFFFFF"/>
        </w:rPr>
        <w:t xml:space="preserve"> dos resíduos. Tal situação implica necessariamente em atualizações do gerenciamento dos resíduos sólidos, podendo apresentar variações nos custos, nas estratégias de gestão e nas possibilidades de áreas propícias e adequadas para a disposição final. </w:t>
      </w:r>
    </w:p>
    <w:p w:rsidR="00193B74" w:rsidRPr="004C2810" w:rsidRDefault="00193B74" w:rsidP="00193B74">
      <w:pPr>
        <w:ind w:firstLine="709"/>
        <w:rPr>
          <w:rFonts w:cs="Arial"/>
          <w:szCs w:val="24"/>
          <w:shd w:val="clear" w:color="auto" w:fill="FFFFFF"/>
        </w:rPr>
      </w:pPr>
      <w:r w:rsidRPr="004C2810">
        <w:rPr>
          <w:rFonts w:cs="Arial"/>
          <w:szCs w:val="24"/>
          <w:shd w:val="clear" w:color="auto" w:fill="FFFFFF"/>
        </w:rPr>
        <w:t xml:space="preserve">Para o disciplinamento da indicação de áreas passíveis de receberem um aterro sanitário em </w:t>
      </w:r>
      <w:r w:rsidR="007A2B6D" w:rsidRPr="004C2810">
        <w:rPr>
          <w:rFonts w:cs="Arial"/>
          <w:szCs w:val="24"/>
          <w:shd w:val="clear" w:color="auto" w:fill="FFFFFF"/>
        </w:rPr>
        <w:t>Córrego Novo</w:t>
      </w:r>
      <w:r w:rsidRPr="004C2810">
        <w:rPr>
          <w:rFonts w:cs="Arial"/>
          <w:szCs w:val="24"/>
          <w:shd w:val="clear" w:color="auto" w:fill="FFFFFF"/>
        </w:rPr>
        <w:t xml:space="preserve"> foram consultadas as seguintes fontes:</w:t>
      </w:r>
    </w:p>
    <w:p w:rsidR="00193B74" w:rsidRPr="004C2810" w:rsidRDefault="00193B74" w:rsidP="00A87269">
      <w:pPr>
        <w:pStyle w:val="PargrafodaLista"/>
        <w:numPr>
          <w:ilvl w:val="0"/>
          <w:numId w:val="36"/>
        </w:numPr>
        <w:spacing w:before="120" w:after="120"/>
        <w:ind w:hanging="357"/>
        <w:rPr>
          <w:szCs w:val="24"/>
          <w:shd w:val="clear" w:color="auto" w:fill="FFFFFF"/>
        </w:rPr>
      </w:pPr>
      <w:r w:rsidRPr="004C2810">
        <w:rPr>
          <w:szCs w:val="24"/>
          <w:shd w:val="clear" w:color="auto" w:fill="FFFFFF"/>
        </w:rPr>
        <w:t>Manual de Gerenciamento Integrado de Resíduos Sólidos da Secretaria Especial de Desenvolvimento Urbano da Presidência da República (SEDU).</w:t>
      </w:r>
    </w:p>
    <w:p w:rsidR="00193B74" w:rsidRPr="004C2810" w:rsidRDefault="00193B74" w:rsidP="00A87269">
      <w:pPr>
        <w:pStyle w:val="PargrafodaLista"/>
        <w:numPr>
          <w:ilvl w:val="0"/>
          <w:numId w:val="36"/>
        </w:numPr>
        <w:spacing w:before="120" w:after="120"/>
        <w:ind w:hanging="357"/>
        <w:rPr>
          <w:szCs w:val="24"/>
          <w:shd w:val="clear" w:color="auto" w:fill="FFFFFF"/>
        </w:rPr>
      </w:pPr>
      <w:r w:rsidRPr="004C2810">
        <w:rPr>
          <w:szCs w:val="24"/>
          <w:shd w:val="clear" w:color="auto" w:fill="FFFFFF"/>
        </w:rPr>
        <w:t xml:space="preserve">Normas da Associação Brasileira de Normas Técnicas: </w:t>
      </w:r>
    </w:p>
    <w:p w:rsidR="00193B74" w:rsidRPr="004C2810" w:rsidRDefault="00193B74" w:rsidP="00A87269">
      <w:pPr>
        <w:pStyle w:val="PargrafodaLista"/>
        <w:numPr>
          <w:ilvl w:val="1"/>
          <w:numId w:val="36"/>
        </w:numPr>
        <w:spacing w:before="120" w:after="120"/>
        <w:rPr>
          <w:szCs w:val="24"/>
          <w:shd w:val="clear" w:color="auto" w:fill="FFFFFF"/>
        </w:rPr>
      </w:pPr>
      <w:r w:rsidRPr="004C2810">
        <w:t>NBR 10157/87 - Aterros de resíduos perigosos - critérios para projeto, construção e operação – procedimento.</w:t>
      </w:r>
    </w:p>
    <w:p w:rsidR="00193B74" w:rsidRPr="004C2810" w:rsidRDefault="00193B74" w:rsidP="00A87269">
      <w:pPr>
        <w:pStyle w:val="PargrafodaLista"/>
        <w:numPr>
          <w:ilvl w:val="1"/>
          <w:numId w:val="36"/>
        </w:numPr>
        <w:spacing w:before="120" w:after="120"/>
        <w:rPr>
          <w:szCs w:val="24"/>
          <w:shd w:val="clear" w:color="auto" w:fill="FFFFFF"/>
        </w:rPr>
      </w:pPr>
      <w:r w:rsidRPr="004C2810">
        <w:t>NBR 13896/97 - Aterros de resíduos não perigosos - Critérios para projeto, implantação e operação – procedimento.</w:t>
      </w:r>
    </w:p>
    <w:p w:rsidR="00193B74" w:rsidRPr="004C2810" w:rsidRDefault="00193B74" w:rsidP="00A87269">
      <w:pPr>
        <w:pStyle w:val="PargrafodaLista"/>
        <w:numPr>
          <w:ilvl w:val="1"/>
          <w:numId w:val="36"/>
        </w:numPr>
        <w:spacing w:before="120" w:after="120"/>
        <w:rPr>
          <w:szCs w:val="24"/>
          <w:shd w:val="clear" w:color="auto" w:fill="FFFFFF"/>
        </w:rPr>
      </w:pPr>
      <w:r w:rsidRPr="004C2810">
        <w:t>NBR 15849/10 - Resíduos sólidos urbanos – Aterros sanitários de pequeno porte – Diretrizes para localização, projeto, implantação, operação e encerramento.</w:t>
      </w:r>
    </w:p>
    <w:p w:rsidR="00193B74" w:rsidRPr="004C2810" w:rsidRDefault="00193B74" w:rsidP="00A87269">
      <w:pPr>
        <w:pStyle w:val="PargrafodaLista"/>
        <w:numPr>
          <w:ilvl w:val="0"/>
          <w:numId w:val="36"/>
        </w:numPr>
        <w:spacing w:before="120" w:after="120"/>
        <w:ind w:hanging="357"/>
        <w:rPr>
          <w:szCs w:val="24"/>
        </w:rPr>
      </w:pPr>
      <w:r w:rsidRPr="004C2810">
        <w:rPr>
          <w:szCs w:val="24"/>
        </w:rPr>
        <w:t>Lei Federal nº 12.305/10 e Decreto nº 7.404/10.</w:t>
      </w:r>
    </w:p>
    <w:p w:rsidR="00193B74" w:rsidRPr="004C2810" w:rsidRDefault="00193B74" w:rsidP="00A87269">
      <w:pPr>
        <w:pStyle w:val="PargrafodaLista"/>
        <w:numPr>
          <w:ilvl w:val="0"/>
          <w:numId w:val="36"/>
        </w:numPr>
        <w:spacing w:before="120" w:after="120"/>
        <w:ind w:hanging="357"/>
        <w:rPr>
          <w:szCs w:val="24"/>
          <w:shd w:val="clear" w:color="auto" w:fill="FFFFFF"/>
        </w:rPr>
      </w:pPr>
      <w:r w:rsidRPr="004C2810">
        <w:rPr>
          <w:szCs w:val="24"/>
          <w:shd w:val="clear" w:color="auto" w:fill="FFFFFF"/>
        </w:rPr>
        <w:t>Estudo de alternativas locacionais para Aterros Sanitários, (JARDIM, 1995).</w:t>
      </w:r>
    </w:p>
    <w:p w:rsidR="00193B74" w:rsidRPr="004C2810" w:rsidRDefault="00193B74" w:rsidP="00A87269">
      <w:pPr>
        <w:pStyle w:val="PargrafodaLista"/>
        <w:numPr>
          <w:ilvl w:val="0"/>
          <w:numId w:val="36"/>
        </w:numPr>
        <w:spacing w:before="120" w:after="120"/>
        <w:ind w:hanging="357"/>
        <w:rPr>
          <w:szCs w:val="24"/>
        </w:rPr>
      </w:pPr>
      <w:r w:rsidRPr="004C2810">
        <w:rPr>
          <w:szCs w:val="24"/>
        </w:rPr>
        <w:lastRenderedPageBreak/>
        <w:t>Manual de Gerenciamento Integrado de Resíduos Sólidos (IBAM-SEDU).</w:t>
      </w:r>
    </w:p>
    <w:p w:rsidR="00193B74" w:rsidRPr="004C2810" w:rsidRDefault="00193B74" w:rsidP="00A87269">
      <w:pPr>
        <w:pStyle w:val="PargrafodaLista"/>
        <w:numPr>
          <w:ilvl w:val="0"/>
          <w:numId w:val="36"/>
        </w:numPr>
        <w:spacing w:before="120" w:after="120"/>
        <w:ind w:hanging="357"/>
        <w:rPr>
          <w:szCs w:val="24"/>
        </w:rPr>
      </w:pPr>
      <w:r w:rsidRPr="004C2810">
        <w:rPr>
          <w:szCs w:val="24"/>
        </w:rPr>
        <w:t>Documento de orientação de Limpeza Pública – MINTER/CNDU/CETESB.</w:t>
      </w:r>
    </w:p>
    <w:p w:rsidR="00193B74" w:rsidRPr="004C2810" w:rsidRDefault="00193B74" w:rsidP="00A87269">
      <w:pPr>
        <w:pStyle w:val="PargrafodaLista"/>
        <w:numPr>
          <w:ilvl w:val="0"/>
          <w:numId w:val="36"/>
        </w:numPr>
        <w:spacing w:before="120" w:after="120"/>
        <w:ind w:hanging="357"/>
        <w:rPr>
          <w:szCs w:val="24"/>
        </w:rPr>
      </w:pPr>
      <w:r w:rsidRPr="004C2810">
        <w:rPr>
          <w:szCs w:val="24"/>
        </w:rPr>
        <w:t>Lei Federal nº 9.985/2.000, que institui o Sistema Nacional de Unidades de Conservação da Natureza.</w:t>
      </w:r>
    </w:p>
    <w:p w:rsidR="00193B74" w:rsidRPr="004C2810" w:rsidRDefault="00193B74" w:rsidP="00A87269">
      <w:pPr>
        <w:pStyle w:val="PargrafodaLista"/>
        <w:numPr>
          <w:ilvl w:val="0"/>
          <w:numId w:val="36"/>
        </w:numPr>
        <w:spacing w:before="120" w:after="120"/>
        <w:rPr>
          <w:szCs w:val="24"/>
        </w:rPr>
      </w:pPr>
      <w:r w:rsidRPr="004C2810">
        <w:t>Resolução n° 428, de 17 de dezembro de 2010, que dispõe, no âmbito do licenciamento ambiental, sobre a autorização do órgão responsável pela administração da Unidade de Conservação (UC), de que trata o § 3º do artigo 36 da Lei nº 9.985 de 18 de julho de 2000, bem como sobre a ciência do órgão responsável pela administração da UC no caso de licenciamento ambiental de empreendimentos não sujeitos a EIA-RIMA e dá outras providências.</w:t>
      </w:r>
    </w:p>
    <w:p w:rsidR="00193B74" w:rsidRPr="004C2810" w:rsidRDefault="00193B74" w:rsidP="00193B74">
      <w:pPr>
        <w:ind w:firstLine="709"/>
        <w:rPr>
          <w:rFonts w:cs="Arial"/>
          <w:szCs w:val="24"/>
        </w:rPr>
      </w:pPr>
      <w:r w:rsidRPr="004C2810">
        <w:rPr>
          <w:rFonts w:cs="Arial"/>
          <w:szCs w:val="24"/>
        </w:rPr>
        <w:t xml:space="preserve">Foram considerados alguns critérios técnicos, econômico-financeiros e político-sociais das fontes consultadas, para a consideração de áreas a serem usadas como aterro de rejeitos. Tais critérios são: </w:t>
      </w:r>
    </w:p>
    <w:p w:rsidR="00193B74" w:rsidRPr="004C2810" w:rsidRDefault="00193B74" w:rsidP="00A87269">
      <w:pPr>
        <w:pStyle w:val="PargrafodaLista"/>
        <w:numPr>
          <w:ilvl w:val="0"/>
          <w:numId w:val="36"/>
        </w:numPr>
        <w:spacing w:before="120" w:after="120"/>
        <w:ind w:hanging="357"/>
        <w:rPr>
          <w:szCs w:val="24"/>
          <w:shd w:val="clear" w:color="auto" w:fill="FFFFFF"/>
        </w:rPr>
      </w:pPr>
      <w:r w:rsidRPr="004C2810">
        <w:rPr>
          <w:szCs w:val="24"/>
          <w:shd w:val="clear" w:color="auto" w:fill="FFFFFF"/>
        </w:rPr>
        <w:t>Os aterros devem respeitar distâncias da ordem de 500 metros de núcleos habitacionais e 200 metros de qualquer coleção hídrica (</w:t>
      </w:r>
      <w:r w:rsidRPr="004C2810">
        <w:t>NBR 13896/97e NBR 15849/10</w:t>
      </w:r>
      <w:r w:rsidRPr="004C2810">
        <w:rPr>
          <w:szCs w:val="24"/>
          <w:shd w:val="clear" w:color="auto" w:fill="FFFFFF"/>
        </w:rPr>
        <w:t>).</w:t>
      </w:r>
    </w:p>
    <w:p w:rsidR="00193B74" w:rsidRPr="004C2810" w:rsidRDefault="00193B74" w:rsidP="00A87269">
      <w:pPr>
        <w:pStyle w:val="PargrafodaLista"/>
        <w:numPr>
          <w:ilvl w:val="0"/>
          <w:numId w:val="36"/>
        </w:numPr>
        <w:spacing w:before="120" w:after="120"/>
        <w:ind w:hanging="357"/>
        <w:rPr>
          <w:szCs w:val="24"/>
          <w:shd w:val="clear" w:color="auto" w:fill="FFFFFF"/>
        </w:rPr>
      </w:pPr>
      <w:r w:rsidRPr="004C2810">
        <w:rPr>
          <w:szCs w:val="24"/>
          <w:shd w:val="clear" w:color="auto" w:fill="FFFFFF"/>
        </w:rPr>
        <w:t>Deverá ser considerada uma área que propicie uma vida útil mínima de 20 anos ao aterro (IBAM - SEDU, 2001).</w:t>
      </w:r>
    </w:p>
    <w:p w:rsidR="00193B74" w:rsidRPr="004C2810" w:rsidRDefault="00193B74" w:rsidP="00A87269">
      <w:pPr>
        <w:pStyle w:val="PargrafodaLista"/>
        <w:numPr>
          <w:ilvl w:val="0"/>
          <w:numId w:val="36"/>
        </w:numPr>
        <w:spacing w:before="120" w:after="120"/>
        <w:ind w:hanging="357"/>
        <w:rPr>
          <w:szCs w:val="24"/>
          <w:shd w:val="clear" w:color="auto" w:fill="FFFFFF"/>
        </w:rPr>
      </w:pPr>
      <w:r w:rsidRPr="004C2810">
        <w:rPr>
          <w:szCs w:val="24"/>
          <w:shd w:val="clear" w:color="auto" w:fill="FFFFFF"/>
        </w:rPr>
        <w:t>Os aterros sanitários devem ser idealmente localizados em áreas isoladas, de baixo valor comercial e de baixo potencial de contaminação do aquífero.</w:t>
      </w:r>
    </w:p>
    <w:p w:rsidR="00193B74" w:rsidRPr="004C2810" w:rsidRDefault="00193B74" w:rsidP="00A87269">
      <w:pPr>
        <w:pStyle w:val="PargrafodaLista"/>
        <w:numPr>
          <w:ilvl w:val="0"/>
          <w:numId w:val="36"/>
        </w:numPr>
        <w:spacing w:before="120" w:after="120"/>
        <w:rPr>
          <w:szCs w:val="24"/>
          <w:shd w:val="clear" w:color="auto" w:fill="FFFFFF"/>
        </w:rPr>
      </w:pPr>
      <w:r w:rsidRPr="004C2810">
        <w:rPr>
          <w:szCs w:val="24"/>
          <w:shd w:val="clear" w:color="auto" w:fill="FFFFFF"/>
        </w:rPr>
        <w:t>A área deve estar localizada em terreno com solo de baixa permeabilidade e com declividade média inferior a 30% e deverão ser evitadas várzeas sujeitas à inundação (</w:t>
      </w:r>
      <w:r w:rsidRPr="004C2810">
        <w:t>NBR 13896/97 e NBR 15849/10).</w:t>
      </w:r>
    </w:p>
    <w:p w:rsidR="00193B74" w:rsidRPr="004C2810" w:rsidRDefault="00193B74" w:rsidP="00A87269">
      <w:pPr>
        <w:pStyle w:val="PargrafodaLista"/>
        <w:numPr>
          <w:ilvl w:val="0"/>
          <w:numId w:val="36"/>
        </w:numPr>
        <w:spacing w:before="120" w:after="120"/>
        <w:rPr>
          <w:szCs w:val="24"/>
          <w:shd w:val="clear" w:color="auto" w:fill="FFFFFF"/>
        </w:rPr>
      </w:pPr>
      <w:r w:rsidRPr="004C2810">
        <w:rPr>
          <w:szCs w:val="24"/>
          <w:shd w:val="clear" w:color="auto" w:fill="FFFFFF"/>
        </w:rPr>
        <w:t>A localização da área não poderá ocorrer, em nenhuma hipótese, em áreas erodidas, em especial em voçorocas, em áreas cársticas ou em Áreas de Preservação Permanente – APP (CONAMA Nº404, NBR15849/97</w:t>
      </w:r>
      <w:r w:rsidRPr="004C2810">
        <w:t>)</w:t>
      </w:r>
      <w:r w:rsidRPr="004C2810">
        <w:rPr>
          <w:szCs w:val="24"/>
          <w:shd w:val="clear" w:color="auto" w:fill="FFFFFF"/>
        </w:rPr>
        <w:t>.</w:t>
      </w:r>
    </w:p>
    <w:p w:rsidR="00193B74" w:rsidRPr="004C2810" w:rsidRDefault="00193B74" w:rsidP="00A87269">
      <w:pPr>
        <w:pStyle w:val="PargrafodaLista"/>
        <w:numPr>
          <w:ilvl w:val="0"/>
          <w:numId w:val="36"/>
        </w:numPr>
        <w:spacing w:before="120" w:after="120"/>
        <w:ind w:hanging="357"/>
        <w:rPr>
          <w:szCs w:val="24"/>
          <w:shd w:val="clear" w:color="auto" w:fill="FFFFFF"/>
        </w:rPr>
      </w:pPr>
      <w:r w:rsidRPr="004C2810">
        <w:lastRenderedPageBreak/>
        <w:t xml:space="preserve">É desejável que o percurso de ida (ou de volta) que os veículos de coleta fazem até o aterro, através das ruas e estradas existentes, seja o menor possível, com vistas a reduzir o seu desgaste e o custo de transporte do lixo </w:t>
      </w:r>
      <w:r w:rsidRPr="004C2810">
        <w:rPr>
          <w:szCs w:val="24"/>
          <w:shd w:val="clear" w:color="auto" w:fill="FFFFFF"/>
        </w:rPr>
        <w:t>(IBAM - SEDU, 2001).</w:t>
      </w:r>
    </w:p>
    <w:p w:rsidR="00193B74" w:rsidRPr="004C2810" w:rsidRDefault="00193B74" w:rsidP="00A87269">
      <w:pPr>
        <w:pStyle w:val="PargrafodaLista"/>
        <w:numPr>
          <w:ilvl w:val="0"/>
          <w:numId w:val="36"/>
        </w:numPr>
        <w:spacing w:before="120" w:after="120"/>
        <w:ind w:hanging="357"/>
        <w:rPr>
          <w:szCs w:val="24"/>
          <w:shd w:val="clear" w:color="auto" w:fill="FFFFFF"/>
        </w:rPr>
      </w:pPr>
      <w:r w:rsidRPr="004C2810">
        <w:rPr>
          <w:szCs w:val="24"/>
          <w:shd w:val="clear" w:color="auto" w:fill="FFFFFF"/>
        </w:rPr>
        <w:t>Os aterros devem ser localizados em áreas e regiões de fácil acesso e abundante disponibilidade de material de cobertura.</w:t>
      </w:r>
    </w:p>
    <w:p w:rsidR="00193B74" w:rsidRPr="004C2810" w:rsidRDefault="00193B74" w:rsidP="00A87269">
      <w:pPr>
        <w:pStyle w:val="PargrafodaLista"/>
        <w:numPr>
          <w:ilvl w:val="0"/>
          <w:numId w:val="36"/>
        </w:numPr>
        <w:spacing w:before="120" w:after="120"/>
        <w:ind w:hanging="357"/>
        <w:rPr>
          <w:szCs w:val="24"/>
          <w:shd w:val="clear" w:color="auto" w:fill="FFFFFF"/>
        </w:rPr>
      </w:pPr>
      <w:r w:rsidRPr="004C2810">
        <w:rPr>
          <w:szCs w:val="24"/>
          <w:shd w:val="clear" w:color="auto" w:fill="FFFFFF"/>
        </w:rPr>
        <w:t>Sempre que possível, as áreas devem estar situadas em terrenos de alto conteúdo de argila, em face da baixa permeabilidade e da elevada capacidade de adsorção de tais solos.</w:t>
      </w:r>
    </w:p>
    <w:p w:rsidR="00193B74" w:rsidRPr="004C2810" w:rsidRDefault="00193B74" w:rsidP="00A87269">
      <w:pPr>
        <w:pStyle w:val="PargrafodaLista"/>
        <w:numPr>
          <w:ilvl w:val="0"/>
          <w:numId w:val="36"/>
        </w:numPr>
        <w:spacing w:before="120" w:after="120"/>
        <w:ind w:hanging="357"/>
        <w:rPr>
          <w:szCs w:val="24"/>
          <w:shd w:val="clear" w:color="auto" w:fill="FFFFFF"/>
        </w:rPr>
      </w:pPr>
      <w:r w:rsidRPr="004C2810">
        <w:rPr>
          <w:szCs w:val="24"/>
          <w:shd w:val="clear" w:color="auto" w:fill="FFFFFF"/>
        </w:rPr>
        <w:t>E ainda, os aterros deverão ser construídos fora de áreas de interesse ambiental.</w:t>
      </w:r>
    </w:p>
    <w:p w:rsidR="00193B74" w:rsidRPr="004C2810" w:rsidRDefault="00193B74" w:rsidP="00A87269">
      <w:pPr>
        <w:pStyle w:val="PargrafodaLista"/>
        <w:numPr>
          <w:ilvl w:val="0"/>
          <w:numId w:val="36"/>
        </w:numPr>
        <w:spacing w:before="120" w:after="120"/>
        <w:ind w:hanging="357"/>
        <w:rPr>
          <w:szCs w:val="24"/>
          <w:shd w:val="clear" w:color="auto" w:fill="FFFFFF"/>
        </w:rPr>
      </w:pPr>
      <w:r w:rsidRPr="004C2810">
        <w:rPr>
          <w:szCs w:val="24"/>
          <w:shd w:val="clear" w:color="auto" w:fill="FFFFFF"/>
        </w:rPr>
        <w:t>Não deve</w:t>
      </w:r>
      <w:r w:rsidR="00A72232" w:rsidRPr="004C2810">
        <w:rPr>
          <w:szCs w:val="24"/>
          <w:shd w:val="clear" w:color="auto" w:fill="FFFFFF"/>
        </w:rPr>
        <w:t>m</w:t>
      </w:r>
      <w:r w:rsidRPr="004C2810">
        <w:rPr>
          <w:szCs w:val="24"/>
          <w:shd w:val="clear" w:color="auto" w:fill="FFFFFF"/>
        </w:rPr>
        <w:t xml:space="preserve"> se</w:t>
      </w:r>
      <w:r w:rsidR="00A72232" w:rsidRPr="004C2810">
        <w:rPr>
          <w:szCs w:val="24"/>
          <w:shd w:val="clear" w:color="auto" w:fill="FFFFFF"/>
        </w:rPr>
        <w:t>r</w:t>
      </w:r>
      <w:r w:rsidRPr="004C2810">
        <w:rPr>
          <w:szCs w:val="24"/>
          <w:shd w:val="clear" w:color="auto" w:fill="FFFFFF"/>
        </w:rPr>
        <w:t xml:space="preserve"> escolhida</w:t>
      </w:r>
      <w:r w:rsidR="00A72232" w:rsidRPr="004C2810">
        <w:rPr>
          <w:szCs w:val="24"/>
          <w:shd w:val="clear" w:color="auto" w:fill="FFFFFF"/>
        </w:rPr>
        <w:t>s</w:t>
      </w:r>
      <w:r w:rsidRPr="004C2810">
        <w:rPr>
          <w:szCs w:val="24"/>
          <w:shd w:val="clear" w:color="auto" w:fill="FFFFFF"/>
        </w:rPr>
        <w:t xml:space="preserve"> áreas que tenham recorrência de inundação, </w:t>
      </w:r>
      <w:r w:rsidRPr="004C2810">
        <w:t>em períodos de recorrência de 100 anos</w:t>
      </w:r>
      <w:r w:rsidRPr="004C2810">
        <w:rPr>
          <w:szCs w:val="24"/>
          <w:shd w:val="clear" w:color="auto" w:fill="FFFFFF"/>
        </w:rPr>
        <w:t xml:space="preserve"> (</w:t>
      </w:r>
      <w:r w:rsidRPr="004C2810">
        <w:t>NBR 13896/97 e NBR 15849/10)</w:t>
      </w:r>
      <w:r w:rsidRPr="004C2810">
        <w:rPr>
          <w:szCs w:val="24"/>
          <w:shd w:val="clear" w:color="auto" w:fill="FFFFFF"/>
        </w:rPr>
        <w:t>.</w:t>
      </w:r>
    </w:p>
    <w:p w:rsidR="00193B74" w:rsidRPr="004C2810" w:rsidRDefault="00193B74" w:rsidP="00193B74">
      <w:pPr>
        <w:ind w:firstLine="708"/>
        <w:rPr>
          <w:rFonts w:cs="Arial"/>
          <w:szCs w:val="24"/>
        </w:rPr>
      </w:pPr>
      <w:r w:rsidRPr="004C2810">
        <w:rPr>
          <w:rFonts w:cs="Arial"/>
          <w:szCs w:val="24"/>
        </w:rPr>
        <w:t xml:space="preserve">A </w:t>
      </w:r>
      <w:r w:rsidRPr="004C2810">
        <w:rPr>
          <w:rFonts w:cs="Arial"/>
          <w:szCs w:val="24"/>
        </w:rPr>
        <w:fldChar w:fldCharType="begin"/>
      </w:r>
      <w:r w:rsidRPr="004C2810">
        <w:rPr>
          <w:rFonts w:cs="Arial"/>
          <w:szCs w:val="24"/>
        </w:rPr>
        <w:instrText xml:space="preserve"> REF _Ref436896616 \h </w:instrText>
      </w:r>
      <w:r w:rsidR="00AB46EA" w:rsidRPr="004C2810">
        <w:rPr>
          <w:rFonts w:cs="Arial"/>
          <w:szCs w:val="24"/>
        </w:rPr>
        <w:instrText xml:space="preserve"> \* MERGEFORMAT </w:instrText>
      </w:r>
      <w:r w:rsidRPr="004C2810">
        <w:rPr>
          <w:rFonts w:cs="Arial"/>
          <w:szCs w:val="24"/>
        </w:rPr>
      </w:r>
      <w:r w:rsidRPr="004C2810">
        <w:rPr>
          <w:rFonts w:cs="Arial"/>
          <w:szCs w:val="24"/>
        </w:rPr>
        <w:fldChar w:fldCharType="separate"/>
      </w:r>
      <w:r w:rsidR="004D1D76" w:rsidRPr="004C2810">
        <w:t xml:space="preserve">Figura </w:t>
      </w:r>
      <w:r w:rsidR="004D1D76">
        <w:rPr>
          <w:noProof/>
        </w:rPr>
        <w:t>14</w:t>
      </w:r>
      <w:r w:rsidRPr="004C2810">
        <w:rPr>
          <w:rFonts w:cs="Arial"/>
          <w:szCs w:val="24"/>
        </w:rPr>
        <w:fldChar w:fldCharType="end"/>
      </w:r>
      <w:r w:rsidRPr="004C2810">
        <w:rPr>
          <w:rFonts w:cs="Arial"/>
          <w:szCs w:val="24"/>
        </w:rPr>
        <w:t xml:space="preserve"> resume a aplicação dos critérios estabelecidos por legislações, regulamentações e normas técnicas específicas para escolha da localização da área para instalação do aterro sanitário.</w:t>
      </w:r>
    </w:p>
    <w:p w:rsidR="00193B74" w:rsidRPr="004C2810" w:rsidRDefault="00193B74" w:rsidP="00193B74">
      <w:pPr>
        <w:pStyle w:val="Legenda"/>
        <w:spacing w:before="0"/>
      </w:pPr>
      <w:bookmarkStart w:id="324" w:name="_Ref436896616"/>
      <w:bookmarkStart w:id="325" w:name="_Toc441657069"/>
      <w:bookmarkStart w:id="326" w:name="_Toc497469110"/>
      <w:r w:rsidRPr="004C2810">
        <w:t xml:space="preserve">Figura </w:t>
      </w:r>
      <w:r w:rsidR="00D71C43">
        <w:fldChar w:fldCharType="begin"/>
      </w:r>
      <w:r w:rsidR="00D71C43">
        <w:instrText xml:space="preserve"> SEQ Figura \* ARABIC </w:instrText>
      </w:r>
      <w:r w:rsidR="00D71C43">
        <w:fldChar w:fldCharType="separate"/>
      </w:r>
      <w:r w:rsidR="004D1D76">
        <w:rPr>
          <w:noProof/>
        </w:rPr>
        <w:t>14</w:t>
      </w:r>
      <w:r w:rsidR="00D71C43">
        <w:rPr>
          <w:noProof/>
        </w:rPr>
        <w:fldChar w:fldCharType="end"/>
      </w:r>
      <w:bookmarkEnd w:id="324"/>
      <w:r w:rsidRPr="004C2810">
        <w:t xml:space="preserve"> - Critérios a serem adotados para escolha da localização da área</w:t>
      </w:r>
      <w:bookmarkEnd w:id="325"/>
      <w:bookmarkEnd w:id="326"/>
    </w:p>
    <w:p w:rsidR="00193B74" w:rsidRPr="004C2810" w:rsidRDefault="00193B74" w:rsidP="0081207B">
      <w:pPr>
        <w:pStyle w:val="figura"/>
      </w:pPr>
      <w:r w:rsidRPr="004C2810">
        <w:rPr>
          <w:noProof/>
        </w:rPr>
        <w:drawing>
          <wp:inline distT="0" distB="0" distL="0" distR="0" wp14:anchorId="36F0AC69" wp14:editId="4A1312CF">
            <wp:extent cx="3990975" cy="2933700"/>
            <wp:effectExtent l="0" t="0" r="0" b="0"/>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a:ext>
                      </a:extLst>
                    </a:blip>
                    <a:srcRect/>
                    <a:stretch>
                      <a:fillRect/>
                    </a:stretch>
                  </pic:blipFill>
                  <pic:spPr bwMode="auto">
                    <a:xfrm>
                      <a:off x="0" y="0"/>
                      <a:ext cx="3990975" cy="2933700"/>
                    </a:xfrm>
                    <a:prstGeom prst="rect">
                      <a:avLst/>
                    </a:prstGeom>
                    <a:noFill/>
                    <a:ln>
                      <a:noFill/>
                    </a:ln>
                  </pic:spPr>
                </pic:pic>
              </a:graphicData>
            </a:graphic>
          </wp:inline>
        </w:drawing>
      </w:r>
    </w:p>
    <w:p w:rsidR="00193B74" w:rsidRPr="004C2810" w:rsidRDefault="00193B74" w:rsidP="00193B74">
      <w:pPr>
        <w:pStyle w:val="Fonte"/>
      </w:pPr>
      <w:r w:rsidRPr="004C2810">
        <w:t xml:space="preserve">Fonte: </w:t>
      </w:r>
      <w:r w:rsidRPr="004C2810">
        <w:rPr>
          <w:szCs w:val="24"/>
        </w:rPr>
        <w:t>Adaptado</w:t>
      </w:r>
      <w:r w:rsidRPr="004C2810">
        <w:t xml:space="preserve"> de FEAM, 2008.</w:t>
      </w:r>
    </w:p>
    <w:p w:rsidR="00193B74" w:rsidRPr="004C2810" w:rsidRDefault="00193B74" w:rsidP="00193B74">
      <w:pPr>
        <w:ind w:firstLine="709"/>
        <w:rPr>
          <w:rFonts w:cs="Arial"/>
          <w:szCs w:val="24"/>
        </w:rPr>
      </w:pPr>
      <w:r w:rsidRPr="004C2810">
        <w:rPr>
          <w:rFonts w:cs="Arial"/>
          <w:szCs w:val="24"/>
        </w:rPr>
        <w:lastRenderedPageBreak/>
        <w:t xml:space="preserve">O município não possui Área de Proteção Ambiental (APA). </w:t>
      </w:r>
      <w:r w:rsidRPr="004C2810">
        <w:t>Considerando a necessidade de regulamentar os procedimentos de licenciamento ambiental de empreendimentos de significativo impacto ambiental que afetem as Unidades de Conservação específicas ou suas zonas de amortecimento, o CONAMA, através da Resolução n° 428/2010, estabelece em seu artigo 1º que “o licenciamento de empreendimentos de significativo impacto ambiental que possam afetar Unidade de Conservação (UC) específica ou sua Zona de Amortecimento (ZA), assim considerados pelo órgão ambiental licenciador, com fundamento em Estudo de Impacto Ambiental e respectivo Relatório de Impacto Ambiental (EIA/RIMA), só poderá ser concedido após autorização do órgão responsável pela administração da UC”.</w:t>
      </w:r>
      <w:r w:rsidRPr="004C2810">
        <w:rPr>
          <w:rFonts w:cs="Arial"/>
          <w:szCs w:val="24"/>
        </w:rPr>
        <w:t xml:space="preserve"> </w:t>
      </w:r>
    </w:p>
    <w:p w:rsidR="00193B74" w:rsidRPr="004C2810" w:rsidRDefault="00193B74" w:rsidP="00193B74">
      <w:pPr>
        <w:ind w:firstLine="709"/>
      </w:pPr>
      <w:r w:rsidRPr="004C2810">
        <w:rPr>
          <w:rFonts w:cs="Arial"/>
          <w:szCs w:val="24"/>
        </w:rPr>
        <w:t>Sendo assim, para a instalação de um empreendimento do porte de um aterro, dentro da UC ou na ZA, é necessário autorização d</w:t>
      </w:r>
      <w:r w:rsidRPr="004C2810">
        <w:t xml:space="preserve">os órgãos executores do Sistema Nacional de Unidade de Conservação (SNUC). Ainda segundo o SNUC, uma Área de Proteção Ambiental (APA) não é obrigada a apresentar a Zona de Amortecimento. </w:t>
      </w:r>
    </w:p>
    <w:p w:rsidR="00193B74" w:rsidRPr="004C2810" w:rsidRDefault="00193B74" w:rsidP="002828C8">
      <w:pPr>
        <w:pStyle w:val="Ttulo4"/>
      </w:pPr>
      <w:bookmarkStart w:id="327" w:name="_Toc497469031"/>
      <w:r w:rsidRPr="004C2810">
        <w:t xml:space="preserve">Dimensionamento da área necessária para instalação de um aterro sanitário em </w:t>
      </w:r>
      <w:r w:rsidR="007A2B6D" w:rsidRPr="004C2810">
        <w:t>Córrego Novo</w:t>
      </w:r>
      <w:bookmarkEnd w:id="327"/>
    </w:p>
    <w:p w:rsidR="00193B74" w:rsidRPr="00E278A7" w:rsidRDefault="00193B74" w:rsidP="00193B74">
      <w:pPr>
        <w:ind w:firstLine="708"/>
      </w:pPr>
      <w:r w:rsidRPr="004C2810">
        <w:rPr>
          <w:rFonts w:cs="Arial"/>
          <w:szCs w:val="24"/>
        </w:rPr>
        <w:t xml:space="preserve">Para a quantificação da área necessária ao empreendimento, utilizou-se a metodologia proposta no Manual do IBAM, </w:t>
      </w:r>
      <w:r w:rsidRPr="004C2810">
        <w:t xml:space="preserve">além de </w:t>
      </w:r>
      <w:r w:rsidRPr="00E278A7">
        <w:t>dados projecionais utilizados para estimar a área. Os parâmetros utilizados foram:</w:t>
      </w:r>
      <w:r w:rsidR="00D514D9" w:rsidRPr="00E278A7">
        <w:t xml:space="preserve"> </w:t>
      </w:r>
    </w:p>
    <w:p w:rsidR="00193B74" w:rsidRPr="00E278A7" w:rsidRDefault="00193B74" w:rsidP="00193B74">
      <w:pPr>
        <w:ind w:firstLine="708"/>
      </w:pPr>
      <w:r w:rsidRPr="00E278A7">
        <w:t xml:space="preserve"> - nº de habitantes do município estimado para 20</w:t>
      </w:r>
      <w:r w:rsidR="00D514D9" w:rsidRPr="00E278A7">
        <w:t>17</w:t>
      </w:r>
      <w:r w:rsidRPr="00E278A7">
        <w:t xml:space="preserve">: </w:t>
      </w:r>
      <w:r w:rsidR="004C2810" w:rsidRPr="00E278A7">
        <w:t>2</w:t>
      </w:r>
      <w:r w:rsidR="009817AB" w:rsidRPr="00E278A7">
        <w:t>.</w:t>
      </w:r>
      <w:r w:rsidR="004C2810" w:rsidRPr="00E278A7">
        <w:t>8</w:t>
      </w:r>
      <w:r w:rsidR="009817AB" w:rsidRPr="00E278A7">
        <w:t>6</w:t>
      </w:r>
      <w:r w:rsidR="00D514D9" w:rsidRPr="00E278A7">
        <w:t>6</w:t>
      </w:r>
      <w:r w:rsidRPr="00E278A7">
        <w:t xml:space="preserve"> habitantes;</w:t>
      </w:r>
    </w:p>
    <w:p w:rsidR="00193B74" w:rsidRPr="00E278A7" w:rsidRDefault="00193B74" w:rsidP="00193B74">
      <w:pPr>
        <w:ind w:firstLine="708"/>
      </w:pPr>
      <w:r w:rsidRPr="00E278A7">
        <w:t xml:space="preserve"> - produção de resíduos estimada para todo o município, incluindo zona rural em 20</w:t>
      </w:r>
      <w:r w:rsidR="00E61639" w:rsidRPr="00E278A7">
        <w:t>17</w:t>
      </w:r>
      <w:r w:rsidRPr="00E278A7">
        <w:t xml:space="preserve">: </w:t>
      </w:r>
      <w:r w:rsidR="004C2810" w:rsidRPr="00E278A7">
        <w:t>2,</w:t>
      </w:r>
      <w:r w:rsidR="00D514D9" w:rsidRPr="00E278A7">
        <w:t>3</w:t>
      </w:r>
      <w:r w:rsidRPr="00E278A7">
        <w:t xml:space="preserve"> toneladas/dia</w:t>
      </w:r>
      <w:r w:rsidR="00E278A7" w:rsidRPr="00E278A7">
        <w:t xml:space="preserve">, </w:t>
      </w:r>
      <w:r w:rsidR="00852088" w:rsidRPr="00E278A7">
        <w:t>co</w:t>
      </w:r>
      <w:r w:rsidR="00E278A7" w:rsidRPr="00E278A7">
        <w:t>nforme a projeção do item 2.4.1</w:t>
      </w:r>
      <w:r w:rsidR="00852088" w:rsidRPr="00E278A7">
        <w:t xml:space="preserve"> para o cenário com 0% de reciclagem. Ressalta-se que foi utilizado o pior cenário, no caso o do ano de 2017, visto que um aterro que atende a 2.866 habitantes (2017) consegue atender a 2.118 habitantes (2038).</w:t>
      </w:r>
    </w:p>
    <w:p w:rsidR="00193B74" w:rsidRPr="00E278A7" w:rsidRDefault="00193B74" w:rsidP="00193B74">
      <w:pPr>
        <w:pStyle w:val="Legenda"/>
        <w:rPr>
          <w:bCs w:val="0"/>
        </w:rPr>
      </w:pPr>
      <w:bookmarkStart w:id="328" w:name="_Ref438487090"/>
      <w:bookmarkStart w:id="329" w:name="_Toc441657124"/>
      <w:bookmarkStart w:id="330" w:name="_Toc497469150"/>
      <w:r w:rsidRPr="00E278A7">
        <w:t xml:space="preserve">Quadro </w:t>
      </w:r>
      <w:r w:rsidR="00D71C43" w:rsidRPr="00E278A7">
        <w:fldChar w:fldCharType="begin"/>
      </w:r>
      <w:r w:rsidR="00D71C43" w:rsidRPr="00E278A7">
        <w:instrText xml:space="preserve"> SEQ Quadro \* ARABIC </w:instrText>
      </w:r>
      <w:r w:rsidR="00D71C43" w:rsidRPr="00E278A7">
        <w:fldChar w:fldCharType="separate"/>
      </w:r>
      <w:r w:rsidR="004D1D76">
        <w:rPr>
          <w:noProof/>
        </w:rPr>
        <w:t>29</w:t>
      </w:r>
      <w:r w:rsidR="00D71C43" w:rsidRPr="00E278A7">
        <w:rPr>
          <w:noProof/>
        </w:rPr>
        <w:fldChar w:fldCharType="end"/>
      </w:r>
      <w:bookmarkEnd w:id="328"/>
      <w:r w:rsidRPr="00E278A7">
        <w:t xml:space="preserve"> - </w:t>
      </w:r>
      <w:r w:rsidRPr="00E278A7">
        <w:rPr>
          <w:bCs w:val="0"/>
        </w:rPr>
        <w:t>Área necessária em m²</w:t>
      </w:r>
      <w:bookmarkEnd w:id="329"/>
      <w:bookmarkEnd w:id="330"/>
    </w:p>
    <w:tbl>
      <w:tblPr>
        <w:tblW w:w="5000" w:type="pct"/>
        <w:jc w:val="center"/>
        <w:tblCellMar>
          <w:left w:w="70" w:type="dxa"/>
          <w:right w:w="70" w:type="dxa"/>
        </w:tblCellMar>
        <w:tblLook w:val="04A0" w:firstRow="1" w:lastRow="0" w:firstColumn="1" w:lastColumn="0" w:noHBand="0" w:noVBand="1"/>
      </w:tblPr>
      <w:tblGrid>
        <w:gridCol w:w="5697"/>
        <w:gridCol w:w="949"/>
        <w:gridCol w:w="2848"/>
      </w:tblGrid>
      <w:tr w:rsidR="00E278A7" w:rsidRPr="00E278A7" w:rsidTr="00852088">
        <w:trPr>
          <w:trHeight w:val="20"/>
          <w:jc w:val="center"/>
        </w:trPr>
        <w:tc>
          <w:tcPr>
            <w:tcW w:w="5000" w:type="pct"/>
            <w:gridSpan w:val="3"/>
            <w:tcBorders>
              <w:top w:val="single" w:sz="8" w:space="0" w:color="auto"/>
              <w:left w:val="single" w:sz="8" w:space="0" w:color="auto"/>
              <w:bottom w:val="single" w:sz="4" w:space="0" w:color="auto"/>
              <w:right w:val="single" w:sz="8" w:space="0" w:color="000000"/>
            </w:tcBorders>
            <w:shd w:val="clear" w:color="auto" w:fill="auto"/>
            <w:vAlign w:val="center"/>
            <w:hideMark/>
          </w:tcPr>
          <w:p w:rsidR="00193B74" w:rsidRPr="00E278A7" w:rsidRDefault="00193B74" w:rsidP="00193B74">
            <w:pPr>
              <w:spacing w:line="240" w:lineRule="auto"/>
              <w:jc w:val="center"/>
              <w:rPr>
                <w:rFonts w:eastAsia="Times New Roman" w:cs="Arial"/>
                <w:sz w:val="20"/>
                <w:szCs w:val="20"/>
                <w:lang w:eastAsia="pt-BR"/>
              </w:rPr>
            </w:pPr>
            <w:r w:rsidRPr="00E278A7">
              <w:rPr>
                <w:rFonts w:eastAsia="Times New Roman" w:cs="Arial"/>
                <w:sz w:val="20"/>
                <w:szCs w:val="20"/>
                <w:lang w:eastAsia="pt-BR"/>
              </w:rPr>
              <w:t>Para se estimar a área total necessária a um aterro, em metros quadrados, basta multiplicar a quantidade de lixo coletada diariamente, em toneladas, pelo fator 560 (este fator se baseia nos seguintes parâmetros, usualmente utilizados em projetos de aterros: vida útil = 20 anos; altura do aterro = 20m; taludes de 1:3 e ocupação de 80% do terreno com a área operacional).</w:t>
            </w:r>
          </w:p>
        </w:tc>
      </w:tr>
      <w:tr w:rsidR="00193B74" w:rsidRPr="004C2810" w:rsidTr="00852088">
        <w:trPr>
          <w:trHeight w:val="20"/>
          <w:jc w:val="center"/>
        </w:trPr>
        <w:tc>
          <w:tcPr>
            <w:tcW w:w="3000" w:type="pct"/>
            <w:tcBorders>
              <w:top w:val="single" w:sz="4" w:space="0" w:color="auto"/>
              <w:left w:val="single" w:sz="8" w:space="0" w:color="auto"/>
              <w:bottom w:val="nil"/>
              <w:right w:val="single" w:sz="4" w:space="0" w:color="000000"/>
            </w:tcBorders>
            <w:shd w:val="clear" w:color="auto" w:fill="auto"/>
            <w:vAlign w:val="bottom"/>
            <w:hideMark/>
          </w:tcPr>
          <w:p w:rsidR="00193B74" w:rsidRPr="004C2810" w:rsidRDefault="00193B74" w:rsidP="00193B74">
            <w:pPr>
              <w:spacing w:line="240" w:lineRule="auto"/>
              <w:ind w:firstLine="709"/>
              <w:jc w:val="center"/>
              <w:rPr>
                <w:rFonts w:eastAsia="Times New Roman" w:cs="Arial"/>
                <w:sz w:val="20"/>
                <w:szCs w:val="20"/>
                <w:lang w:eastAsia="pt-BR"/>
              </w:rPr>
            </w:pPr>
            <w:r w:rsidRPr="004C2810">
              <w:rPr>
                <w:rFonts w:eastAsia="Times New Roman" w:cs="Arial"/>
                <w:sz w:val="20"/>
                <w:szCs w:val="20"/>
                <w:lang w:eastAsia="pt-BR"/>
              </w:rPr>
              <w:t xml:space="preserve">Quantidade média de lixo toneladas/dia </w:t>
            </w:r>
          </w:p>
        </w:tc>
        <w:tc>
          <w:tcPr>
            <w:tcW w:w="500" w:type="pct"/>
            <w:vMerge w:val="restart"/>
            <w:tcBorders>
              <w:top w:val="nil"/>
              <w:left w:val="single" w:sz="4" w:space="0" w:color="auto"/>
              <w:bottom w:val="single" w:sz="8" w:space="0" w:color="000000"/>
              <w:right w:val="single" w:sz="4" w:space="0" w:color="auto"/>
            </w:tcBorders>
            <w:shd w:val="clear" w:color="auto" w:fill="auto"/>
            <w:vAlign w:val="center"/>
            <w:hideMark/>
          </w:tcPr>
          <w:p w:rsidR="00193B74" w:rsidRPr="004C2810" w:rsidRDefault="00193B74" w:rsidP="00193B74">
            <w:pPr>
              <w:spacing w:line="240" w:lineRule="auto"/>
              <w:jc w:val="center"/>
              <w:rPr>
                <w:rFonts w:eastAsia="Times New Roman" w:cs="Arial"/>
                <w:sz w:val="20"/>
                <w:szCs w:val="20"/>
                <w:lang w:eastAsia="pt-BR"/>
              </w:rPr>
            </w:pPr>
            <w:r w:rsidRPr="004C2810">
              <w:rPr>
                <w:rFonts w:eastAsia="Times New Roman" w:cs="Arial"/>
                <w:sz w:val="20"/>
                <w:szCs w:val="20"/>
                <w:lang w:eastAsia="pt-BR"/>
              </w:rPr>
              <w:t>x 560</w:t>
            </w:r>
          </w:p>
        </w:tc>
        <w:tc>
          <w:tcPr>
            <w:tcW w:w="1500" w:type="pct"/>
            <w:tcBorders>
              <w:top w:val="single" w:sz="4" w:space="0" w:color="auto"/>
              <w:left w:val="nil"/>
              <w:bottom w:val="single" w:sz="4" w:space="0" w:color="auto"/>
              <w:right w:val="single" w:sz="8" w:space="0" w:color="000000"/>
            </w:tcBorders>
            <w:shd w:val="clear" w:color="auto" w:fill="auto"/>
            <w:noWrap/>
            <w:vAlign w:val="center"/>
            <w:hideMark/>
          </w:tcPr>
          <w:p w:rsidR="00193B74" w:rsidRPr="004C2810" w:rsidRDefault="00193B74" w:rsidP="00193B74">
            <w:pPr>
              <w:spacing w:line="240" w:lineRule="auto"/>
              <w:ind w:firstLine="709"/>
              <w:jc w:val="center"/>
              <w:rPr>
                <w:rFonts w:eastAsia="Times New Roman" w:cs="Arial"/>
                <w:sz w:val="20"/>
                <w:szCs w:val="20"/>
                <w:lang w:eastAsia="pt-BR"/>
              </w:rPr>
            </w:pPr>
            <w:r w:rsidRPr="004C2810">
              <w:rPr>
                <w:rFonts w:eastAsia="Times New Roman" w:cs="Arial"/>
                <w:sz w:val="20"/>
                <w:szCs w:val="20"/>
                <w:lang w:eastAsia="pt-BR"/>
              </w:rPr>
              <w:t>Área necessária m²</w:t>
            </w:r>
          </w:p>
        </w:tc>
      </w:tr>
      <w:tr w:rsidR="00193B74" w:rsidRPr="004C2810" w:rsidTr="00852088">
        <w:trPr>
          <w:trHeight w:val="230"/>
          <w:jc w:val="center"/>
        </w:trPr>
        <w:tc>
          <w:tcPr>
            <w:tcW w:w="3000" w:type="pct"/>
            <w:vMerge w:val="restart"/>
            <w:tcBorders>
              <w:top w:val="single" w:sz="4" w:space="0" w:color="auto"/>
              <w:left w:val="single" w:sz="8" w:space="0" w:color="auto"/>
              <w:bottom w:val="single" w:sz="8" w:space="0" w:color="000000"/>
              <w:right w:val="single" w:sz="4" w:space="0" w:color="000000"/>
            </w:tcBorders>
            <w:shd w:val="clear" w:color="auto" w:fill="auto"/>
            <w:vAlign w:val="center"/>
            <w:hideMark/>
          </w:tcPr>
          <w:p w:rsidR="00193B74" w:rsidRPr="004C2810" w:rsidRDefault="004C2810" w:rsidP="004C2810">
            <w:pPr>
              <w:spacing w:line="240" w:lineRule="auto"/>
              <w:jc w:val="center"/>
              <w:rPr>
                <w:rFonts w:eastAsia="Times New Roman" w:cs="Arial"/>
                <w:b/>
                <w:sz w:val="20"/>
                <w:szCs w:val="20"/>
                <w:lang w:eastAsia="pt-BR"/>
              </w:rPr>
            </w:pPr>
            <w:r w:rsidRPr="004C2810">
              <w:rPr>
                <w:rFonts w:eastAsia="Times New Roman" w:cs="Arial"/>
                <w:b/>
                <w:sz w:val="20"/>
                <w:szCs w:val="20"/>
                <w:lang w:eastAsia="pt-BR"/>
              </w:rPr>
              <w:t>2,</w:t>
            </w:r>
            <w:r w:rsidR="00D514D9" w:rsidRPr="004C2810">
              <w:rPr>
                <w:rFonts w:eastAsia="Times New Roman" w:cs="Arial"/>
                <w:b/>
                <w:sz w:val="20"/>
                <w:szCs w:val="20"/>
                <w:lang w:eastAsia="pt-BR"/>
              </w:rPr>
              <w:t>3</w:t>
            </w:r>
          </w:p>
        </w:tc>
        <w:tc>
          <w:tcPr>
            <w:tcW w:w="500" w:type="pct"/>
            <w:vMerge/>
            <w:tcBorders>
              <w:top w:val="nil"/>
              <w:left w:val="single" w:sz="4" w:space="0" w:color="auto"/>
              <w:bottom w:val="single" w:sz="8" w:space="0" w:color="000000"/>
              <w:right w:val="single" w:sz="4" w:space="0" w:color="auto"/>
            </w:tcBorders>
            <w:vAlign w:val="center"/>
            <w:hideMark/>
          </w:tcPr>
          <w:p w:rsidR="00193B74" w:rsidRPr="004C2810" w:rsidRDefault="00193B74" w:rsidP="00193B74">
            <w:pPr>
              <w:spacing w:line="240" w:lineRule="auto"/>
              <w:ind w:firstLine="709"/>
              <w:rPr>
                <w:rFonts w:eastAsia="Times New Roman" w:cs="Arial"/>
                <w:sz w:val="20"/>
                <w:szCs w:val="20"/>
                <w:lang w:eastAsia="pt-BR"/>
              </w:rPr>
            </w:pPr>
          </w:p>
        </w:tc>
        <w:tc>
          <w:tcPr>
            <w:tcW w:w="1500" w:type="pct"/>
            <w:vMerge w:val="restart"/>
            <w:tcBorders>
              <w:top w:val="single" w:sz="4" w:space="0" w:color="auto"/>
              <w:left w:val="single" w:sz="4" w:space="0" w:color="auto"/>
              <w:bottom w:val="single" w:sz="8" w:space="0" w:color="000000"/>
              <w:right w:val="single" w:sz="8" w:space="0" w:color="000000"/>
            </w:tcBorders>
            <w:shd w:val="clear" w:color="auto" w:fill="auto"/>
            <w:vAlign w:val="center"/>
            <w:hideMark/>
          </w:tcPr>
          <w:p w:rsidR="00193B74" w:rsidRPr="004C2810" w:rsidRDefault="004C2810" w:rsidP="004C2810">
            <w:pPr>
              <w:spacing w:line="240" w:lineRule="auto"/>
              <w:jc w:val="center"/>
              <w:rPr>
                <w:rFonts w:eastAsia="Times New Roman" w:cs="Arial"/>
                <w:b/>
                <w:bCs/>
                <w:sz w:val="20"/>
                <w:szCs w:val="20"/>
                <w:lang w:eastAsia="pt-BR"/>
              </w:rPr>
            </w:pPr>
            <w:r w:rsidRPr="004C2810">
              <w:rPr>
                <w:rFonts w:eastAsia="Times New Roman" w:cs="Arial"/>
                <w:b/>
                <w:bCs/>
                <w:sz w:val="20"/>
                <w:szCs w:val="20"/>
                <w:lang w:eastAsia="pt-BR"/>
              </w:rPr>
              <w:t>1</w:t>
            </w:r>
            <w:r w:rsidR="00193B74" w:rsidRPr="004C2810">
              <w:rPr>
                <w:rFonts w:eastAsia="Times New Roman" w:cs="Arial"/>
                <w:b/>
                <w:bCs/>
                <w:sz w:val="20"/>
                <w:szCs w:val="20"/>
                <w:lang w:eastAsia="pt-BR"/>
              </w:rPr>
              <w:t>.</w:t>
            </w:r>
            <w:r w:rsidRPr="004C2810">
              <w:rPr>
                <w:rFonts w:eastAsia="Times New Roman" w:cs="Arial"/>
                <w:b/>
                <w:bCs/>
                <w:sz w:val="20"/>
                <w:szCs w:val="20"/>
                <w:lang w:eastAsia="pt-BR"/>
              </w:rPr>
              <w:t>300</w:t>
            </w:r>
          </w:p>
        </w:tc>
      </w:tr>
      <w:tr w:rsidR="00193B74" w:rsidRPr="004C2810" w:rsidTr="00852088">
        <w:trPr>
          <w:trHeight w:val="230"/>
          <w:jc w:val="center"/>
        </w:trPr>
        <w:tc>
          <w:tcPr>
            <w:tcW w:w="3000" w:type="pct"/>
            <w:vMerge/>
            <w:tcBorders>
              <w:top w:val="single" w:sz="4" w:space="0" w:color="auto"/>
              <w:left w:val="single" w:sz="8" w:space="0" w:color="auto"/>
              <w:bottom w:val="single" w:sz="8" w:space="0" w:color="000000"/>
              <w:right w:val="single" w:sz="4" w:space="0" w:color="000000"/>
            </w:tcBorders>
            <w:vAlign w:val="center"/>
            <w:hideMark/>
          </w:tcPr>
          <w:p w:rsidR="00193B74" w:rsidRPr="004C2810" w:rsidRDefault="00193B74" w:rsidP="00193B74">
            <w:pPr>
              <w:spacing w:line="240" w:lineRule="auto"/>
              <w:ind w:firstLine="709"/>
              <w:rPr>
                <w:rFonts w:eastAsia="Times New Roman" w:cs="Arial"/>
                <w:sz w:val="20"/>
                <w:szCs w:val="20"/>
                <w:lang w:eastAsia="pt-BR"/>
              </w:rPr>
            </w:pPr>
          </w:p>
        </w:tc>
        <w:tc>
          <w:tcPr>
            <w:tcW w:w="500" w:type="pct"/>
            <w:vMerge/>
            <w:tcBorders>
              <w:top w:val="nil"/>
              <w:left w:val="single" w:sz="4" w:space="0" w:color="auto"/>
              <w:bottom w:val="single" w:sz="8" w:space="0" w:color="000000"/>
              <w:right w:val="single" w:sz="4" w:space="0" w:color="auto"/>
            </w:tcBorders>
            <w:vAlign w:val="center"/>
            <w:hideMark/>
          </w:tcPr>
          <w:p w:rsidR="00193B74" w:rsidRPr="004C2810" w:rsidRDefault="00193B74" w:rsidP="00193B74">
            <w:pPr>
              <w:spacing w:line="240" w:lineRule="auto"/>
              <w:ind w:firstLine="709"/>
              <w:rPr>
                <w:rFonts w:eastAsia="Times New Roman" w:cs="Arial"/>
                <w:sz w:val="20"/>
                <w:szCs w:val="20"/>
                <w:lang w:eastAsia="pt-BR"/>
              </w:rPr>
            </w:pPr>
          </w:p>
        </w:tc>
        <w:tc>
          <w:tcPr>
            <w:tcW w:w="1500" w:type="pct"/>
            <w:vMerge/>
            <w:tcBorders>
              <w:top w:val="single" w:sz="4" w:space="0" w:color="auto"/>
              <w:left w:val="single" w:sz="4" w:space="0" w:color="auto"/>
              <w:bottom w:val="single" w:sz="8" w:space="0" w:color="000000"/>
              <w:right w:val="single" w:sz="8" w:space="0" w:color="000000"/>
            </w:tcBorders>
            <w:vAlign w:val="center"/>
            <w:hideMark/>
          </w:tcPr>
          <w:p w:rsidR="00193B74" w:rsidRPr="004C2810" w:rsidRDefault="00193B74" w:rsidP="00193B74">
            <w:pPr>
              <w:spacing w:line="240" w:lineRule="auto"/>
              <w:ind w:firstLine="709"/>
              <w:rPr>
                <w:rFonts w:eastAsia="Times New Roman" w:cs="Arial"/>
                <w:b/>
                <w:bCs/>
                <w:sz w:val="20"/>
                <w:szCs w:val="20"/>
                <w:lang w:eastAsia="pt-BR"/>
              </w:rPr>
            </w:pPr>
          </w:p>
        </w:tc>
      </w:tr>
    </w:tbl>
    <w:p w:rsidR="00193B74" w:rsidRPr="004C2810" w:rsidRDefault="00193B74" w:rsidP="00193B74">
      <w:pPr>
        <w:pStyle w:val="Fonte"/>
      </w:pPr>
      <w:r w:rsidRPr="004C2810">
        <w:t>Fonte: IBAM, 2001</w:t>
      </w:r>
    </w:p>
    <w:p w:rsidR="00193B74" w:rsidRPr="004C2810" w:rsidRDefault="00193B74" w:rsidP="00193B74">
      <w:pPr>
        <w:ind w:firstLine="709"/>
        <w:rPr>
          <w:rFonts w:cs="Arial"/>
          <w:szCs w:val="24"/>
        </w:rPr>
      </w:pPr>
      <w:r w:rsidRPr="004C2810">
        <w:rPr>
          <w:rFonts w:cs="Arial"/>
          <w:szCs w:val="24"/>
        </w:rPr>
        <w:lastRenderedPageBreak/>
        <w:t xml:space="preserve">Conforme apresentado no </w:t>
      </w:r>
      <w:r w:rsidRPr="004C2810">
        <w:rPr>
          <w:rFonts w:cs="Arial"/>
          <w:szCs w:val="24"/>
        </w:rPr>
        <w:fldChar w:fldCharType="begin"/>
      </w:r>
      <w:r w:rsidRPr="004C2810">
        <w:rPr>
          <w:rFonts w:cs="Arial"/>
          <w:szCs w:val="24"/>
        </w:rPr>
        <w:instrText xml:space="preserve"> REF _Ref438487090 \h  \* MERGEFORMAT </w:instrText>
      </w:r>
      <w:r w:rsidRPr="004C2810">
        <w:rPr>
          <w:rFonts w:cs="Arial"/>
          <w:szCs w:val="24"/>
        </w:rPr>
      </w:r>
      <w:r w:rsidRPr="004C2810">
        <w:rPr>
          <w:rFonts w:cs="Arial"/>
          <w:szCs w:val="24"/>
        </w:rPr>
        <w:fldChar w:fldCharType="separate"/>
      </w:r>
      <w:r w:rsidR="004D1D76" w:rsidRPr="00E278A7">
        <w:t xml:space="preserve">Quadro </w:t>
      </w:r>
      <w:r w:rsidR="004D1D76">
        <w:rPr>
          <w:noProof/>
        </w:rPr>
        <w:t>29</w:t>
      </w:r>
      <w:r w:rsidRPr="004C2810">
        <w:rPr>
          <w:rFonts w:cs="Arial"/>
          <w:szCs w:val="24"/>
        </w:rPr>
        <w:fldChar w:fldCharType="end"/>
      </w:r>
      <w:r w:rsidRPr="004C2810">
        <w:rPr>
          <w:rFonts w:cs="Arial"/>
          <w:szCs w:val="24"/>
        </w:rPr>
        <w:t xml:space="preserve">, para o montante de resíduos gerados em </w:t>
      </w:r>
      <w:r w:rsidR="007A2B6D" w:rsidRPr="004C2810">
        <w:rPr>
          <w:rFonts w:cs="Arial"/>
          <w:szCs w:val="24"/>
        </w:rPr>
        <w:t>Córrego Novo</w:t>
      </w:r>
      <w:r w:rsidRPr="004C2810">
        <w:rPr>
          <w:rFonts w:cs="Arial"/>
          <w:szCs w:val="24"/>
        </w:rPr>
        <w:t xml:space="preserve"> será necessária uma área de aproximadamente </w:t>
      </w:r>
      <w:r w:rsidR="004C2810" w:rsidRPr="004C2810">
        <w:rPr>
          <w:rFonts w:cs="Arial"/>
          <w:szCs w:val="24"/>
        </w:rPr>
        <w:t>1</w:t>
      </w:r>
      <w:r w:rsidR="009817AB" w:rsidRPr="004C2810">
        <w:rPr>
          <w:rFonts w:cs="Arial"/>
          <w:szCs w:val="24"/>
        </w:rPr>
        <w:t>.</w:t>
      </w:r>
      <w:r w:rsidR="004C2810" w:rsidRPr="004C2810">
        <w:rPr>
          <w:rFonts w:cs="Arial"/>
          <w:szCs w:val="24"/>
        </w:rPr>
        <w:t>3</w:t>
      </w:r>
      <w:r w:rsidR="00DF4A2F" w:rsidRPr="004C2810">
        <w:rPr>
          <w:rFonts w:cs="Arial"/>
          <w:szCs w:val="24"/>
        </w:rPr>
        <w:t>00</w:t>
      </w:r>
      <w:r w:rsidRPr="004C2810">
        <w:rPr>
          <w:rFonts w:cs="Arial"/>
          <w:szCs w:val="24"/>
        </w:rPr>
        <w:t>m² para a construção de um aterro sanitário, incluindo a área para a disposição de resíduos e para a alocação de infraestrutura de apoio (cerca, portaria, escritório, oficina, almoxarifado, vestiário, refeitório, galpões, acessos, poços de monitoramento, etc.).</w:t>
      </w:r>
    </w:p>
    <w:p w:rsidR="00193B74" w:rsidRPr="004C2810" w:rsidRDefault="00193B74" w:rsidP="00193B74">
      <w:pPr>
        <w:ind w:firstLine="709"/>
        <w:rPr>
          <w:rFonts w:cs="Arial"/>
          <w:szCs w:val="24"/>
        </w:rPr>
      </w:pPr>
      <w:r w:rsidRPr="004C2810">
        <w:rPr>
          <w:rFonts w:cs="Arial"/>
          <w:szCs w:val="24"/>
        </w:rPr>
        <w:t xml:space="preserve">Considerando os critérios mencionados neste capítulo, após análise do território espacial do município feita através de cartas, mapas e por meio da sobreposição de imagens de satélite, é perceptível a grande quantidade de coleções hídricas presente no município, o que restringe em grande parte a escolha de áreas adequadas. Outro fator limitante é o acesso aos possíveis locais para instalação do aterro. Seguindo os critérios adotados, deu-se preferência, durante a escolha, para locais próximos à malha viária. O terceiro fator limitante é a localização em Unidade de Conservação. </w:t>
      </w:r>
    </w:p>
    <w:p w:rsidR="00E61639" w:rsidRPr="00EA58B8" w:rsidRDefault="001F7197" w:rsidP="00E61639">
      <w:pPr>
        <w:ind w:firstLine="708"/>
        <w:rPr>
          <w:szCs w:val="24"/>
        </w:rPr>
      </w:pPr>
      <w:r w:rsidRPr="004C2810">
        <w:t>Feitas tais considerações, a presente análise, que deve ser considerada apenas preliminarmente</w:t>
      </w:r>
      <w:r w:rsidRPr="004C2810">
        <w:rPr>
          <w:rStyle w:val="Refdenotaderodap"/>
        </w:rPr>
        <w:footnoteReference w:id="1"/>
      </w:r>
      <w:r w:rsidRPr="004C2810">
        <w:t xml:space="preserve">, resultou na sugestão de </w:t>
      </w:r>
      <w:r w:rsidR="004C2810">
        <w:t>cinco</w:t>
      </w:r>
      <w:r w:rsidRPr="004C2810">
        <w:t xml:space="preserve"> áreas, </w:t>
      </w:r>
      <w:r w:rsidRPr="00EA58B8">
        <w:t xml:space="preserve">segundo suas coordenadas </w:t>
      </w:r>
      <w:r w:rsidRPr="00EA58B8">
        <w:rPr>
          <w:i/>
        </w:rPr>
        <w:t>23K UTM</w:t>
      </w:r>
      <w:r w:rsidRPr="00EA58B8">
        <w:t xml:space="preserve">, cujas localizações são mostradas a seguir na </w:t>
      </w:r>
      <w:r w:rsidRPr="00EA58B8">
        <w:fldChar w:fldCharType="begin"/>
      </w:r>
      <w:r w:rsidRPr="00EA58B8">
        <w:instrText xml:space="preserve"> REF _Ref436897381 \h  \* MERGEFORMAT </w:instrText>
      </w:r>
      <w:r w:rsidRPr="00EA58B8">
        <w:fldChar w:fldCharType="separate"/>
      </w:r>
      <w:r w:rsidR="004D1D76" w:rsidRPr="004D1D76">
        <w:rPr>
          <w:rStyle w:val="LegendaChar"/>
          <w:rFonts w:eastAsia="Calibri" w:cs="Times New Roman"/>
          <w:b w:val="0"/>
          <w:bCs w:val="0"/>
          <w:szCs w:val="22"/>
          <w:lang w:val="pt-BR" w:eastAsia="en-US"/>
        </w:rPr>
        <w:t>Figura 15</w:t>
      </w:r>
      <w:r w:rsidRPr="00EA58B8">
        <w:fldChar w:fldCharType="end"/>
      </w:r>
      <w:r w:rsidRPr="00EA58B8">
        <w:t xml:space="preserve"> e</w:t>
      </w:r>
      <w:r w:rsidR="00E61639" w:rsidRPr="00EA58B8">
        <w:t xml:space="preserve"> </w:t>
      </w:r>
      <w:r w:rsidR="00E61639" w:rsidRPr="00EA58B8">
        <w:fldChar w:fldCharType="begin"/>
      </w:r>
      <w:r w:rsidR="00E61639" w:rsidRPr="00EA58B8">
        <w:instrText xml:space="preserve"> REF _Ref487550814 \h </w:instrText>
      </w:r>
      <w:r w:rsidR="007A2B6D" w:rsidRPr="00EA58B8">
        <w:instrText xml:space="preserve"> \* MERGEFORMAT </w:instrText>
      </w:r>
      <w:r w:rsidR="00E61639" w:rsidRPr="00EA58B8">
        <w:fldChar w:fldCharType="separate"/>
      </w:r>
      <w:r w:rsidR="004D1D76" w:rsidRPr="004D1D76">
        <w:rPr>
          <w:rStyle w:val="LegendaChar"/>
          <w:rFonts w:eastAsia="Calibri"/>
          <w:b w:val="0"/>
          <w:bCs w:val="0"/>
        </w:rPr>
        <w:t xml:space="preserve">Figura </w:t>
      </w:r>
      <w:r w:rsidR="004D1D76">
        <w:rPr>
          <w:rStyle w:val="LegendaChar"/>
          <w:rFonts w:eastAsia="Calibri"/>
          <w:b w:val="0"/>
          <w:bCs w:val="0"/>
          <w:noProof/>
        </w:rPr>
        <w:t>16</w:t>
      </w:r>
      <w:r w:rsidR="00E61639" w:rsidRPr="00EA58B8">
        <w:fldChar w:fldCharType="end"/>
      </w:r>
      <w:r w:rsidR="00E61639" w:rsidRPr="00EA58B8">
        <w:t>.</w:t>
      </w:r>
      <w:r w:rsidR="00AD2E69" w:rsidRPr="00EA58B8">
        <w:t xml:space="preserve"> Além disso, ressalta-se que pode ser estudada a utilização da área do atual aterro controlado próxima a UTC como área de um possível aterro sanitário.</w:t>
      </w:r>
    </w:p>
    <w:p w:rsidR="004C2810" w:rsidRPr="00EA58B8" w:rsidRDefault="004C2810" w:rsidP="004C2810">
      <w:pPr>
        <w:ind w:firstLine="708"/>
        <w:rPr>
          <w:b/>
          <w:i/>
          <w:sz w:val="22"/>
        </w:rPr>
      </w:pPr>
      <w:r w:rsidRPr="00EA58B8">
        <w:rPr>
          <w:b/>
          <w:i/>
          <w:sz w:val="22"/>
        </w:rPr>
        <w:t xml:space="preserve">Área 1: </w:t>
      </w:r>
      <w:r w:rsidRPr="00EA58B8">
        <w:rPr>
          <w:i/>
          <w:sz w:val="22"/>
        </w:rPr>
        <w:t>771707E 7810155S</w:t>
      </w:r>
    </w:p>
    <w:p w:rsidR="004C2810" w:rsidRPr="00EA58B8" w:rsidRDefault="004C2810" w:rsidP="004C2810">
      <w:pPr>
        <w:ind w:firstLine="708"/>
        <w:rPr>
          <w:b/>
          <w:i/>
          <w:sz w:val="22"/>
        </w:rPr>
      </w:pPr>
      <w:r w:rsidRPr="00EA58B8">
        <w:rPr>
          <w:b/>
          <w:i/>
          <w:sz w:val="22"/>
        </w:rPr>
        <w:t xml:space="preserve">Área 2: </w:t>
      </w:r>
      <w:r w:rsidRPr="00EA58B8">
        <w:rPr>
          <w:i/>
          <w:sz w:val="22"/>
        </w:rPr>
        <w:t>769870E 7809552S</w:t>
      </w:r>
    </w:p>
    <w:p w:rsidR="004C2810" w:rsidRPr="004C2810" w:rsidRDefault="004C2810" w:rsidP="004C2810">
      <w:pPr>
        <w:ind w:firstLine="708"/>
        <w:rPr>
          <w:b/>
          <w:i/>
          <w:sz w:val="22"/>
        </w:rPr>
      </w:pPr>
      <w:r w:rsidRPr="004C2810">
        <w:rPr>
          <w:b/>
          <w:i/>
          <w:sz w:val="22"/>
        </w:rPr>
        <w:t xml:space="preserve">Área 3: </w:t>
      </w:r>
      <w:r w:rsidRPr="004C2810">
        <w:rPr>
          <w:i/>
          <w:sz w:val="22"/>
        </w:rPr>
        <w:t>772454E 7802624S</w:t>
      </w:r>
    </w:p>
    <w:p w:rsidR="004C2810" w:rsidRPr="004C2810" w:rsidRDefault="004C2810" w:rsidP="004C2810">
      <w:pPr>
        <w:ind w:firstLine="708"/>
        <w:rPr>
          <w:b/>
          <w:i/>
          <w:sz w:val="22"/>
        </w:rPr>
      </w:pPr>
      <w:r w:rsidRPr="004C2810">
        <w:rPr>
          <w:b/>
          <w:i/>
          <w:sz w:val="22"/>
        </w:rPr>
        <w:t xml:space="preserve">Área 4: </w:t>
      </w:r>
      <w:r w:rsidRPr="004C2810">
        <w:rPr>
          <w:i/>
          <w:sz w:val="22"/>
        </w:rPr>
        <w:t>770073E 7803392S</w:t>
      </w:r>
    </w:p>
    <w:p w:rsidR="004C2810" w:rsidRPr="004C2810" w:rsidRDefault="004C2810" w:rsidP="004C2810">
      <w:pPr>
        <w:ind w:firstLine="708"/>
        <w:rPr>
          <w:b/>
          <w:i/>
          <w:sz w:val="22"/>
        </w:rPr>
      </w:pPr>
      <w:r w:rsidRPr="004C2810">
        <w:rPr>
          <w:b/>
          <w:i/>
          <w:sz w:val="22"/>
        </w:rPr>
        <w:t xml:space="preserve">Área 5: </w:t>
      </w:r>
      <w:r w:rsidRPr="004C2810">
        <w:rPr>
          <w:i/>
          <w:sz w:val="22"/>
        </w:rPr>
        <w:t>768568E 7812356S</w:t>
      </w:r>
    </w:p>
    <w:p w:rsidR="004D1D76" w:rsidRPr="004D1D76" w:rsidRDefault="00193B74" w:rsidP="004D1D76">
      <w:pPr>
        <w:ind w:firstLine="708"/>
        <w:rPr>
          <w:rStyle w:val="LegendaChar"/>
          <w:rFonts w:eastAsia="Calibri"/>
          <w:b w:val="0"/>
        </w:rPr>
      </w:pPr>
      <w:r w:rsidRPr="004C2810">
        <w:rPr>
          <w:szCs w:val="24"/>
        </w:rPr>
        <w:t xml:space="preserve">A </w:t>
      </w:r>
      <w:r w:rsidRPr="004C2810">
        <w:rPr>
          <w:b/>
          <w:szCs w:val="24"/>
        </w:rPr>
        <w:fldChar w:fldCharType="begin"/>
      </w:r>
      <w:r w:rsidRPr="004C2810">
        <w:rPr>
          <w:b/>
          <w:szCs w:val="24"/>
        </w:rPr>
        <w:instrText xml:space="preserve"> REF _Ref436897381 \h  \* MERGEFORMAT </w:instrText>
      </w:r>
      <w:r w:rsidRPr="004C2810">
        <w:rPr>
          <w:b/>
          <w:szCs w:val="24"/>
        </w:rPr>
      </w:r>
      <w:r w:rsidRPr="004C2810">
        <w:rPr>
          <w:b/>
          <w:szCs w:val="24"/>
        </w:rPr>
        <w:fldChar w:fldCharType="separate"/>
      </w:r>
      <w:r w:rsidR="004D1D76" w:rsidRPr="004D1D76">
        <w:rPr>
          <w:rStyle w:val="LegendaChar"/>
          <w:rFonts w:eastAsia="Calibri"/>
          <w:b w:val="0"/>
        </w:rPr>
        <w:t xml:space="preserve">Figura </w:t>
      </w:r>
      <w:r w:rsidR="004D1D76" w:rsidRPr="004D1D76">
        <w:rPr>
          <w:rStyle w:val="LegendaChar"/>
          <w:rFonts w:eastAsia="Calibri"/>
          <w:b w:val="0"/>
          <w:noProof/>
        </w:rPr>
        <w:t>15</w:t>
      </w:r>
      <w:r w:rsidRPr="004C2810">
        <w:rPr>
          <w:b/>
          <w:szCs w:val="24"/>
        </w:rPr>
        <w:fldChar w:fldCharType="end"/>
      </w:r>
      <w:r w:rsidRPr="004C2810">
        <w:rPr>
          <w:b/>
          <w:szCs w:val="24"/>
        </w:rPr>
        <w:t xml:space="preserve"> </w:t>
      </w:r>
      <w:r w:rsidRPr="004C2810">
        <w:rPr>
          <w:szCs w:val="24"/>
        </w:rPr>
        <w:t>evidencia</w:t>
      </w:r>
      <w:r w:rsidRPr="004C2810">
        <w:t xml:space="preserve"> que a sugestão das áreas foi feita respeitando-se as normas citadas anteriormente, onde se pode perceber a intensa malha hídrica existente no município, bem como a Área de Proteção Ambiental e seus respectivos distanciamentos necessários. A </w:t>
      </w:r>
      <w:r w:rsidRPr="004C2810">
        <w:rPr>
          <w:b/>
          <w:szCs w:val="24"/>
        </w:rPr>
        <w:fldChar w:fldCharType="begin"/>
      </w:r>
      <w:r w:rsidRPr="004C2810">
        <w:rPr>
          <w:b/>
          <w:szCs w:val="24"/>
        </w:rPr>
        <w:instrText xml:space="preserve"> REF _Ref436897404 \h  \* MERGEFORMAT </w:instrText>
      </w:r>
      <w:r w:rsidRPr="004C2810">
        <w:rPr>
          <w:b/>
          <w:szCs w:val="24"/>
        </w:rPr>
      </w:r>
      <w:r w:rsidRPr="004C2810">
        <w:rPr>
          <w:b/>
          <w:szCs w:val="24"/>
        </w:rPr>
        <w:fldChar w:fldCharType="separate"/>
      </w:r>
    </w:p>
    <w:p w:rsidR="00193B74" w:rsidRPr="004C2810" w:rsidRDefault="004D1D76" w:rsidP="001F7197">
      <w:pPr>
        <w:ind w:firstLine="708"/>
      </w:pPr>
      <w:r w:rsidRPr="004D1D76">
        <w:rPr>
          <w:rStyle w:val="LegendaChar"/>
          <w:rFonts w:eastAsia="Calibri"/>
          <w:b w:val="0"/>
        </w:rPr>
        <w:t>Figura</w:t>
      </w:r>
      <w:r w:rsidRPr="004D1D76">
        <w:rPr>
          <w:rStyle w:val="LegendaChar"/>
          <w:rFonts w:eastAsia="Calibri"/>
          <w:b w:val="0"/>
          <w:noProof/>
        </w:rPr>
        <w:t xml:space="preserve"> </w:t>
      </w:r>
      <w:r>
        <w:rPr>
          <w:rStyle w:val="LegendaChar"/>
          <w:rFonts w:eastAsia="Calibri"/>
          <w:b w:val="0"/>
          <w:bCs w:val="0"/>
          <w:noProof/>
        </w:rPr>
        <w:t>16</w:t>
      </w:r>
      <w:r w:rsidR="00193B74" w:rsidRPr="004C2810">
        <w:rPr>
          <w:b/>
          <w:szCs w:val="24"/>
        </w:rPr>
        <w:fldChar w:fldCharType="end"/>
      </w:r>
      <w:r w:rsidR="00193B74" w:rsidRPr="004C2810">
        <w:rPr>
          <w:b/>
          <w:szCs w:val="24"/>
        </w:rPr>
        <w:t xml:space="preserve"> </w:t>
      </w:r>
      <w:r w:rsidR="00193B74" w:rsidRPr="004C2810">
        <w:rPr>
          <w:szCs w:val="24"/>
        </w:rPr>
        <w:t>facilita</w:t>
      </w:r>
      <w:r w:rsidR="00193B74" w:rsidRPr="004C2810">
        <w:t xml:space="preserve"> a visualização dos locais das áreas sugeridas</w:t>
      </w:r>
      <w:r w:rsidR="002C1E72" w:rsidRPr="004C2810">
        <w:t>,</w:t>
      </w:r>
      <w:r w:rsidR="00193B74" w:rsidRPr="004C2810">
        <w:t xml:space="preserve"> uma vez que é apresentada com menos elementos interferindo visualmente.</w:t>
      </w:r>
    </w:p>
    <w:p w:rsidR="00193B74" w:rsidRPr="007A2B6D" w:rsidRDefault="00193B74" w:rsidP="00193B74">
      <w:pPr>
        <w:rPr>
          <w:highlight w:val="yellow"/>
        </w:rPr>
      </w:pPr>
    </w:p>
    <w:p w:rsidR="00193B74" w:rsidRPr="004C2810" w:rsidRDefault="00193B74" w:rsidP="00193B74">
      <w:r w:rsidRPr="004C2810">
        <w:br w:type="page"/>
      </w:r>
    </w:p>
    <w:p w:rsidR="00193B74" w:rsidRPr="004C2810" w:rsidRDefault="00193B74" w:rsidP="00193B74">
      <w:pPr>
        <w:sectPr w:rsidR="00193B74" w:rsidRPr="004C2810" w:rsidSect="00710E60">
          <w:footerReference w:type="default" r:id="rId39"/>
          <w:pgSz w:w="11906" w:h="16838"/>
          <w:pgMar w:top="1134" w:right="1134" w:bottom="1134" w:left="1418" w:header="708" w:footer="708" w:gutter="0"/>
          <w:cols w:space="708"/>
          <w:docGrid w:linePitch="360"/>
        </w:sectPr>
      </w:pPr>
    </w:p>
    <w:p w:rsidR="00193B74" w:rsidRPr="004C2810" w:rsidRDefault="00193B74" w:rsidP="001F7197">
      <w:pPr>
        <w:pStyle w:val="Legenda"/>
        <w:rPr>
          <w:rStyle w:val="LegendaChar"/>
          <w:rFonts w:eastAsia="Calibri"/>
          <w:b/>
          <w:bCs/>
        </w:rPr>
      </w:pPr>
      <w:bookmarkStart w:id="331" w:name="_Ref436897381"/>
      <w:bookmarkStart w:id="332" w:name="_Toc441657070"/>
      <w:bookmarkStart w:id="333" w:name="_Toc497469111"/>
      <w:r w:rsidRPr="004C2810">
        <w:rPr>
          <w:rStyle w:val="LegendaChar"/>
          <w:rFonts w:eastAsia="Calibri"/>
          <w:b/>
          <w:bCs/>
        </w:rPr>
        <w:lastRenderedPageBreak/>
        <w:t xml:space="preserve">Figura </w:t>
      </w:r>
      <w:r w:rsidRPr="004C2810">
        <w:rPr>
          <w:rStyle w:val="LegendaChar"/>
          <w:rFonts w:eastAsia="Calibri"/>
          <w:b/>
          <w:bCs/>
        </w:rPr>
        <w:fldChar w:fldCharType="begin"/>
      </w:r>
      <w:r w:rsidRPr="004C2810">
        <w:rPr>
          <w:rStyle w:val="LegendaChar"/>
          <w:rFonts w:eastAsia="Calibri"/>
          <w:b/>
          <w:bCs/>
        </w:rPr>
        <w:instrText xml:space="preserve"> SEQ Figura \* ARABIC </w:instrText>
      </w:r>
      <w:r w:rsidRPr="004C2810">
        <w:rPr>
          <w:rStyle w:val="LegendaChar"/>
          <w:rFonts w:eastAsia="Calibri"/>
          <w:b/>
          <w:bCs/>
        </w:rPr>
        <w:fldChar w:fldCharType="separate"/>
      </w:r>
      <w:r w:rsidR="004D1D76">
        <w:rPr>
          <w:rStyle w:val="LegendaChar"/>
          <w:rFonts w:eastAsia="Calibri"/>
          <w:b/>
          <w:bCs/>
          <w:noProof/>
        </w:rPr>
        <w:t>15</w:t>
      </w:r>
      <w:r w:rsidRPr="004C2810">
        <w:rPr>
          <w:rStyle w:val="LegendaChar"/>
          <w:rFonts w:eastAsia="Calibri"/>
          <w:b/>
          <w:bCs/>
        </w:rPr>
        <w:fldChar w:fldCharType="end"/>
      </w:r>
      <w:bookmarkEnd w:id="331"/>
      <w:r w:rsidRPr="004C2810">
        <w:rPr>
          <w:rStyle w:val="LegendaChar"/>
          <w:rFonts w:eastAsia="Calibri"/>
          <w:b/>
          <w:bCs/>
        </w:rPr>
        <w:t xml:space="preserve"> - Áreas sugeridas para instalação do Aterro Sanitário (AS)</w:t>
      </w:r>
      <w:bookmarkEnd w:id="332"/>
      <w:bookmarkEnd w:id="333"/>
    </w:p>
    <w:p w:rsidR="00DF4A2F" w:rsidRPr="004C2810" w:rsidRDefault="004C2810" w:rsidP="00DF4A2F">
      <w:pPr>
        <w:pStyle w:val="figura"/>
      </w:pPr>
      <w:r w:rsidRPr="004C2810">
        <w:rPr>
          <w:noProof/>
        </w:rPr>
        <w:drawing>
          <wp:inline distT="0" distB="0" distL="0" distR="0" wp14:anchorId="4BD6451C" wp14:editId="7626185D">
            <wp:extent cx="6480000" cy="4582800"/>
            <wp:effectExtent l="0" t="0" r="0" b="8255"/>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pic:cNvPicPr/>
                  </pic:nvPicPr>
                  <pic:blipFill>
                    <a:blip r:embed="rId40" cstate="screen">
                      <a:extLst>
                        <a:ext uri="{28A0092B-C50C-407E-A947-70E740481C1C}">
                          <a14:useLocalDpi xmlns:a14="http://schemas.microsoft.com/office/drawing/2010/main"/>
                        </a:ext>
                      </a:extLst>
                    </a:blip>
                    <a:stretch>
                      <a:fillRect/>
                    </a:stretch>
                  </pic:blipFill>
                  <pic:spPr>
                    <a:xfrm>
                      <a:off x="0" y="0"/>
                      <a:ext cx="6480000" cy="4582800"/>
                    </a:xfrm>
                    <a:prstGeom prst="rect">
                      <a:avLst/>
                    </a:prstGeom>
                  </pic:spPr>
                </pic:pic>
              </a:graphicData>
            </a:graphic>
          </wp:inline>
        </w:drawing>
      </w:r>
    </w:p>
    <w:p w:rsidR="001F7197" w:rsidRPr="004C2810" w:rsidRDefault="00193B74" w:rsidP="00DF4A2F">
      <w:pPr>
        <w:pStyle w:val="figura"/>
      </w:pPr>
      <w:r w:rsidRPr="004C2810">
        <w:t>Fonte: Google Earth©, SHS, 2017.</w:t>
      </w:r>
      <w:bookmarkStart w:id="334" w:name="_Ref436897404"/>
      <w:bookmarkStart w:id="335" w:name="_Toc441657071"/>
    </w:p>
    <w:p w:rsidR="00193B74" w:rsidRPr="004C2810" w:rsidRDefault="00193B74" w:rsidP="001F7197">
      <w:pPr>
        <w:pStyle w:val="Legenda"/>
        <w:rPr>
          <w:rStyle w:val="LegendaChar"/>
          <w:rFonts w:eastAsia="Calibri"/>
          <w:b/>
          <w:bCs/>
        </w:rPr>
      </w:pPr>
      <w:bookmarkStart w:id="336" w:name="_Ref487550814"/>
      <w:bookmarkStart w:id="337" w:name="_Toc497469112"/>
      <w:r w:rsidRPr="004C2810">
        <w:rPr>
          <w:rStyle w:val="LegendaChar"/>
          <w:rFonts w:eastAsia="Calibri"/>
          <w:b/>
          <w:bCs/>
        </w:rPr>
        <w:lastRenderedPageBreak/>
        <w:t xml:space="preserve">Figura </w:t>
      </w:r>
      <w:r w:rsidRPr="004C2810">
        <w:rPr>
          <w:rStyle w:val="LegendaChar"/>
          <w:rFonts w:eastAsia="Calibri"/>
          <w:b/>
          <w:bCs/>
        </w:rPr>
        <w:fldChar w:fldCharType="begin"/>
      </w:r>
      <w:r w:rsidRPr="004C2810">
        <w:rPr>
          <w:rStyle w:val="LegendaChar"/>
          <w:rFonts w:eastAsia="Calibri"/>
          <w:b/>
          <w:bCs/>
        </w:rPr>
        <w:instrText xml:space="preserve"> SEQ Figura \* ARABIC </w:instrText>
      </w:r>
      <w:r w:rsidRPr="004C2810">
        <w:rPr>
          <w:rStyle w:val="LegendaChar"/>
          <w:rFonts w:eastAsia="Calibri"/>
          <w:b/>
          <w:bCs/>
        </w:rPr>
        <w:fldChar w:fldCharType="separate"/>
      </w:r>
      <w:r w:rsidR="004D1D76">
        <w:rPr>
          <w:rStyle w:val="LegendaChar"/>
          <w:rFonts w:eastAsia="Calibri"/>
          <w:b/>
          <w:bCs/>
          <w:noProof/>
        </w:rPr>
        <w:t>16</w:t>
      </w:r>
      <w:r w:rsidRPr="004C2810">
        <w:rPr>
          <w:rStyle w:val="LegendaChar"/>
          <w:rFonts w:eastAsia="Calibri"/>
          <w:b/>
          <w:bCs/>
        </w:rPr>
        <w:fldChar w:fldCharType="end"/>
      </w:r>
      <w:bookmarkEnd w:id="334"/>
      <w:bookmarkEnd w:id="336"/>
      <w:r w:rsidRPr="004C2810">
        <w:rPr>
          <w:rStyle w:val="LegendaChar"/>
          <w:rFonts w:eastAsia="Calibri"/>
          <w:b/>
          <w:bCs/>
        </w:rPr>
        <w:t xml:space="preserve"> - Áreas sugeridas para instalação do Aterro Sanitário</w:t>
      </w:r>
      <w:bookmarkEnd w:id="335"/>
      <w:r w:rsidRPr="004C2810">
        <w:rPr>
          <w:rStyle w:val="LegendaChar"/>
          <w:rFonts w:eastAsia="Calibri"/>
          <w:b/>
          <w:bCs/>
        </w:rPr>
        <w:t xml:space="preserve"> (AS)</w:t>
      </w:r>
      <w:bookmarkEnd w:id="337"/>
    </w:p>
    <w:p w:rsidR="00DF4A2F" w:rsidRPr="004C2810" w:rsidRDefault="004C2810" w:rsidP="0081207B">
      <w:pPr>
        <w:pStyle w:val="figura"/>
      </w:pPr>
      <w:r w:rsidRPr="0081207B">
        <w:rPr>
          <w:noProof/>
        </w:rPr>
        <w:drawing>
          <wp:inline distT="0" distB="0" distL="0" distR="0" wp14:anchorId="2E8195C8" wp14:editId="3C5BE602">
            <wp:extent cx="6480000" cy="4580475"/>
            <wp:effectExtent l="0" t="0" r="0" b="0"/>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3"/>
                    <pic:cNvPicPr/>
                  </pic:nvPicPr>
                  <pic:blipFill>
                    <a:blip r:embed="rId41" cstate="screen">
                      <a:extLst>
                        <a:ext uri="{28A0092B-C50C-407E-A947-70E740481C1C}">
                          <a14:useLocalDpi xmlns:a14="http://schemas.microsoft.com/office/drawing/2010/main"/>
                        </a:ext>
                      </a:extLst>
                    </a:blip>
                    <a:stretch>
                      <a:fillRect/>
                    </a:stretch>
                  </pic:blipFill>
                  <pic:spPr>
                    <a:xfrm>
                      <a:off x="0" y="0"/>
                      <a:ext cx="6480000" cy="4580475"/>
                    </a:xfrm>
                    <a:prstGeom prst="rect">
                      <a:avLst/>
                    </a:prstGeom>
                  </pic:spPr>
                </pic:pic>
              </a:graphicData>
            </a:graphic>
          </wp:inline>
        </w:drawing>
      </w:r>
    </w:p>
    <w:p w:rsidR="00193B74" w:rsidRPr="004C2810" w:rsidRDefault="00193B74" w:rsidP="00DF4A2F">
      <w:pPr>
        <w:pStyle w:val="figura"/>
      </w:pPr>
      <w:r w:rsidRPr="004C2810">
        <w:t>Fonte: Google Earth, SHS, 2017.</w:t>
      </w:r>
    </w:p>
    <w:p w:rsidR="00193B74" w:rsidRPr="004C2810" w:rsidRDefault="00193B74" w:rsidP="00193B74">
      <w:pPr>
        <w:rPr>
          <w:lang w:eastAsia="pt-BR"/>
        </w:rPr>
        <w:sectPr w:rsidR="00193B74" w:rsidRPr="004C2810" w:rsidSect="00CE1CFD">
          <w:footerReference w:type="default" r:id="rId42"/>
          <w:pgSz w:w="16838" w:h="11906" w:orient="landscape"/>
          <w:pgMar w:top="1418" w:right="1134" w:bottom="1134" w:left="1134" w:header="709" w:footer="709" w:gutter="0"/>
          <w:cols w:space="708"/>
          <w:docGrid w:linePitch="360"/>
        </w:sectPr>
      </w:pPr>
    </w:p>
    <w:p w:rsidR="00C57ADC" w:rsidRPr="004C2810" w:rsidRDefault="00C57ADC" w:rsidP="002828C8">
      <w:pPr>
        <w:pStyle w:val="Ttulo3"/>
      </w:pPr>
      <w:bookmarkStart w:id="338" w:name="_Toc497469032"/>
      <w:r w:rsidRPr="004C2810">
        <w:lastRenderedPageBreak/>
        <w:t>Critérios para escolha da área para projeto e implantação de aterro de resíduos da construção civil e de resíduos inertes.</w:t>
      </w:r>
      <w:bookmarkEnd w:id="338"/>
    </w:p>
    <w:p w:rsidR="00193B74" w:rsidRPr="004C2810" w:rsidRDefault="00193B74" w:rsidP="00193B74">
      <w:pPr>
        <w:ind w:firstLine="708"/>
      </w:pPr>
      <w:r w:rsidRPr="004C2810">
        <w:t>Os critérios para projeto e implantação de um aterro para resíduos inertes, (classe II segundo NBR 10.004/2004), são orientados pela Resolução CONAMA nº 307/</w:t>
      </w:r>
      <w:r w:rsidRPr="004C2810">
        <w:rPr>
          <w:rFonts w:cs="Arial"/>
          <w:szCs w:val="24"/>
        </w:rPr>
        <w:t xml:space="preserve">02, </w:t>
      </w:r>
      <w:r w:rsidRPr="004C2810">
        <w:rPr>
          <w:rFonts w:eastAsia="Times New Roman" w:cs="Arial"/>
          <w:szCs w:val="24"/>
          <w:lang w:eastAsia="pt-BR"/>
        </w:rPr>
        <w:t xml:space="preserve">de 5 de julho de 2002, </w:t>
      </w:r>
      <w:r w:rsidRPr="004C2810">
        <w:rPr>
          <w:rFonts w:cs="Arial"/>
          <w:szCs w:val="24"/>
        </w:rPr>
        <w:t>que</w:t>
      </w:r>
      <w:r w:rsidRPr="004C2810">
        <w:t xml:space="preserve"> estabelece diretrizes, critérios e procedimentos para a gestão dos resíduos da construção civil. Complementada pela Resolução CONAMA nº 488, a Resolução nº307/02, em seu art. 3º, classifica os resíduos da construção civil (RCC) da seguinte forma:</w:t>
      </w:r>
    </w:p>
    <w:p w:rsidR="00193B74" w:rsidRPr="004C2810" w:rsidRDefault="00193B74" w:rsidP="00193B74">
      <w:pPr>
        <w:spacing w:line="240" w:lineRule="auto"/>
        <w:ind w:left="2268"/>
        <w:rPr>
          <w:b/>
          <w:sz w:val="20"/>
        </w:rPr>
      </w:pPr>
    </w:p>
    <w:p w:rsidR="00193B74" w:rsidRPr="004C2810" w:rsidRDefault="00193B74" w:rsidP="00193B74">
      <w:pPr>
        <w:spacing w:line="240" w:lineRule="auto"/>
        <w:ind w:left="2268"/>
        <w:rPr>
          <w:sz w:val="20"/>
        </w:rPr>
      </w:pPr>
      <w:r w:rsidRPr="004C2810">
        <w:rPr>
          <w:b/>
          <w:sz w:val="20"/>
        </w:rPr>
        <w:t>Classe A</w:t>
      </w:r>
      <w:r w:rsidRPr="004C2810">
        <w:rPr>
          <w:sz w:val="20"/>
        </w:rPr>
        <w:t xml:space="preserve"> - são os resíduos reutilizáveis ou recicláveis como agregados, tais como: a) de construção, demolição, reformas e reparos de pavimentação e de outras obras de infraestrutura, inclusive solos provenientes de terraplanagem; b) de construção, demolição, reformas e reparos de edificações: componentes cerâmicos (tijolos, blocos, telhas, placas de revestimento etc.), argamassa e concreto; c) de processo de fabricação e/ou demolição de peças pré-moldadas em concreto (blocos, tubos, meios-fios etc.) produzidas nos canteiros de obras;</w:t>
      </w:r>
    </w:p>
    <w:p w:rsidR="00193B74" w:rsidRPr="004C2810" w:rsidRDefault="00193B74" w:rsidP="00193B74">
      <w:pPr>
        <w:spacing w:line="240" w:lineRule="auto"/>
        <w:ind w:left="2268"/>
        <w:rPr>
          <w:sz w:val="20"/>
        </w:rPr>
      </w:pPr>
      <w:r w:rsidRPr="004C2810">
        <w:rPr>
          <w:b/>
          <w:sz w:val="20"/>
        </w:rPr>
        <w:t>Classe B</w:t>
      </w:r>
      <w:r w:rsidRPr="004C2810">
        <w:rPr>
          <w:sz w:val="20"/>
        </w:rPr>
        <w:t xml:space="preserve"> - são os resíduos recicláveis para outras destinações, tais como: plásticos, papel, papelão, metais, vidros, madeiras e gesso;</w:t>
      </w:r>
    </w:p>
    <w:p w:rsidR="00193B74" w:rsidRPr="004C2810" w:rsidRDefault="00193B74" w:rsidP="00193B74">
      <w:pPr>
        <w:spacing w:line="240" w:lineRule="auto"/>
        <w:ind w:left="2268"/>
        <w:rPr>
          <w:sz w:val="20"/>
        </w:rPr>
      </w:pPr>
      <w:r w:rsidRPr="004C2810">
        <w:rPr>
          <w:b/>
          <w:sz w:val="20"/>
        </w:rPr>
        <w:t>Classe C</w:t>
      </w:r>
      <w:r w:rsidRPr="004C2810">
        <w:rPr>
          <w:sz w:val="20"/>
        </w:rPr>
        <w:t xml:space="preserve"> - </w:t>
      </w:r>
      <w:r w:rsidRPr="004C2810">
        <w:rPr>
          <w:sz w:val="20"/>
          <w:szCs w:val="20"/>
        </w:rPr>
        <w:t>são os resíduos para os quais não foram desenvolvidas tecnologias ou aplicações economicamente viáveis que permitam a sua reciclagem ou recuperação;</w:t>
      </w:r>
    </w:p>
    <w:p w:rsidR="00193B74" w:rsidRPr="004C2810" w:rsidRDefault="00193B74" w:rsidP="00193B74">
      <w:pPr>
        <w:spacing w:line="240" w:lineRule="auto"/>
        <w:ind w:left="2268"/>
        <w:rPr>
          <w:sz w:val="18"/>
        </w:rPr>
      </w:pPr>
      <w:r w:rsidRPr="004C2810">
        <w:rPr>
          <w:b/>
          <w:sz w:val="20"/>
        </w:rPr>
        <w:t>Classe D</w:t>
      </w:r>
      <w:r w:rsidRPr="004C2810">
        <w:rPr>
          <w:sz w:val="20"/>
        </w:rPr>
        <w:t>: são resíduos perigosos oriundos do processo de construção, tais como tintas, solventes, óleos e outros ou aqueles contaminados ou prejudiciais à saúde oriundos de demolições, reformas e reparos de clínicas radiológicas, instalações industriais e outros, bem como telhas e demais objetos e materiais que contenham amianto ou outros produtos nocivos à saúde.</w:t>
      </w:r>
    </w:p>
    <w:p w:rsidR="00193B74" w:rsidRPr="004C2810" w:rsidRDefault="00193B74" w:rsidP="00193B74">
      <w:pPr>
        <w:spacing w:line="240" w:lineRule="auto"/>
        <w:ind w:left="2268"/>
        <w:rPr>
          <w:sz w:val="16"/>
        </w:rPr>
      </w:pPr>
    </w:p>
    <w:p w:rsidR="00193B74" w:rsidRPr="004C2810" w:rsidRDefault="00193B74" w:rsidP="00193B74">
      <w:pPr>
        <w:ind w:firstLine="708"/>
        <w:rPr>
          <w:szCs w:val="24"/>
        </w:rPr>
      </w:pPr>
      <w:r w:rsidRPr="004C2810">
        <w:rPr>
          <w:szCs w:val="24"/>
        </w:rPr>
        <w:t xml:space="preserve">A Associação Brasileira de Normas Técnicas, por meio da NBR 10.004/2004, classifica os resíduos quanto aos riscos potenciais ao meio ambiente e à saúde pública, indicando quais devem ter manuseio e destinação mais rigorosamente controlados. De forma sucinta tem-se: </w:t>
      </w:r>
    </w:p>
    <w:p w:rsidR="00193B74" w:rsidRPr="004C2810" w:rsidRDefault="00193B74" w:rsidP="00A87269">
      <w:pPr>
        <w:numPr>
          <w:ilvl w:val="0"/>
          <w:numId w:val="37"/>
        </w:numPr>
        <w:spacing w:before="240" w:after="240" w:line="240" w:lineRule="auto"/>
        <w:contextualSpacing/>
        <w:jc w:val="left"/>
        <w:rPr>
          <w:rFonts w:eastAsia="Times New Roman" w:cs="Arial"/>
          <w:sz w:val="22"/>
          <w:szCs w:val="20"/>
          <w:lang w:eastAsia="pt-BR"/>
        </w:rPr>
      </w:pPr>
      <w:r w:rsidRPr="004C2810">
        <w:rPr>
          <w:rFonts w:eastAsia="Times New Roman" w:cs="Arial"/>
          <w:sz w:val="22"/>
          <w:szCs w:val="20"/>
          <w:lang w:eastAsia="pt-BR"/>
        </w:rPr>
        <w:t>Resíduos Classe I: perigosos;</w:t>
      </w:r>
    </w:p>
    <w:p w:rsidR="00193B74" w:rsidRPr="004C2810" w:rsidRDefault="00193B74" w:rsidP="00A87269">
      <w:pPr>
        <w:numPr>
          <w:ilvl w:val="0"/>
          <w:numId w:val="37"/>
        </w:numPr>
        <w:spacing w:before="240" w:after="240" w:line="240" w:lineRule="auto"/>
        <w:contextualSpacing/>
        <w:jc w:val="left"/>
        <w:rPr>
          <w:rFonts w:eastAsia="Times New Roman" w:cs="Arial"/>
          <w:sz w:val="22"/>
          <w:szCs w:val="20"/>
          <w:lang w:eastAsia="pt-BR"/>
        </w:rPr>
      </w:pPr>
      <w:r w:rsidRPr="004C2810">
        <w:rPr>
          <w:rFonts w:eastAsia="Times New Roman" w:cs="Arial"/>
          <w:sz w:val="22"/>
          <w:szCs w:val="20"/>
          <w:lang w:eastAsia="pt-BR"/>
        </w:rPr>
        <w:t>Resíduos Classe II: não perigosos:</w:t>
      </w:r>
    </w:p>
    <w:p w:rsidR="00193B74" w:rsidRPr="004C2810" w:rsidRDefault="00193B74" w:rsidP="00A87269">
      <w:pPr>
        <w:numPr>
          <w:ilvl w:val="1"/>
          <w:numId w:val="37"/>
        </w:numPr>
        <w:spacing w:before="240" w:after="240" w:line="240" w:lineRule="auto"/>
        <w:contextualSpacing/>
        <w:jc w:val="left"/>
        <w:rPr>
          <w:rFonts w:eastAsia="Times New Roman" w:cs="Arial"/>
          <w:sz w:val="22"/>
          <w:szCs w:val="20"/>
          <w:lang w:eastAsia="pt-BR"/>
        </w:rPr>
      </w:pPr>
      <w:r w:rsidRPr="004C2810">
        <w:rPr>
          <w:rFonts w:eastAsia="Times New Roman" w:cs="Arial"/>
          <w:sz w:val="22"/>
          <w:szCs w:val="20"/>
          <w:lang w:eastAsia="pt-BR"/>
        </w:rPr>
        <w:t xml:space="preserve">Resíduos Classe II A: não inertes; </w:t>
      </w:r>
    </w:p>
    <w:p w:rsidR="00193B74" w:rsidRPr="004C2810" w:rsidRDefault="00193B74" w:rsidP="00A87269">
      <w:pPr>
        <w:numPr>
          <w:ilvl w:val="1"/>
          <w:numId w:val="37"/>
        </w:numPr>
        <w:spacing w:before="240" w:after="240" w:line="240" w:lineRule="auto"/>
        <w:contextualSpacing/>
        <w:jc w:val="left"/>
        <w:rPr>
          <w:rFonts w:eastAsia="Times New Roman" w:cs="Arial"/>
          <w:i/>
          <w:sz w:val="22"/>
          <w:szCs w:val="20"/>
          <w:lang w:eastAsia="pt-BR"/>
        </w:rPr>
      </w:pPr>
      <w:r w:rsidRPr="004C2810">
        <w:rPr>
          <w:rFonts w:eastAsia="Times New Roman" w:cs="Arial"/>
          <w:i/>
          <w:sz w:val="22"/>
          <w:szCs w:val="20"/>
          <w:lang w:eastAsia="pt-BR"/>
        </w:rPr>
        <w:t>Resíduos Classe II B: inertes.</w:t>
      </w:r>
    </w:p>
    <w:p w:rsidR="00193B74" w:rsidRPr="004C2810" w:rsidRDefault="00193B74" w:rsidP="00193B74">
      <w:pPr>
        <w:ind w:firstLine="708"/>
        <w:rPr>
          <w:szCs w:val="24"/>
        </w:rPr>
      </w:pPr>
      <w:r w:rsidRPr="004C2810">
        <w:rPr>
          <w:szCs w:val="24"/>
        </w:rPr>
        <w:t>Maia et al (2009) cita</w:t>
      </w:r>
      <w:r w:rsidR="002C1E72" w:rsidRPr="004C2810">
        <w:rPr>
          <w:szCs w:val="24"/>
        </w:rPr>
        <w:t>m</w:t>
      </w:r>
      <w:r w:rsidRPr="004C2810">
        <w:rPr>
          <w:szCs w:val="24"/>
        </w:rPr>
        <w:t xml:space="preserve"> que os resíduos da construção civil pertencem à Classe II B– inertes (classificação segundo NBR). Porém, devido ao caráter específico de cada obra e à composição dos materiais, podem ser gerados nos canteiros de obras resíduos que se enquadrem igualmente nas Classes I e II A, perigosos e não inertes, respectivamente. Este fato, juntamente com as especificações da Resolução CONAMA nº 307/02, demanda, anteriormente a um aterro de resíduos inertes, a instalação de </w:t>
      </w:r>
      <w:r w:rsidRPr="004C2810">
        <w:rPr>
          <w:szCs w:val="24"/>
        </w:rPr>
        <w:lastRenderedPageBreak/>
        <w:t>uma área de transbordo e triagem de resíduos da construção civil e resíduos volumosos (ATT), o que obriga os gestores a definir a localidade da ATT, podendo ser próxima, em conjunto ou distante do aterro.</w:t>
      </w:r>
    </w:p>
    <w:p w:rsidR="00193B74" w:rsidRPr="004C2810" w:rsidRDefault="00193B74" w:rsidP="00193B74">
      <w:pPr>
        <w:ind w:firstLine="708"/>
      </w:pPr>
      <w:r w:rsidRPr="004C2810">
        <w:t>Após definida a área necessária para o aterro, será então preciso seguir alguns critérios para o projeto e implantação do mesmo, previstos nas leis e normas técnicas listadas a seguir:</w:t>
      </w:r>
    </w:p>
    <w:p w:rsidR="00193B74" w:rsidRPr="004C2810" w:rsidRDefault="00193B74" w:rsidP="00A87269">
      <w:pPr>
        <w:numPr>
          <w:ilvl w:val="0"/>
          <w:numId w:val="38"/>
        </w:numPr>
        <w:spacing w:after="200" w:line="276" w:lineRule="auto"/>
        <w:ind w:left="1276"/>
        <w:contextualSpacing/>
        <w:rPr>
          <w:rFonts w:eastAsia="Times New Roman" w:cs="Arial"/>
          <w:sz w:val="22"/>
          <w:szCs w:val="20"/>
          <w:lang w:eastAsia="pt-BR"/>
        </w:rPr>
      </w:pPr>
      <w:r w:rsidRPr="004C2810">
        <w:rPr>
          <w:rFonts w:eastAsia="Times New Roman" w:cs="Arial"/>
          <w:sz w:val="22"/>
          <w:szCs w:val="20"/>
          <w:lang w:eastAsia="pt-BR"/>
        </w:rPr>
        <w:t>Resolução CONAMA nº 307, alterada pelas Resoluções nº 448/12, 431/11 e 348/04: estabelece diretrizes, critérios e procedimentos para a gestão dos resíduos da construção civil.</w:t>
      </w:r>
    </w:p>
    <w:p w:rsidR="00193B74" w:rsidRPr="004C2810" w:rsidRDefault="00193B74" w:rsidP="00A87269">
      <w:pPr>
        <w:numPr>
          <w:ilvl w:val="0"/>
          <w:numId w:val="38"/>
        </w:numPr>
        <w:spacing w:after="200" w:line="276" w:lineRule="auto"/>
        <w:ind w:left="1276"/>
        <w:contextualSpacing/>
        <w:rPr>
          <w:rFonts w:eastAsia="Times New Roman" w:cs="Arial"/>
          <w:sz w:val="22"/>
          <w:szCs w:val="20"/>
          <w:lang w:eastAsia="pt-BR"/>
        </w:rPr>
      </w:pPr>
      <w:r w:rsidRPr="004C2810">
        <w:rPr>
          <w:rFonts w:eastAsia="Times New Roman" w:cs="Arial"/>
          <w:sz w:val="22"/>
          <w:szCs w:val="20"/>
          <w:lang w:eastAsia="pt-BR"/>
        </w:rPr>
        <w:t>Lei Estadual nº 18.031, de 12 de janeiro de 2009: dispõe sobre a Política Estadual de Resíduos Sólidos.</w:t>
      </w:r>
    </w:p>
    <w:p w:rsidR="00193B74" w:rsidRPr="004C2810" w:rsidRDefault="00193B74" w:rsidP="00A87269">
      <w:pPr>
        <w:numPr>
          <w:ilvl w:val="0"/>
          <w:numId w:val="38"/>
        </w:numPr>
        <w:spacing w:after="200" w:line="276" w:lineRule="auto"/>
        <w:ind w:left="1276"/>
        <w:contextualSpacing/>
        <w:rPr>
          <w:rFonts w:eastAsia="Times New Roman" w:cs="Arial"/>
          <w:sz w:val="22"/>
          <w:szCs w:val="20"/>
          <w:lang w:eastAsia="pt-BR"/>
        </w:rPr>
      </w:pPr>
      <w:r w:rsidRPr="004C2810">
        <w:rPr>
          <w:rFonts w:eastAsia="Times New Roman" w:cs="Arial"/>
          <w:sz w:val="22"/>
          <w:szCs w:val="20"/>
          <w:lang w:eastAsia="pt-BR"/>
        </w:rPr>
        <w:t xml:space="preserve">NBR 10.004/2004 – Resíduos Sólidos – Classificação. </w:t>
      </w:r>
    </w:p>
    <w:p w:rsidR="00193B74" w:rsidRPr="004C2810" w:rsidRDefault="00193B74" w:rsidP="00A87269">
      <w:pPr>
        <w:numPr>
          <w:ilvl w:val="0"/>
          <w:numId w:val="38"/>
        </w:numPr>
        <w:spacing w:after="200" w:line="276" w:lineRule="auto"/>
        <w:ind w:left="1276"/>
        <w:contextualSpacing/>
        <w:rPr>
          <w:rFonts w:eastAsia="Times New Roman" w:cs="Arial"/>
          <w:sz w:val="22"/>
          <w:szCs w:val="20"/>
          <w:lang w:eastAsia="pt-BR"/>
        </w:rPr>
      </w:pPr>
      <w:r w:rsidRPr="004C2810">
        <w:rPr>
          <w:rFonts w:eastAsia="Times New Roman" w:cs="Arial"/>
          <w:sz w:val="22"/>
          <w:szCs w:val="20"/>
          <w:lang w:eastAsia="pt-BR"/>
        </w:rPr>
        <w:t xml:space="preserve"> NBR 8.419/1992 – Apresentação de projetos de aterros sanitários de resíduos sólidos urbanos.</w:t>
      </w:r>
    </w:p>
    <w:p w:rsidR="00193B74" w:rsidRPr="004C2810" w:rsidRDefault="00193B74" w:rsidP="00A87269">
      <w:pPr>
        <w:numPr>
          <w:ilvl w:val="0"/>
          <w:numId w:val="38"/>
        </w:numPr>
        <w:spacing w:after="200" w:line="276" w:lineRule="auto"/>
        <w:ind w:left="1276"/>
        <w:contextualSpacing/>
        <w:rPr>
          <w:rFonts w:eastAsia="Times New Roman" w:cs="Arial"/>
          <w:sz w:val="22"/>
          <w:szCs w:val="20"/>
          <w:lang w:eastAsia="pt-BR"/>
        </w:rPr>
      </w:pPr>
      <w:r w:rsidRPr="004C2810">
        <w:rPr>
          <w:rFonts w:eastAsia="Times New Roman" w:cs="Arial"/>
          <w:sz w:val="22"/>
          <w:szCs w:val="20"/>
          <w:lang w:eastAsia="pt-BR"/>
        </w:rPr>
        <w:t>NBR 15.113/2004 – Resíduos sólidos da construção civil e resíduos inertes – Aterros – Diretrizes para projeto, implantação e operação.</w:t>
      </w:r>
    </w:p>
    <w:p w:rsidR="00193B74" w:rsidRPr="004C2810" w:rsidRDefault="00193B74" w:rsidP="00A87269">
      <w:pPr>
        <w:numPr>
          <w:ilvl w:val="0"/>
          <w:numId w:val="38"/>
        </w:numPr>
        <w:spacing w:after="200" w:line="276" w:lineRule="auto"/>
        <w:ind w:left="1276"/>
        <w:contextualSpacing/>
        <w:rPr>
          <w:rFonts w:eastAsia="Times New Roman" w:cs="Arial"/>
          <w:sz w:val="22"/>
          <w:szCs w:val="20"/>
          <w:lang w:eastAsia="pt-BR"/>
        </w:rPr>
      </w:pPr>
      <w:r w:rsidRPr="004C2810">
        <w:rPr>
          <w:rFonts w:eastAsia="Times New Roman" w:cs="Arial"/>
          <w:sz w:val="22"/>
          <w:szCs w:val="20"/>
          <w:lang w:eastAsia="pt-BR"/>
        </w:rPr>
        <w:t>NBR 13896/97 Aterros de resíduos não perigosos - Critérios para projeto, implantação e operação.</w:t>
      </w:r>
    </w:p>
    <w:p w:rsidR="00193B74" w:rsidRPr="004C2810" w:rsidRDefault="00193B74" w:rsidP="00A87269">
      <w:pPr>
        <w:numPr>
          <w:ilvl w:val="0"/>
          <w:numId w:val="38"/>
        </w:numPr>
        <w:spacing w:after="200" w:line="276" w:lineRule="auto"/>
        <w:ind w:left="1276"/>
        <w:contextualSpacing/>
        <w:rPr>
          <w:rFonts w:eastAsia="Times New Roman" w:cs="Arial"/>
          <w:sz w:val="22"/>
          <w:szCs w:val="20"/>
          <w:lang w:eastAsia="pt-BR"/>
        </w:rPr>
      </w:pPr>
      <w:r w:rsidRPr="004C2810">
        <w:rPr>
          <w:rFonts w:eastAsia="Times New Roman" w:cs="Arial"/>
          <w:sz w:val="22"/>
          <w:szCs w:val="20"/>
          <w:lang w:eastAsia="pt-BR"/>
        </w:rPr>
        <w:t>NBR 15113/2004 - Resíduos sólidos da construção civil e resíduos inertes – Aterros – Diretrizes para projeto, implantação e operação.</w:t>
      </w:r>
    </w:p>
    <w:p w:rsidR="00193B74" w:rsidRPr="004C2810" w:rsidRDefault="00193B74" w:rsidP="00193B74">
      <w:pPr>
        <w:spacing w:after="200" w:line="276" w:lineRule="auto"/>
        <w:ind w:left="1276"/>
        <w:contextualSpacing/>
        <w:jc w:val="left"/>
        <w:rPr>
          <w:rFonts w:eastAsia="Times New Roman" w:cs="Arial"/>
          <w:sz w:val="22"/>
          <w:szCs w:val="20"/>
          <w:lang w:eastAsia="pt-BR"/>
        </w:rPr>
      </w:pPr>
    </w:p>
    <w:p w:rsidR="00193B74" w:rsidRPr="004C2810" w:rsidRDefault="00193B74" w:rsidP="00193B74">
      <w:pPr>
        <w:ind w:firstLine="708"/>
      </w:pPr>
      <w:r w:rsidRPr="004C2810">
        <w:t>A Resolução CONAMA nº 307/02, alterada pelas Resoluções nº 448/12, 431/11 e 348/04 define como critérios para a área a ser utilizada para aterros de inertes:</w:t>
      </w:r>
    </w:p>
    <w:p w:rsidR="00193B74" w:rsidRPr="004C2810" w:rsidRDefault="00193B74" w:rsidP="00193B74">
      <w:pPr>
        <w:spacing w:line="240" w:lineRule="auto"/>
        <w:ind w:left="1276" w:hanging="1"/>
        <w:rPr>
          <w:sz w:val="20"/>
        </w:rPr>
      </w:pPr>
      <w:r w:rsidRPr="004C2810">
        <w:rPr>
          <w:sz w:val="20"/>
        </w:rPr>
        <w:t>“... área tecnicamente adequada onde serão empregadas técnicas de destinação de resíduos da construção civil classe A no solo, visando a reservação de materiais segregados de forma a possibilitar seu uso futuro ou futura utilização da área, utilizando princípios de engenharia para confiná-los ao menor volume possível, sem causar danos à saúde pública e ao meio ambiente e devidamente licenciado pelo órgão ambiental competente”.</w:t>
      </w:r>
    </w:p>
    <w:p w:rsidR="00193B74" w:rsidRPr="004C2810" w:rsidRDefault="00193B74" w:rsidP="00193B74">
      <w:pPr>
        <w:spacing w:line="240" w:lineRule="auto"/>
        <w:ind w:left="2268" w:hanging="1"/>
        <w:rPr>
          <w:sz w:val="20"/>
        </w:rPr>
      </w:pPr>
    </w:p>
    <w:p w:rsidR="00193B74" w:rsidRPr="004C2810" w:rsidRDefault="00193B74" w:rsidP="002C1E72">
      <w:pPr>
        <w:ind w:firstLine="708"/>
      </w:pPr>
      <w:r w:rsidRPr="004C2810">
        <w:t>A NBR 15113/2004 - Resíduos sólidos da construção civil e resíduos inertes – Aterros – Diretrizes para projeto, implantação e operação, a qual dispõe que para a avaliação da adequabilidade de um local os seguintes aspectos devem ser observados: a) geologia e tipos de solos existentes; b) hidrologia; c) passivo ambiental; d) vegetação; e) vias de acesso; f) área e volume disponíveis e vida útil; g) distância de núcleos populacionais.</w:t>
      </w:r>
    </w:p>
    <w:p w:rsidR="00193B74" w:rsidRPr="004C2810" w:rsidRDefault="00193B74" w:rsidP="002C1E72">
      <w:pPr>
        <w:ind w:firstLine="708"/>
      </w:pPr>
      <w:r w:rsidRPr="004C2810">
        <w:t>A NBR 13896/97 – Aterros de resíduos não perigosos - Critérios para Projeto, Implantação e Operação - procedimento propõe algumas considerações indispensáveis, entre as quais se destacam:</w:t>
      </w:r>
    </w:p>
    <w:p w:rsidR="00193B74" w:rsidRPr="004C2810" w:rsidRDefault="00193B74" w:rsidP="00A87269">
      <w:pPr>
        <w:numPr>
          <w:ilvl w:val="0"/>
          <w:numId w:val="39"/>
        </w:numPr>
        <w:spacing w:after="200" w:line="276" w:lineRule="auto"/>
        <w:contextualSpacing/>
        <w:jc w:val="left"/>
        <w:rPr>
          <w:rFonts w:eastAsia="Times New Roman" w:cs="Arial"/>
          <w:szCs w:val="20"/>
          <w:lang w:eastAsia="pt-BR"/>
        </w:rPr>
      </w:pPr>
      <w:r w:rsidRPr="004C2810">
        <w:rPr>
          <w:rFonts w:eastAsia="Times New Roman" w:cs="Arial"/>
          <w:szCs w:val="20"/>
          <w:lang w:eastAsia="pt-BR"/>
        </w:rPr>
        <w:lastRenderedPageBreak/>
        <w:t>Critérios para localização:</w:t>
      </w:r>
    </w:p>
    <w:p w:rsidR="00193B74" w:rsidRPr="004C2810" w:rsidRDefault="00193B74" w:rsidP="00A87269">
      <w:pPr>
        <w:numPr>
          <w:ilvl w:val="1"/>
          <w:numId w:val="39"/>
        </w:numPr>
        <w:spacing w:before="240" w:after="240" w:line="240" w:lineRule="auto"/>
        <w:contextualSpacing/>
        <w:jc w:val="left"/>
        <w:rPr>
          <w:rFonts w:eastAsia="Times New Roman" w:cs="Arial"/>
          <w:sz w:val="22"/>
          <w:szCs w:val="20"/>
          <w:lang w:eastAsia="pt-BR"/>
        </w:rPr>
      </w:pPr>
      <w:r w:rsidRPr="004C2810">
        <w:rPr>
          <w:rFonts w:eastAsia="Times New Roman" w:cs="Arial"/>
          <w:szCs w:val="20"/>
          <w:lang w:eastAsia="pt-BR"/>
        </w:rPr>
        <w:t>O local utilizado para a implantação de aterros de resíduos da construção civil classe A e resíduos inertes deve ser tal que:</w:t>
      </w:r>
    </w:p>
    <w:p w:rsidR="00193B74" w:rsidRPr="004C2810" w:rsidRDefault="00193B74" w:rsidP="00193B74">
      <w:pPr>
        <w:spacing w:before="240" w:after="240" w:line="240" w:lineRule="auto"/>
        <w:ind w:left="1440"/>
        <w:contextualSpacing/>
        <w:jc w:val="left"/>
        <w:rPr>
          <w:rFonts w:eastAsia="Times New Roman" w:cs="Arial"/>
          <w:sz w:val="22"/>
          <w:szCs w:val="20"/>
          <w:lang w:eastAsia="pt-BR"/>
        </w:rPr>
      </w:pPr>
    </w:p>
    <w:p w:rsidR="00193B74" w:rsidRPr="004C2810" w:rsidRDefault="00193B74" w:rsidP="00193B74">
      <w:pPr>
        <w:spacing w:line="240" w:lineRule="auto"/>
        <w:ind w:left="1418"/>
        <w:rPr>
          <w:sz w:val="20"/>
        </w:rPr>
      </w:pPr>
      <w:r w:rsidRPr="004C2810">
        <w:rPr>
          <w:sz w:val="20"/>
        </w:rPr>
        <w:t>a) O impacto ambiental a ser causado pela instalação do aterro seja minimizado.</w:t>
      </w:r>
    </w:p>
    <w:p w:rsidR="00193B74" w:rsidRPr="004C2810" w:rsidRDefault="00193B74" w:rsidP="00193B74">
      <w:pPr>
        <w:spacing w:line="240" w:lineRule="auto"/>
        <w:ind w:left="1418"/>
        <w:rPr>
          <w:sz w:val="20"/>
        </w:rPr>
      </w:pPr>
      <w:r w:rsidRPr="004C2810">
        <w:rPr>
          <w:sz w:val="20"/>
        </w:rPr>
        <w:t>b) A aceitação da instalação pela população seja maximizada.</w:t>
      </w:r>
    </w:p>
    <w:p w:rsidR="00193B74" w:rsidRPr="004C2810" w:rsidRDefault="00193B74" w:rsidP="00193B74">
      <w:pPr>
        <w:spacing w:line="240" w:lineRule="auto"/>
        <w:ind w:left="1418"/>
        <w:rPr>
          <w:sz w:val="20"/>
        </w:rPr>
      </w:pPr>
      <w:r w:rsidRPr="004C2810">
        <w:rPr>
          <w:sz w:val="20"/>
        </w:rPr>
        <w:t>c) Esteja de acordo com o zoneamento da região.</w:t>
      </w:r>
    </w:p>
    <w:p w:rsidR="00193B74" w:rsidRPr="004C2810" w:rsidRDefault="00193B74" w:rsidP="00193B74">
      <w:pPr>
        <w:spacing w:line="240" w:lineRule="auto"/>
        <w:ind w:left="1418"/>
        <w:rPr>
          <w:sz w:val="20"/>
        </w:rPr>
      </w:pPr>
      <w:r w:rsidRPr="004C2810">
        <w:rPr>
          <w:sz w:val="20"/>
        </w:rPr>
        <w:t>d) Possa ser utilizado por um longo espaço de tempo, necessitando apenas de um mínimo de obras para início da operação.</w:t>
      </w:r>
    </w:p>
    <w:p w:rsidR="00193B74" w:rsidRPr="004C2810" w:rsidRDefault="00193B74" w:rsidP="00193B74">
      <w:pPr>
        <w:ind w:left="720"/>
        <w:contextualSpacing/>
        <w:rPr>
          <w:rFonts w:eastAsia="Times New Roman" w:cs="Arial"/>
          <w:szCs w:val="20"/>
          <w:lang w:eastAsia="pt-BR"/>
        </w:rPr>
      </w:pPr>
    </w:p>
    <w:p w:rsidR="00193B74" w:rsidRPr="004C2810" w:rsidRDefault="00193B74" w:rsidP="00A87269">
      <w:pPr>
        <w:numPr>
          <w:ilvl w:val="0"/>
          <w:numId w:val="39"/>
        </w:numPr>
        <w:spacing w:after="200" w:line="276" w:lineRule="auto"/>
        <w:contextualSpacing/>
        <w:jc w:val="left"/>
        <w:rPr>
          <w:rFonts w:eastAsia="Times New Roman" w:cs="Arial"/>
          <w:szCs w:val="20"/>
          <w:lang w:eastAsia="pt-BR"/>
        </w:rPr>
      </w:pPr>
      <w:r w:rsidRPr="004C2810">
        <w:rPr>
          <w:rFonts w:eastAsia="Times New Roman" w:cs="Arial"/>
          <w:szCs w:val="20"/>
          <w:lang w:eastAsia="pt-BR"/>
        </w:rPr>
        <w:t>Parâmetros técnicos a serem avaliados:</w:t>
      </w:r>
    </w:p>
    <w:p w:rsidR="00193B74" w:rsidRPr="004C2810" w:rsidRDefault="00193B74" w:rsidP="00193B74">
      <w:pPr>
        <w:spacing w:after="200" w:line="276" w:lineRule="auto"/>
        <w:ind w:left="720"/>
        <w:contextualSpacing/>
        <w:jc w:val="left"/>
        <w:rPr>
          <w:rFonts w:eastAsia="Times New Roman" w:cs="Arial"/>
          <w:szCs w:val="20"/>
          <w:lang w:eastAsia="pt-BR"/>
        </w:rPr>
      </w:pPr>
    </w:p>
    <w:p w:rsidR="00193B74" w:rsidRPr="004C2810" w:rsidRDefault="00193B74" w:rsidP="00193B74">
      <w:pPr>
        <w:ind w:left="1134"/>
        <w:rPr>
          <w:sz w:val="20"/>
        </w:rPr>
      </w:pPr>
      <w:r w:rsidRPr="004C2810">
        <w:rPr>
          <w:sz w:val="20"/>
        </w:rPr>
        <w:t>a) Topografia- característica de fator determinante na escolha do método construtivo e nas obras de terraplanagem para construção e instalação. Recomenda-se que sejam adotados locais com declividade superior a 1% e inferior a 30%;</w:t>
      </w:r>
    </w:p>
    <w:p w:rsidR="00193B74" w:rsidRPr="004C2810" w:rsidRDefault="00193B74" w:rsidP="00193B74">
      <w:pPr>
        <w:ind w:left="1134"/>
        <w:rPr>
          <w:sz w:val="20"/>
        </w:rPr>
      </w:pPr>
      <w:r w:rsidRPr="004C2810">
        <w:rPr>
          <w:sz w:val="20"/>
        </w:rPr>
        <w:t>b) Geologia e tipos de solos existentes- tais indicações são importantes na determinação da capacidade de depuração do solo e da velocidade de infiltração. Considera-se desejável a existência, no local, de um depósito natural extenso e homogêneos de materiais com coeficiente de permeabilidade inferior a 10</w:t>
      </w:r>
      <w:r w:rsidRPr="004C2810">
        <w:rPr>
          <w:sz w:val="20"/>
          <w:vertAlign w:val="superscript"/>
        </w:rPr>
        <w:t>-5</w:t>
      </w:r>
      <w:r w:rsidRPr="004C2810">
        <w:rPr>
          <w:sz w:val="20"/>
        </w:rPr>
        <w:t>cm/s e uma zona não saturada com espessura superior a 3,0m;</w:t>
      </w:r>
    </w:p>
    <w:p w:rsidR="00193B74" w:rsidRPr="004C2810" w:rsidRDefault="00193B74" w:rsidP="00193B74">
      <w:pPr>
        <w:ind w:left="1134"/>
        <w:rPr>
          <w:sz w:val="20"/>
        </w:rPr>
      </w:pPr>
      <w:r w:rsidRPr="004C2810">
        <w:rPr>
          <w:sz w:val="20"/>
        </w:rPr>
        <w:t>c) Recursos hídricos - deve ser avaliada a possível influência do aterro na qualidade e no uso das águas superficiais e subterrâneas próximas. O aterro deve ser localizado a uma distância mínima de 200m de qualquer coleção hídrica ou curso de água;</w:t>
      </w:r>
    </w:p>
    <w:p w:rsidR="00193B74" w:rsidRPr="004C2810" w:rsidRDefault="00193B74" w:rsidP="00193B74">
      <w:pPr>
        <w:ind w:left="1134"/>
        <w:rPr>
          <w:sz w:val="20"/>
        </w:rPr>
      </w:pPr>
      <w:r w:rsidRPr="004C2810">
        <w:rPr>
          <w:sz w:val="20"/>
        </w:rPr>
        <w:t>d) Vegetação - o estudo macroscópico da vegetação é importante, uma vez que ela pode atuar favoravelmente na escolha de uma área quanto aos aspectos de redução do fenômeno de erosão, da formação de poeira e transporte de odores;</w:t>
      </w:r>
    </w:p>
    <w:p w:rsidR="00193B74" w:rsidRPr="004C2810" w:rsidRDefault="00193B74" w:rsidP="00193B74">
      <w:pPr>
        <w:ind w:left="1134"/>
        <w:rPr>
          <w:sz w:val="20"/>
        </w:rPr>
      </w:pPr>
      <w:r w:rsidRPr="004C2810">
        <w:rPr>
          <w:sz w:val="20"/>
        </w:rPr>
        <w:t>e) acessos - fator de evidente importância em um aterro, uma vez que são utilizados durante a sua operação;</w:t>
      </w:r>
    </w:p>
    <w:p w:rsidR="00193B74" w:rsidRPr="004C2810" w:rsidRDefault="00193B74" w:rsidP="00193B74">
      <w:pPr>
        <w:ind w:left="1134"/>
        <w:rPr>
          <w:sz w:val="20"/>
        </w:rPr>
      </w:pPr>
      <w:r w:rsidRPr="004C2810">
        <w:rPr>
          <w:sz w:val="20"/>
        </w:rPr>
        <w:t>f) Tamanho disponível e vida útil - em um projeto estes fatores encontram-se inter-relacionados e recomenda-se a construção de aterros com vida útil mínima de 10 anos;</w:t>
      </w:r>
    </w:p>
    <w:p w:rsidR="00193B74" w:rsidRPr="004C2810" w:rsidRDefault="00193B74" w:rsidP="00193B74">
      <w:pPr>
        <w:ind w:left="1134"/>
        <w:rPr>
          <w:sz w:val="20"/>
        </w:rPr>
      </w:pPr>
      <w:r w:rsidRPr="004C2810">
        <w:rPr>
          <w:sz w:val="20"/>
        </w:rPr>
        <w:t>g) Distância mínima a núcleos populacionais - deve ser avaliada a distância do limite da área útil do aterro a núcleos populacionais. Recomenda-se que esta distância seja superior a 500 m.</w:t>
      </w:r>
    </w:p>
    <w:p w:rsidR="00193B74" w:rsidRPr="004C2810" w:rsidRDefault="00193B74" w:rsidP="00193B74">
      <w:pPr>
        <w:spacing w:before="240" w:after="240"/>
        <w:ind w:firstLine="708"/>
        <w:rPr>
          <w:sz w:val="22"/>
        </w:rPr>
      </w:pPr>
      <w:r w:rsidRPr="004C2810">
        <w:rPr>
          <w:sz w:val="22"/>
        </w:rPr>
        <w:t>Em qualquer caso, obrigatoriamente os seguintes critérios devem ser observados:</w:t>
      </w:r>
    </w:p>
    <w:p w:rsidR="00193B74" w:rsidRPr="004C2810" w:rsidRDefault="00193B74" w:rsidP="00193B74">
      <w:pPr>
        <w:ind w:left="1134"/>
        <w:rPr>
          <w:sz w:val="20"/>
        </w:rPr>
      </w:pPr>
      <w:r w:rsidRPr="004C2810">
        <w:rPr>
          <w:sz w:val="20"/>
        </w:rPr>
        <w:t>a) o aterro não deve ser executado em áreas sujeitas a inundações em períodos de recorrência de 100 anos;</w:t>
      </w:r>
    </w:p>
    <w:p w:rsidR="00193B74" w:rsidRPr="004C2810" w:rsidRDefault="00193B74" w:rsidP="00193B74">
      <w:pPr>
        <w:ind w:left="1134"/>
        <w:rPr>
          <w:sz w:val="20"/>
        </w:rPr>
      </w:pPr>
      <w:r w:rsidRPr="004C2810">
        <w:rPr>
          <w:sz w:val="20"/>
        </w:rPr>
        <w:t>b) entre a superfície inferior do aterro e o mais alto nível do lençol freático deve haver uma camada natural de espessura mínima de 1,5m de solo insaturado. O nível do lençol freático deve ser medido durante a época de maior precipitação pluviométrica da região.</w:t>
      </w:r>
    </w:p>
    <w:p w:rsidR="00193B74" w:rsidRPr="004C2810" w:rsidRDefault="00193B74" w:rsidP="00193B74">
      <w:pPr>
        <w:ind w:left="1134"/>
        <w:rPr>
          <w:sz w:val="20"/>
        </w:rPr>
      </w:pPr>
      <w:r w:rsidRPr="004C2810">
        <w:rPr>
          <w:sz w:val="20"/>
        </w:rPr>
        <w:lastRenderedPageBreak/>
        <w:t>c) o aterro deve ser executado em áreas onde haja a predominância no subsolo de material com coeficiente de permeabilidade inferior a 5x10-5 cm/s;</w:t>
      </w:r>
    </w:p>
    <w:p w:rsidR="00193B74" w:rsidRPr="004C2810" w:rsidRDefault="00193B74" w:rsidP="00193B74">
      <w:pPr>
        <w:ind w:left="1134"/>
        <w:rPr>
          <w:sz w:val="20"/>
        </w:rPr>
      </w:pPr>
      <w:r w:rsidRPr="004C2810">
        <w:rPr>
          <w:sz w:val="20"/>
        </w:rPr>
        <w:t>d) os aterros só podem ser construídos em conformidade com a legislação local de uso e ocupação do solo.</w:t>
      </w:r>
    </w:p>
    <w:p w:rsidR="00193B74" w:rsidRPr="004C2810" w:rsidRDefault="00193B74" w:rsidP="00193B74">
      <w:pPr>
        <w:spacing w:line="240" w:lineRule="auto"/>
        <w:ind w:left="2268"/>
        <w:rPr>
          <w:sz w:val="20"/>
        </w:rPr>
      </w:pPr>
    </w:p>
    <w:p w:rsidR="00193B74" w:rsidRPr="004C2810" w:rsidRDefault="00193B74" w:rsidP="00193B74">
      <w:pPr>
        <w:spacing w:after="200"/>
        <w:ind w:firstLine="708"/>
      </w:pPr>
      <w:r w:rsidRPr="004C2810">
        <w:t>Já a escolha para instalação de uma área de triagem e transbordo (ATT), definida pela NBR 15112/04, é meramente econômica e estratégica, já que se trata de uma atividade de simples triagem e movimentação de massas.</w:t>
      </w:r>
    </w:p>
    <w:p w:rsidR="00C57ADC" w:rsidRPr="004C2810" w:rsidRDefault="00C57ADC" w:rsidP="002828C8">
      <w:pPr>
        <w:pStyle w:val="Ttulo3"/>
      </w:pPr>
      <w:bookmarkStart w:id="339" w:name="_Toc497469033"/>
      <w:r w:rsidRPr="004C2810">
        <w:t>Análise preliminar de viabilidade de implantação de usina de reciclagem de resíduo de demolição da construção civil</w:t>
      </w:r>
      <w:bookmarkEnd w:id="339"/>
    </w:p>
    <w:p w:rsidR="00193B74" w:rsidRPr="004C2810" w:rsidRDefault="00193B74" w:rsidP="00193B74">
      <w:pPr>
        <w:ind w:firstLine="708"/>
      </w:pPr>
      <w:r w:rsidRPr="004C2810">
        <w:t>Os Resíduos de Construção Civil e Demolição (RCDs) representam uma grande parcela dos Resíduos Sólidos Urbanos (RSUs). Como é possível notar nos estudos de diversos autores, os RCDs chegam a representar de 40 a 60% em massa do total de resíduos gerados em diversos municípios brasileiros (PINTO, 1999). Desta maneira, faz-se muito importante o gerenciamento adequado desse tipo de resíduo, de forma a evitar os impactos ambientais e socioeconômicos causados pela disposição inadequada em vias públicas, terrenos baldios e até mesmo em aterros sanitários.</w:t>
      </w:r>
    </w:p>
    <w:p w:rsidR="00193B74" w:rsidRPr="004C2810" w:rsidRDefault="00193B74" w:rsidP="00193B74">
      <w:pPr>
        <w:ind w:firstLine="708"/>
      </w:pPr>
      <w:r w:rsidRPr="004C2810">
        <w:t>Neste contexto, a reciclagem dos RCDs apresenta-se não apenas como uma forma de reduzir os impactos ambientais causados pela disposição incorreta, mas também como uma maneira de reduzir a quantidade de resíduos enviados para os aterros de inertes e de reaproveitar materiais que ainda possam ser utilizados na construção civil, reduzindo a demanda por matéria-prima vinda de fontes tradicionais.</w:t>
      </w:r>
    </w:p>
    <w:p w:rsidR="00193B74" w:rsidRPr="004C2810" w:rsidRDefault="00193B74" w:rsidP="00193B74">
      <w:pPr>
        <w:ind w:firstLine="708"/>
      </w:pPr>
      <w:r w:rsidRPr="004C2810">
        <w:t>Ressalva-se, entretanto que a reciclagem dos RCDs no Brasil é uma prática recente e ainda pouco comum, tendo sido impulsionada em 2002 pela publicação da Resolução CONAMA nº 307/02, que torna os grandes geradores de RCD responsáveis pela gestão desses resíduos, passando por uma classificação, segundo seu potencial de re</w:t>
      </w:r>
      <w:r w:rsidR="007C3A0E" w:rsidRPr="004C2810">
        <w:t>ú</w:t>
      </w:r>
      <w:r w:rsidRPr="004C2810">
        <w:t>so e reciclagem, até a destinação adequada para cada classe (MIRANDA et al, 2009).</w:t>
      </w:r>
    </w:p>
    <w:p w:rsidR="00193B74" w:rsidRPr="004C2810" w:rsidRDefault="00193B74" w:rsidP="00193B74">
      <w:pPr>
        <w:ind w:firstLine="708"/>
      </w:pPr>
      <w:r w:rsidRPr="004C2810">
        <w:t xml:space="preserve">Segundo a Associação Brasileira para Reciclagem de Resíduos de Construção Civil e Demolição (ABRECON, 2015), há cerca de 310 usinas de reciclagem de RCDs instaladas no país, sendo a maior parte delas concentrada no estado de São Paulo e em municípios de médio a grande porte. Das 105 usinas que participaram da pesquisa </w:t>
      </w:r>
      <w:r w:rsidRPr="004C2810">
        <w:lastRenderedPageBreak/>
        <w:t>setorial da ABRECON, apenas 3% localizam-se no estado de Minas Gerais – ainda que este seja o estado com maior número de municípios no país – e somente 6% estão em municípios com população inferior a 50 mil habitantes – ainda que estes sejam maioria no Brasil.</w:t>
      </w:r>
    </w:p>
    <w:p w:rsidR="00193B74" w:rsidRPr="004C2810" w:rsidRDefault="00193B74" w:rsidP="00193B74">
      <w:pPr>
        <w:ind w:firstLine="708"/>
      </w:pPr>
      <w:r w:rsidRPr="004C2810">
        <w:t>Segundo Jadovski (2006), a capacidade de produção mínima de uma usina de reciclagem de RCD a fim de se obter viabilidade econômica é de 30 ton/h. Considerando que a usina funcionaria durante 8 h/dia por uma média de 250 dias úteis no ano e que possuiria uma eficiência de 80% em relação à capacidade nominal, essa usina produziria 60.000 ton/ano de agregados reciclados de RCD. Considerando que cerca de 90% em massa do RCD produzido em um município são Classe A (ANGULO et al, 2011), isto é, passível de reciclagem, a geração de RCD mínima no município para tornar a implantação de uma usina de reciclagem de RCD viável economicamente seria de cerca de 66.000 ton/ano. Considerando a massa específica do RCD como 1.200 kg/m³ (ABRECON, 2015), isto representaria um volume de resíduos de 55.000 m³/ano ou ainda 4.583 m³/mês.</w:t>
      </w:r>
    </w:p>
    <w:p w:rsidR="00193B74" w:rsidRDefault="00193B74" w:rsidP="00193B74">
      <w:pPr>
        <w:ind w:firstLine="708"/>
      </w:pPr>
      <w:r w:rsidRPr="004C2810">
        <w:t xml:space="preserve">A fim de se fazer uma análise preliminar da viabilidade econômica de implantação de uma usina de reciclagem de RCD no município de </w:t>
      </w:r>
      <w:r w:rsidR="007A2B6D" w:rsidRPr="004C2810">
        <w:t>Córrego Novo</w:t>
      </w:r>
      <w:r w:rsidRPr="004C2810">
        <w:t>, foram estimadas as quantidades desse tipo de resíduo</w:t>
      </w:r>
      <w:r w:rsidR="003D45B8">
        <w:t>s</w:t>
      </w:r>
      <w:r w:rsidRPr="004C2810">
        <w:t xml:space="preserve"> potencialmente gerad</w:t>
      </w:r>
      <w:r w:rsidR="003D45B8">
        <w:t>o</w:t>
      </w:r>
      <w:r w:rsidRPr="004C2810">
        <w:t xml:space="preserve">s nos próximos anos a partir das projeções populacionais realizadas para os anos de 2017 a 2038. Para tal, usualmente considera-se uma média de 500 kg/hab.ano baseada na pesquisa de Pinto (1999). Porém, como esse valor foi estimado considerando municípios de médio a grande porte, nesta análise foi considerada a média de 367 kg/hab.ano, estimada, por </w:t>
      </w:r>
      <w:r w:rsidRPr="004C2810">
        <w:rPr>
          <w:i/>
        </w:rPr>
        <w:t>método semelhante</w:t>
      </w:r>
      <w:r w:rsidRPr="004C2810">
        <w:t>, por Angulo </w:t>
      </w:r>
      <w:r w:rsidRPr="004C2810">
        <w:rPr>
          <w:i/>
        </w:rPr>
        <w:t>et al</w:t>
      </w:r>
      <w:r w:rsidRPr="004C2810">
        <w:t xml:space="preserve"> (2011) para um município de 36.300 hab. do noroeste do estado de São Paulo, realidade esta que pode ser considerada semelhante à de </w:t>
      </w:r>
      <w:r w:rsidR="007A2B6D" w:rsidRPr="004C2810">
        <w:t>Córrego Novo</w:t>
      </w:r>
      <w:r w:rsidRPr="004C2810">
        <w:t xml:space="preserve">. No </w:t>
      </w:r>
      <w:r w:rsidRPr="004C2810">
        <w:fldChar w:fldCharType="begin"/>
      </w:r>
      <w:r w:rsidRPr="004C2810">
        <w:instrText xml:space="preserve"> REF _Ref436641961 \h  \* MERGEFORMAT </w:instrText>
      </w:r>
      <w:r w:rsidRPr="004C2810">
        <w:fldChar w:fldCharType="separate"/>
      </w:r>
      <w:r w:rsidR="004D1D76" w:rsidRPr="004C2810">
        <w:t xml:space="preserve">Quadro </w:t>
      </w:r>
      <w:r w:rsidR="004D1D76">
        <w:t>30</w:t>
      </w:r>
      <w:r w:rsidRPr="004C2810">
        <w:fldChar w:fldCharType="end"/>
      </w:r>
      <w:r w:rsidRPr="004C2810">
        <w:t>, estão apresentados os resultados desta projeção.</w:t>
      </w:r>
    </w:p>
    <w:p w:rsidR="0081207B" w:rsidRDefault="0081207B" w:rsidP="00193B74">
      <w:pPr>
        <w:ind w:firstLine="708"/>
      </w:pPr>
    </w:p>
    <w:p w:rsidR="0081207B" w:rsidRDefault="0081207B" w:rsidP="00193B74">
      <w:pPr>
        <w:ind w:firstLine="708"/>
      </w:pPr>
    </w:p>
    <w:p w:rsidR="0081207B" w:rsidRDefault="0081207B" w:rsidP="00193B74">
      <w:pPr>
        <w:ind w:firstLine="708"/>
      </w:pPr>
    </w:p>
    <w:p w:rsidR="0081207B" w:rsidRPr="004C2810" w:rsidRDefault="0081207B" w:rsidP="00193B74">
      <w:pPr>
        <w:ind w:firstLine="708"/>
      </w:pPr>
    </w:p>
    <w:p w:rsidR="00193B74" w:rsidRPr="004C2810" w:rsidRDefault="00193B74" w:rsidP="00193B74">
      <w:pPr>
        <w:pStyle w:val="Legenda"/>
        <w:rPr>
          <w:lang w:val="pt-BR"/>
        </w:rPr>
      </w:pPr>
      <w:bookmarkStart w:id="340" w:name="_Ref436641961"/>
      <w:bookmarkStart w:id="341" w:name="_Toc441657125"/>
      <w:bookmarkStart w:id="342" w:name="_Toc497469151"/>
      <w:r w:rsidRPr="004C2810">
        <w:lastRenderedPageBreak/>
        <w:t xml:space="preserve">Quadro </w:t>
      </w:r>
      <w:r w:rsidR="00D71C43">
        <w:fldChar w:fldCharType="begin"/>
      </w:r>
      <w:r w:rsidR="00D71C43">
        <w:instrText xml:space="preserve"> SEQ Quadro \* ARABIC </w:instrText>
      </w:r>
      <w:r w:rsidR="00D71C43">
        <w:fldChar w:fldCharType="separate"/>
      </w:r>
      <w:r w:rsidR="004D1D76">
        <w:rPr>
          <w:noProof/>
        </w:rPr>
        <w:t>30</w:t>
      </w:r>
      <w:r w:rsidR="00D71C43">
        <w:rPr>
          <w:noProof/>
        </w:rPr>
        <w:fldChar w:fldCharType="end"/>
      </w:r>
      <w:bookmarkEnd w:id="340"/>
      <w:r w:rsidRPr="004C2810">
        <w:t xml:space="preserve"> - Projeção de geração de RCD de </w:t>
      </w:r>
      <w:r w:rsidR="007A2B6D" w:rsidRPr="004C2810">
        <w:t>Córrego Novo</w:t>
      </w:r>
      <w:bookmarkEnd w:id="341"/>
      <w:bookmarkEnd w:id="342"/>
    </w:p>
    <w:tbl>
      <w:tblPr>
        <w:tblW w:w="0" w:type="auto"/>
        <w:tblInd w:w="55" w:type="dxa"/>
        <w:tblCellMar>
          <w:left w:w="70" w:type="dxa"/>
          <w:right w:w="70" w:type="dxa"/>
        </w:tblCellMar>
        <w:tblLook w:val="04A0" w:firstRow="1" w:lastRow="0" w:firstColumn="1" w:lastColumn="0" w:noHBand="0" w:noVBand="1"/>
      </w:tblPr>
      <w:tblGrid>
        <w:gridCol w:w="585"/>
        <w:gridCol w:w="2971"/>
        <w:gridCol w:w="2926"/>
        <w:gridCol w:w="2957"/>
      </w:tblGrid>
      <w:tr w:rsidR="004C2810" w:rsidRPr="004C2810" w:rsidTr="004C2810">
        <w:trPr>
          <w:trHeight w:val="34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b/>
                <w:bCs/>
                <w:color w:val="000000"/>
                <w:sz w:val="20"/>
                <w:szCs w:val="20"/>
                <w:lang w:eastAsia="pt-BR"/>
              </w:rPr>
            </w:pPr>
            <w:r w:rsidRPr="004C2810">
              <w:rPr>
                <w:rFonts w:eastAsia="Times New Roman" w:cs="Arial"/>
                <w:b/>
                <w:bCs/>
                <w:color w:val="000000"/>
                <w:sz w:val="20"/>
                <w:szCs w:val="20"/>
                <w:lang w:eastAsia="pt-BR"/>
              </w:rPr>
              <w:t>Ano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4C2810" w:rsidRPr="004C2810" w:rsidRDefault="004C2810" w:rsidP="00A70202">
            <w:pPr>
              <w:spacing w:before="60" w:after="60" w:line="240" w:lineRule="auto"/>
              <w:jc w:val="center"/>
              <w:rPr>
                <w:rFonts w:eastAsia="Times New Roman" w:cs="Arial"/>
                <w:b/>
                <w:bCs/>
                <w:color w:val="000000"/>
                <w:sz w:val="20"/>
                <w:szCs w:val="20"/>
                <w:lang w:eastAsia="pt-BR"/>
              </w:rPr>
            </w:pPr>
            <w:r w:rsidRPr="004C2810">
              <w:rPr>
                <w:rFonts w:eastAsia="Times New Roman" w:cs="Arial"/>
                <w:b/>
                <w:bCs/>
                <w:color w:val="000000"/>
                <w:sz w:val="20"/>
                <w:szCs w:val="20"/>
                <w:lang w:eastAsia="pt-BR"/>
              </w:rPr>
              <w:t>Quantidade de RCD gerados (ton/ano)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4C2810" w:rsidRPr="004C2810" w:rsidRDefault="004C2810" w:rsidP="00A70202">
            <w:pPr>
              <w:spacing w:before="60" w:after="60" w:line="240" w:lineRule="auto"/>
              <w:jc w:val="center"/>
              <w:rPr>
                <w:rFonts w:eastAsia="Times New Roman" w:cs="Arial"/>
                <w:b/>
                <w:bCs/>
                <w:color w:val="000000"/>
                <w:sz w:val="20"/>
                <w:szCs w:val="20"/>
                <w:lang w:eastAsia="pt-BR"/>
              </w:rPr>
            </w:pPr>
            <w:r w:rsidRPr="004C2810">
              <w:rPr>
                <w:rFonts w:eastAsia="Times New Roman" w:cs="Arial"/>
                <w:b/>
                <w:bCs/>
                <w:color w:val="000000"/>
                <w:sz w:val="20"/>
                <w:szCs w:val="20"/>
                <w:lang w:eastAsia="pt-BR"/>
              </w:rPr>
              <w:t>Quantidade de RCD gerados (m³/ano)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4C2810" w:rsidRPr="004C2810" w:rsidRDefault="004C2810" w:rsidP="00A70202">
            <w:pPr>
              <w:spacing w:before="60" w:after="60" w:line="240" w:lineRule="auto"/>
              <w:jc w:val="center"/>
              <w:rPr>
                <w:rFonts w:eastAsia="Times New Roman" w:cs="Arial"/>
                <w:b/>
                <w:bCs/>
                <w:color w:val="000000"/>
                <w:sz w:val="20"/>
                <w:szCs w:val="20"/>
                <w:lang w:eastAsia="pt-BR"/>
              </w:rPr>
            </w:pPr>
            <w:r w:rsidRPr="004C2810">
              <w:rPr>
                <w:rFonts w:eastAsia="Times New Roman" w:cs="Arial"/>
                <w:b/>
                <w:bCs/>
                <w:color w:val="000000"/>
                <w:sz w:val="20"/>
                <w:szCs w:val="20"/>
                <w:lang w:eastAsia="pt-BR"/>
              </w:rPr>
              <w:t>Quantidade de RCD gerados (m³/mês)</w:t>
            </w:r>
          </w:p>
        </w:tc>
      </w:tr>
      <w:tr w:rsidR="004C2810" w:rsidRPr="004C2810" w:rsidTr="004C2810">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b/>
                <w:bCs/>
                <w:color w:val="000000"/>
                <w:sz w:val="20"/>
                <w:szCs w:val="20"/>
                <w:lang w:eastAsia="pt-BR"/>
              </w:rPr>
            </w:pPr>
            <w:r w:rsidRPr="004C2810">
              <w:rPr>
                <w:rFonts w:eastAsia="Times New Roman" w:cs="Arial"/>
                <w:b/>
                <w:bCs/>
                <w:color w:val="000000"/>
                <w:sz w:val="20"/>
                <w:szCs w:val="20"/>
                <w:lang w:eastAsia="pt-BR"/>
              </w:rPr>
              <w:t>2017</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1.051,8</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876,5</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73,0</w:t>
            </w:r>
          </w:p>
        </w:tc>
      </w:tr>
      <w:tr w:rsidR="004C2810" w:rsidRPr="004C2810" w:rsidTr="004C2810">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b/>
                <w:bCs/>
                <w:color w:val="000000"/>
                <w:sz w:val="20"/>
                <w:szCs w:val="20"/>
                <w:lang w:eastAsia="pt-BR"/>
              </w:rPr>
            </w:pPr>
            <w:r w:rsidRPr="004C2810">
              <w:rPr>
                <w:rFonts w:eastAsia="Times New Roman" w:cs="Arial"/>
                <w:b/>
                <w:bCs/>
                <w:color w:val="000000"/>
                <w:sz w:val="20"/>
                <w:szCs w:val="20"/>
                <w:lang w:eastAsia="pt-BR"/>
              </w:rPr>
              <w:t>2018</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1.033,1</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860,9</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71,7</w:t>
            </w:r>
          </w:p>
        </w:tc>
      </w:tr>
      <w:tr w:rsidR="004C2810" w:rsidRPr="004C2810" w:rsidTr="004C2810">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b/>
                <w:bCs/>
                <w:color w:val="000000"/>
                <w:sz w:val="20"/>
                <w:szCs w:val="20"/>
                <w:lang w:eastAsia="pt-BR"/>
              </w:rPr>
            </w:pPr>
            <w:r w:rsidRPr="004C2810">
              <w:rPr>
                <w:rFonts w:eastAsia="Times New Roman" w:cs="Arial"/>
                <w:b/>
                <w:bCs/>
                <w:color w:val="000000"/>
                <w:sz w:val="20"/>
                <w:szCs w:val="20"/>
                <w:lang w:eastAsia="pt-BR"/>
              </w:rPr>
              <w:t>2019</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1.016,2</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846,9</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70,6</w:t>
            </w:r>
          </w:p>
        </w:tc>
      </w:tr>
      <w:tr w:rsidR="004C2810" w:rsidRPr="004C2810" w:rsidTr="004C2810">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b/>
                <w:bCs/>
                <w:color w:val="000000"/>
                <w:sz w:val="20"/>
                <w:szCs w:val="20"/>
                <w:lang w:eastAsia="pt-BR"/>
              </w:rPr>
            </w:pPr>
            <w:r w:rsidRPr="004C2810">
              <w:rPr>
                <w:rFonts w:eastAsia="Times New Roman" w:cs="Arial"/>
                <w:b/>
                <w:bCs/>
                <w:color w:val="000000"/>
                <w:sz w:val="20"/>
                <w:szCs w:val="20"/>
                <w:lang w:eastAsia="pt-BR"/>
              </w:rPr>
              <w:t>2020</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1.007,8</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839,8</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70,0</w:t>
            </w:r>
          </w:p>
        </w:tc>
      </w:tr>
      <w:tr w:rsidR="004C2810" w:rsidRPr="004C2810" w:rsidTr="004C2810">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b/>
                <w:bCs/>
                <w:color w:val="000000"/>
                <w:sz w:val="20"/>
                <w:szCs w:val="20"/>
                <w:lang w:eastAsia="pt-BR"/>
              </w:rPr>
            </w:pPr>
            <w:r w:rsidRPr="004C2810">
              <w:rPr>
                <w:rFonts w:eastAsia="Times New Roman" w:cs="Arial"/>
                <w:b/>
                <w:bCs/>
                <w:color w:val="000000"/>
                <w:sz w:val="20"/>
                <w:szCs w:val="20"/>
                <w:lang w:eastAsia="pt-BR"/>
              </w:rPr>
              <w:t>2021</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994,2</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828,5</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69,0</w:t>
            </w:r>
          </w:p>
        </w:tc>
      </w:tr>
      <w:tr w:rsidR="004C2810" w:rsidRPr="004C2810" w:rsidTr="004C2810">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b/>
                <w:bCs/>
                <w:color w:val="000000"/>
                <w:sz w:val="20"/>
                <w:szCs w:val="20"/>
                <w:lang w:eastAsia="pt-BR"/>
              </w:rPr>
            </w:pPr>
            <w:r w:rsidRPr="004C2810">
              <w:rPr>
                <w:rFonts w:eastAsia="Times New Roman" w:cs="Arial"/>
                <w:b/>
                <w:bCs/>
                <w:color w:val="000000"/>
                <w:sz w:val="20"/>
                <w:szCs w:val="20"/>
                <w:lang w:eastAsia="pt-BR"/>
              </w:rPr>
              <w:t>2022</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978,8</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815,7</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68,0</w:t>
            </w:r>
          </w:p>
        </w:tc>
      </w:tr>
      <w:tr w:rsidR="004C2810" w:rsidRPr="004C2810" w:rsidTr="004C2810">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b/>
                <w:bCs/>
                <w:color w:val="000000"/>
                <w:sz w:val="20"/>
                <w:szCs w:val="20"/>
                <w:lang w:eastAsia="pt-BR"/>
              </w:rPr>
            </w:pPr>
            <w:r w:rsidRPr="004C2810">
              <w:rPr>
                <w:rFonts w:eastAsia="Times New Roman" w:cs="Arial"/>
                <w:b/>
                <w:bCs/>
                <w:color w:val="000000"/>
                <w:sz w:val="20"/>
                <w:szCs w:val="20"/>
                <w:lang w:eastAsia="pt-BR"/>
              </w:rPr>
              <w:t>2023</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963,0</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802,5</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66,9</w:t>
            </w:r>
          </w:p>
        </w:tc>
      </w:tr>
      <w:tr w:rsidR="004C2810" w:rsidRPr="004C2810" w:rsidTr="004C2810">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b/>
                <w:bCs/>
                <w:color w:val="000000"/>
                <w:sz w:val="20"/>
                <w:szCs w:val="20"/>
                <w:lang w:eastAsia="pt-BR"/>
              </w:rPr>
            </w:pPr>
            <w:r w:rsidRPr="004C2810">
              <w:rPr>
                <w:rFonts w:eastAsia="Times New Roman" w:cs="Arial"/>
                <w:b/>
                <w:bCs/>
                <w:color w:val="000000"/>
                <w:sz w:val="20"/>
                <w:szCs w:val="20"/>
                <w:lang w:eastAsia="pt-BR"/>
              </w:rPr>
              <w:t>2024</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953,1</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794,2</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66,2</w:t>
            </w:r>
          </w:p>
        </w:tc>
      </w:tr>
      <w:tr w:rsidR="004C2810" w:rsidRPr="004C2810" w:rsidTr="004C2810">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b/>
                <w:bCs/>
                <w:color w:val="000000"/>
                <w:sz w:val="20"/>
                <w:szCs w:val="20"/>
                <w:lang w:eastAsia="pt-BR"/>
              </w:rPr>
            </w:pPr>
            <w:r w:rsidRPr="004C2810">
              <w:rPr>
                <w:rFonts w:eastAsia="Times New Roman" w:cs="Arial"/>
                <w:b/>
                <w:bCs/>
                <w:color w:val="000000"/>
                <w:sz w:val="20"/>
                <w:szCs w:val="20"/>
                <w:lang w:eastAsia="pt-BR"/>
              </w:rPr>
              <w:t>2025</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941,7</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784,8</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65,4</w:t>
            </w:r>
          </w:p>
        </w:tc>
      </w:tr>
      <w:tr w:rsidR="004C2810" w:rsidRPr="004C2810" w:rsidTr="004C2810">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b/>
                <w:bCs/>
                <w:color w:val="000000"/>
                <w:sz w:val="20"/>
                <w:szCs w:val="20"/>
                <w:lang w:eastAsia="pt-BR"/>
              </w:rPr>
            </w:pPr>
            <w:r w:rsidRPr="004C2810">
              <w:rPr>
                <w:rFonts w:eastAsia="Times New Roman" w:cs="Arial"/>
                <w:b/>
                <w:bCs/>
                <w:color w:val="000000"/>
                <w:sz w:val="20"/>
                <w:szCs w:val="20"/>
                <w:lang w:eastAsia="pt-BR"/>
              </w:rPr>
              <w:t>2026</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930,0</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775,0</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64,6</w:t>
            </w:r>
          </w:p>
        </w:tc>
      </w:tr>
      <w:tr w:rsidR="004C2810" w:rsidRPr="004C2810" w:rsidTr="004C2810">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b/>
                <w:bCs/>
                <w:color w:val="000000"/>
                <w:sz w:val="20"/>
                <w:szCs w:val="20"/>
                <w:lang w:eastAsia="pt-BR"/>
              </w:rPr>
            </w:pPr>
            <w:r w:rsidRPr="004C2810">
              <w:rPr>
                <w:rFonts w:eastAsia="Times New Roman" w:cs="Arial"/>
                <w:b/>
                <w:bCs/>
                <w:color w:val="000000"/>
                <w:sz w:val="20"/>
                <w:szCs w:val="20"/>
                <w:lang w:eastAsia="pt-BR"/>
              </w:rPr>
              <w:t>2027</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912,4</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760,3</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63,4</w:t>
            </w:r>
          </w:p>
        </w:tc>
      </w:tr>
      <w:tr w:rsidR="004C2810" w:rsidRPr="004C2810" w:rsidTr="004C2810">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b/>
                <w:bCs/>
                <w:color w:val="000000"/>
                <w:sz w:val="20"/>
                <w:szCs w:val="20"/>
                <w:lang w:eastAsia="pt-BR"/>
              </w:rPr>
            </w:pPr>
            <w:r w:rsidRPr="004C2810">
              <w:rPr>
                <w:rFonts w:eastAsia="Times New Roman" w:cs="Arial"/>
                <w:b/>
                <w:bCs/>
                <w:color w:val="000000"/>
                <w:sz w:val="20"/>
                <w:szCs w:val="20"/>
                <w:lang w:eastAsia="pt-BR"/>
              </w:rPr>
              <w:t>2028</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899,5</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749,6</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62,5</w:t>
            </w:r>
          </w:p>
        </w:tc>
      </w:tr>
      <w:tr w:rsidR="004C2810" w:rsidRPr="004C2810" w:rsidTr="004C2810">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b/>
                <w:bCs/>
                <w:color w:val="000000"/>
                <w:sz w:val="20"/>
                <w:szCs w:val="20"/>
                <w:lang w:eastAsia="pt-BR"/>
              </w:rPr>
            </w:pPr>
            <w:r w:rsidRPr="004C2810">
              <w:rPr>
                <w:rFonts w:eastAsia="Times New Roman" w:cs="Arial"/>
                <w:b/>
                <w:bCs/>
                <w:color w:val="000000"/>
                <w:sz w:val="20"/>
                <w:szCs w:val="20"/>
                <w:lang w:eastAsia="pt-BR"/>
              </w:rPr>
              <w:t>2029</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888,1</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740,1</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61,7</w:t>
            </w:r>
          </w:p>
        </w:tc>
      </w:tr>
      <w:tr w:rsidR="004C2810" w:rsidRPr="004C2810" w:rsidTr="004C2810">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b/>
                <w:bCs/>
                <w:color w:val="000000"/>
                <w:sz w:val="20"/>
                <w:szCs w:val="20"/>
                <w:lang w:eastAsia="pt-BR"/>
              </w:rPr>
            </w:pPr>
            <w:r w:rsidRPr="004C2810">
              <w:rPr>
                <w:rFonts w:eastAsia="Times New Roman" w:cs="Arial"/>
                <w:b/>
                <w:bCs/>
                <w:color w:val="000000"/>
                <w:sz w:val="20"/>
                <w:szCs w:val="20"/>
                <w:lang w:eastAsia="pt-BR"/>
              </w:rPr>
              <w:t>2030</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872,7</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727,3</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60,6</w:t>
            </w:r>
          </w:p>
        </w:tc>
      </w:tr>
      <w:tr w:rsidR="004C2810" w:rsidRPr="004C2810" w:rsidTr="004C2810">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b/>
                <w:bCs/>
                <w:color w:val="000000"/>
                <w:sz w:val="20"/>
                <w:szCs w:val="20"/>
                <w:lang w:eastAsia="pt-BR"/>
              </w:rPr>
            </w:pPr>
            <w:r w:rsidRPr="004C2810">
              <w:rPr>
                <w:rFonts w:eastAsia="Times New Roman" w:cs="Arial"/>
                <w:b/>
                <w:bCs/>
                <w:color w:val="000000"/>
                <w:sz w:val="20"/>
                <w:szCs w:val="20"/>
                <w:lang w:eastAsia="pt-BR"/>
              </w:rPr>
              <w:t>2031</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859,1</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716,0</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59,7</w:t>
            </w:r>
          </w:p>
        </w:tc>
      </w:tr>
      <w:tr w:rsidR="004C2810" w:rsidRPr="004C2810" w:rsidTr="004C2810">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b/>
                <w:bCs/>
                <w:color w:val="000000"/>
                <w:sz w:val="20"/>
                <w:szCs w:val="20"/>
                <w:lang w:eastAsia="pt-BR"/>
              </w:rPr>
            </w:pPr>
            <w:r w:rsidRPr="004C2810">
              <w:rPr>
                <w:rFonts w:eastAsia="Times New Roman" w:cs="Arial"/>
                <w:b/>
                <w:bCs/>
                <w:color w:val="000000"/>
                <w:sz w:val="20"/>
                <w:szCs w:val="20"/>
                <w:lang w:eastAsia="pt-BR"/>
              </w:rPr>
              <w:t>2032</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841,5</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701,3</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58,4</w:t>
            </w:r>
          </w:p>
        </w:tc>
      </w:tr>
      <w:tr w:rsidR="004C2810" w:rsidRPr="004C2810" w:rsidTr="004C2810">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b/>
                <w:bCs/>
                <w:color w:val="000000"/>
                <w:sz w:val="20"/>
                <w:szCs w:val="20"/>
                <w:lang w:eastAsia="pt-BR"/>
              </w:rPr>
            </w:pPr>
            <w:r w:rsidRPr="004C2810">
              <w:rPr>
                <w:rFonts w:eastAsia="Times New Roman" w:cs="Arial"/>
                <w:b/>
                <w:bCs/>
                <w:color w:val="000000"/>
                <w:sz w:val="20"/>
                <w:szCs w:val="20"/>
                <w:lang w:eastAsia="pt-BR"/>
              </w:rPr>
              <w:t>2033</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831,6</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693,0</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57,8</w:t>
            </w:r>
          </w:p>
        </w:tc>
      </w:tr>
      <w:tr w:rsidR="004C2810" w:rsidRPr="004C2810" w:rsidTr="004C2810">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b/>
                <w:bCs/>
                <w:color w:val="000000"/>
                <w:sz w:val="20"/>
                <w:szCs w:val="20"/>
                <w:lang w:eastAsia="pt-BR"/>
              </w:rPr>
            </w:pPr>
            <w:r w:rsidRPr="004C2810">
              <w:rPr>
                <w:rFonts w:eastAsia="Times New Roman" w:cs="Arial"/>
                <w:b/>
                <w:bCs/>
                <w:color w:val="000000"/>
                <w:sz w:val="20"/>
                <w:szCs w:val="20"/>
                <w:lang w:eastAsia="pt-BR"/>
              </w:rPr>
              <w:t>2034</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819,9</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683,2</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56,9</w:t>
            </w:r>
          </w:p>
        </w:tc>
      </w:tr>
      <w:tr w:rsidR="004C2810" w:rsidRPr="004C2810" w:rsidTr="004C2810">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b/>
                <w:bCs/>
                <w:color w:val="000000"/>
                <w:sz w:val="20"/>
                <w:szCs w:val="20"/>
                <w:lang w:eastAsia="pt-BR"/>
              </w:rPr>
            </w:pPr>
            <w:r w:rsidRPr="004C2810">
              <w:rPr>
                <w:rFonts w:eastAsia="Times New Roman" w:cs="Arial"/>
                <w:b/>
                <w:bCs/>
                <w:color w:val="000000"/>
                <w:sz w:val="20"/>
                <w:szCs w:val="20"/>
                <w:lang w:eastAsia="pt-BR"/>
              </w:rPr>
              <w:t>2035</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807,8</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673,1</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56,1</w:t>
            </w:r>
          </w:p>
        </w:tc>
      </w:tr>
      <w:tr w:rsidR="004C2810" w:rsidRPr="004C2810" w:rsidTr="004C2810">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b/>
                <w:bCs/>
                <w:color w:val="000000"/>
                <w:sz w:val="20"/>
                <w:szCs w:val="20"/>
                <w:lang w:eastAsia="pt-BR"/>
              </w:rPr>
            </w:pPr>
            <w:r w:rsidRPr="004C2810">
              <w:rPr>
                <w:rFonts w:eastAsia="Times New Roman" w:cs="Arial"/>
                <w:b/>
                <w:bCs/>
                <w:color w:val="000000"/>
                <w:sz w:val="20"/>
                <w:szCs w:val="20"/>
                <w:lang w:eastAsia="pt-BR"/>
              </w:rPr>
              <w:t>2036</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793,1</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660,9</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55,1</w:t>
            </w:r>
          </w:p>
        </w:tc>
      </w:tr>
      <w:tr w:rsidR="004C2810" w:rsidRPr="004C2810" w:rsidTr="004C2810">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b/>
                <w:bCs/>
                <w:color w:val="000000"/>
                <w:sz w:val="20"/>
                <w:szCs w:val="20"/>
                <w:lang w:eastAsia="pt-BR"/>
              </w:rPr>
            </w:pPr>
            <w:r w:rsidRPr="004C2810">
              <w:rPr>
                <w:rFonts w:eastAsia="Times New Roman" w:cs="Arial"/>
                <w:b/>
                <w:bCs/>
                <w:color w:val="000000"/>
                <w:sz w:val="20"/>
                <w:szCs w:val="20"/>
                <w:lang w:eastAsia="pt-BR"/>
              </w:rPr>
              <w:t>2037</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783,9</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653,3</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54,4</w:t>
            </w:r>
          </w:p>
        </w:tc>
      </w:tr>
      <w:tr w:rsidR="004C2810" w:rsidRPr="004C2810" w:rsidTr="004C2810">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b/>
                <w:bCs/>
                <w:color w:val="000000"/>
                <w:sz w:val="20"/>
                <w:szCs w:val="20"/>
                <w:lang w:eastAsia="pt-BR"/>
              </w:rPr>
            </w:pPr>
            <w:r w:rsidRPr="004C2810">
              <w:rPr>
                <w:rFonts w:eastAsia="Times New Roman" w:cs="Arial"/>
                <w:b/>
                <w:bCs/>
                <w:color w:val="000000"/>
                <w:sz w:val="20"/>
                <w:szCs w:val="20"/>
                <w:lang w:eastAsia="pt-BR"/>
              </w:rPr>
              <w:t>2038</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777,3</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647,8</w:t>
            </w:r>
          </w:p>
        </w:tc>
        <w:tc>
          <w:tcPr>
            <w:tcW w:w="0" w:type="auto"/>
            <w:tcBorders>
              <w:top w:val="nil"/>
              <w:left w:val="nil"/>
              <w:bottom w:val="single" w:sz="4" w:space="0" w:color="auto"/>
              <w:right w:val="single" w:sz="4" w:space="0" w:color="auto"/>
            </w:tcBorders>
            <w:shd w:val="clear" w:color="auto" w:fill="auto"/>
            <w:noWrap/>
            <w:vAlign w:val="center"/>
            <w:hideMark/>
          </w:tcPr>
          <w:p w:rsidR="004C2810" w:rsidRPr="004C2810" w:rsidRDefault="004C2810" w:rsidP="00A70202">
            <w:pPr>
              <w:spacing w:before="60" w:after="60" w:line="240" w:lineRule="auto"/>
              <w:jc w:val="center"/>
              <w:rPr>
                <w:rFonts w:eastAsia="Times New Roman" w:cs="Arial"/>
                <w:color w:val="000000"/>
                <w:sz w:val="20"/>
                <w:szCs w:val="20"/>
                <w:lang w:eastAsia="pt-BR"/>
              </w:rPr>
            </w:pPr>
            <w:r w:rsidRPr="004C2810">
              <w:rPr>
                <w:rFonts w:eastAsia="Times New Roman" w:cs="Arial"/>
                <w:color w:val="000000"/>
                <w:sz w:val="20"/>
                <w:szCs w:val="20"/>
                <w:lang w:eastAsia="pt-BR"/>
              </w:rPr>
              <w:t>54,0</w:t>
            </w:r>
          </w:p>
        </w:tc>
      </w:tr>
    </w:tbl>
    <w:p w:rsidR="00193B74" w:rsidRPr="004C2810" w:rsidRDefault="00193B74" w:rsidP="00193B74">
      <w:pPr>
        <w:pStyle w:val="Fonte"/>
      </w:pPr>
      <w:r w:rsidRPr="004C2810">
        <w:t>Fonte: SHS, 2017.</w:t>
      </w:r>
    </w:p>
    <w:p w:rsidR="00193B74" w:rsidRPr="004C2810" w:rsidRDefault="00193B74" w:rsidP="00193B74">
      <w:pPr>
        <w:ind w:firstLine="708"/>
      </w:pPr>
      <w:r w:rsidRPr="004C2810">
        <w:t xml:space="preserve">Como é possível notar no </w:t>
      </w:r>
      <w:r w:rsidRPr="004C2810">
        <w:fldChar w:fldCharType="begin"/>
      </w:r>
      <w:r w:rsidRPr="004C2810">
        <w:instrText xml:space="preserve"> REF _Ref436641961 \h  \* MERGEFORMAT </w:instrText>
      </w:r>
      <w:r w:rsidRPr="004C2810">
        <w:fldChar w:fldCharType="separate"/>
      </w:r>
      <w:r w:rsidR="004D1D76" w:rsidRPr="004C2810">
        <w:t xml:space="preserve">Quadro </w:t>
      </w:r>
      <w:r w:rsidR="004D1D76">
        <w:t>30</w:t>
      </w:r>
      <w:r w:rsidRPr="004C2810">
        <w:fldChar w:fldCharType="end"/>
      </w:r>
      <w:r w:rsidRPr="004C2810">
        <w:t>, a geração de RCD estimada para o município em 20</w:t>
      </w:r>
      <w:r w:rsidR="00DF4A2F" w:rsidRPr="004C2810">
        <w:t>17</w:t>
      </w:r>
      <w:r w:rsidRPr="004C2810">
        <w:t xml:space="preserve"> de </w:t>
      </w:r>
      <w:r w:rsidR="00DF4A2F" w:rsidRPr="004C2810">
        <w:t>1</w:t>
      </w:r>
      <w:r w:rsidR="004C2810" w:rsidRPr="004C2810">
        <w:t>.051,8</w:t>
      </w:r>
      <w:r w:rsidRPr="004C2810">
        <w:t xml:space="preserve"> ton/ano é significativamente reduzida quando comparada à massa de 66.000 ton/ano processada por usina com a capacidade mínima para se obter viabilidade econômica. De fato, apenas 6% das usinas que responderam à pesquisa setorial da ABRECON (2015) estão em municípios com menos de 50 mil habitantes, o que indica esta tendência de inviabilidade de implantação de usinas de RCD para municípios de pequeno porte.</w:t>
      </w:r>
    </w:p>
    <w:p w:rsidR="00193B74" w:rsidRPr="004C2810" w:rsidRDefault="00193B74" w:rsidP="00193B74">
      <w:pPr>
        <w:ind w:firstLine="708"/>
      </w:pPr>
      <w:r w:rsidRPr="004C2810">
        <w:t xml:space="preserve">Ainda segundo a ABRECON (2015), o baixo valor cobrado e a dificuldade de venda do agregado reciclado de RCD são os principais problemas que comprometem a </w:t>
      </w:r>
      <w:r w:rsidRPr="004C2810">
        <w:lastRenderedPageBreak/>
        <w:t>viabilidade econômica das usinas de reciclagem desse tipo de resíduo. Por outro lado, há algumas formas de se tornar a reciclagem de RCD mais viável economicamente, tais como:</w:t>
      </w:r>
    </w:p>
    <w:p w:rsidR="00193B74" w:rsidRPr="004C2810" w:rsidRDefault="00193B74" w:rsidP="00A87269">
      <w:pPr>
        <w:pStyle w:val="PargrafodaLista"/>
        <w:numPr>
          <w:ilvl w:val="0"/>
          <w:numId w:val="40"/>
        </w:numPr>
      </w:pPr>
      <w:r w:rsidRPr="004C2810">
        <w:t>Investir em usinas móveis, que, diferentemente das usinas fixas, podem ser transportadas até os locais das obras e exigem menos mão de obra (ABRECON, 2015).</w:t>
      </w:r>
    </w:p>
    <w:p w:rsidR="00193B74" w:rsidRPr="004C2810" w:rsidRDefault="00193B74" w:rsidP="00A87269">
      <w:pPr>
        <w:pStyle w:val="PargrafodaLista"/>
        <w:numPr>
          <w:ilvl w:val="0"/>
          <w:numId w:val="40"/>
        </w:numPr>
      </w:pPr>
      <w:r w:rsidRPr="004C2810">
        <w:t>Realizar outras atividades econômicas complementares à reciclagem dos RCD, de maneira a reduzir custos com a implantação e a operação da usina ou ainda de forma que outras atividades mais lucrativas subsidiem a reciclagem de RCD.</w:t>
      </w:r>
    </w:p>
    <w:p w:rsidR="00193B74" w:rsidRPr="004C2810" w:rsidRDefault="00193B74" w:rsidP="00A87269">
      <w:pPr>
        <w:pStyle w:val="PargrafodaLista"/>
        <w:numPr>
          <w:ilvl w:val="0"/>
          <w:numId w:val="40"/>
        </w:numPr>
      </w:pPr>
      <w:r w:rsidRPr="004C2810">
        <w:t>Investir em soluções consorciadas com outros municípios.</w:t>
      </w:r>
    </w:p>
    <w:p w:rsidR="00193B74" w:rsidRPr="004C2810" w:rsidRDefault="00193B74" w:rsidP="00193B74">
      <w:pPr>
        <w:ind w:firstLine="708"/>
      </w:pPr>
      <w:r w:rsidRPr="004C2810">
        <w:t xml:space="preserve">Vale salientar que, considerando apenas o número de habitantes dos municípios da região de </w:t>
      </w:r>
      <w:r w:rsidR="007A2B6D" w:rsidRPr="004C2810">
        <w:t>Córrego Novo</w:t>
      </w:r>
      <w:r w:rsidRPr="004C2810">
        <w:t>, mesmo soluções consorciadas dificilmente seriam viáveis economicamente. Considerando a geração mínima de 66.000 ton/ano de RCD e a média de 367 kg/hab.ano, esta usina teria que atender ao menos 179.837 habitantes para atingir a viabilidade econômica.</w:t>
      </w:r>
    </w:p>
    <w:p w:rsidR="00DF4A2F" w:rsidRPr="004C2810" w:rsidRDefault="00DF4A2F" w:rsidP="002828C8">
      <w:pPr>
        <w:pStyle w:val="Ttulo3"/>
      </w:pPr>
      <w:bookmarkStart w:id="343" w:name="_Toc484678000"/>
      <w:bookmarkStart w:id="344" w:name="_Toc497469034"/>
      <w:r w:rsidRPr="004C2810">
        <w:t>Eventos de Emergência e Contingência</w:t>
      </w:r>
      <w:bookmarkEnd w:id="344"/>
    </w:p>
    <w:p w:rsidR="00DF4A2F" w:rsidRPr="004C2810" w:rsidRDefault="00DF4A2F" w:rsidP="00DF4A2F">
      <w:pPr>
        <w:spacing w:before="120" w:after="120"/>
        <w:ind w:firstLine="708"/>
        <w:contextualSpacing/>
        <w:rPr>
          <w:rFonts w:cs="Arial"/>
          <w:szCs w:val="24"/>
          <w:lang w:eastAsia="pt-BR"/>
        </w:rPr>
      </w:pPr>
      <w:r w:rsidRPr="004C2810">
        <w:rPr>
          <w:rFonts w:cs="Arial"/>
          <w:szCs w:val="24"/>
          <w:lang w:eastAsia="pt-BR"/>
        </w:rPr>
        <w:t>A seguir são elencados alguns potenciais eventos de emergência e contingência relacionados ao Sistema de Limpeza Urbana e Manejo de Resíduos Sólidos da mesma maneira como foi feito para os demais sistemas de saneamento básico.</w:t>
      </w:r>
    </w:p>
    <w:p w:rsidR="00DF4A2F" w:rsidRPr="004C2810" w:rsidRDefault="00DF4A2F" w:rsidP="00DF4A2F">
      <w:pPr>
        <w:spacing w:before="120" w:after="120"/>
        <w:ind w:firstLine="708"/>
        <w:contextualSpacing/>
        <w:rPr>
          <w:rFonts w:cs="Arial"/>
          <w:szCs w:val="24"/>
          <w:lang w:eastAsia="pt-BR"/>
        </w:rPr>
      </w:pPr>
      <w:r w:rsidRPr="004C2810">
        <w:rPr>
          <w:rFonts w:cs="Arial"/>
          <w:szCs w:val="24"/>
          <w:lang w:eastAsia="pt-BR"/>
        </w:rPr>
        <w:t>Note-se que a separação dos mesmos em eventos operacionais e eventos de gestão e gerenciamento, é puramente didática, uma vez que o bom funcionamento e a durabilidade dos equipamentos e componentes dos sistemas são altamente dependentes da gestão eficiente dos mesmos.</w:t>
      </w:r>
    </w:p>
    <w:p w:rsidR="00DF4A2F" w:rsidRPr="004C2810" w:rsidRDefault="00DF4A2F" w:rsidP="002828C8">
      <w:pPr>
        <w:pStyle w:val="Ttulo4"/>
      </w:pPr>
      <w:bookmarkStart w:id="345" w:name="_Toc497469035"/>
      <w:r w:rsidRPr="004C2810">
        <w:t>Eventos operacionais</w:t>
      </w:r>
      <w:bookmarkEnd w:id="345"/>
    </w:p>
    <w:p w:rsidR="00DF4A2F" w:rsidRPr="004C2810" w:rsidRDefault="00DF4A2F" w:rsidP="00DF4A2F">
      <w:pPr>
        <w:pStyle w:val="PargrafodaLista"/>
        <w:numPr>
          <w:ilvl w:val="0"/>
          <w:numId w:val="9"/>
        </w:numPr>
        <w:tabs>
          <w:tab w:val="left" w:pos="993"/>
        </w:tabs>
        <w:spacing w:before="120" w:after="120"/>
        <w:ind w:left="0" w:firstLine="709"/>
        <w:rPr>
          <w:rFonts w:eastAsia="Calibri"/>
          <w:szCs w:val="24"/>
        </w:rPr>
      </w:pPr>
      <w:r w:rsidRPr="004C2810">
        <w:rPr>
          <w:b/>
          <w:szCs w:val="24"/>
        </w:rPr>
        <w:t>Ocorrência de avarias ou falha mecânica nos veículos coletores</w:t>
      </w:r>
      <w:r w:rsidRPr="004C2810">
        <w:rPr>
          <w:szCs w:val="24"/>
        </w:rPr>
        <w:t>: a ocorrência de avarias nos veículos coletores reduz a capacidade de coleta do sistema, podendo levar à interrupção local do serviço.</w:t>
      </w:r>
    </w:p>
    <w:p w:rsidR="00DF4A2F" w:rsidRPr="004C2810" w:rsidRDefault="00DF4A2F" w:rsidP="00DF4A2F">
      <w:pPr>
        <w:pStyle w:val="PargrafodaLista"/>
        <w:numPr>
          <w:ilvl w:val="0"/>
          <w:numId w:val="9"/>
        </w:numPr>
        <w:tabs>
          <w:tab w:val="left" w:pos="993"/>
        </w:tabs>
        <w:spacing w:before="120" w:after="120"/>
        <w:ind w:left="0" w:firstLine="709"/>
        <w:rPr>
          <w:rFonts w:eastAsia="Calibri"/>
          <w:szCs w:val="24"/>
        </w:rPr>
      </w:pPr>
      <w:r w:rsidRPr="004C2810">
        <w:rPr>
          <w:b/>
          <w:szCs w:val="24"/>
        </w:rPr>
        <w:t>Ocorrência de avarias em equipamentos e em unidades do sistema de manejo de resíduos sólidos (aterros, oficinas, galpões, usinas, etc.)</w:t>
      </w:r>
      <w:r w:rsidRPr="004C2810">
        <w:rPr>
          <w:szCs w:val="24"/>
        </w:rPr>
        <w:t xml:space="preserve">: a ocorrência </w:t>
      </w:r>
      <w:r w:rsidRPr="004C2810">
        <w:rPr>
          <w:szCs w:val="24"/>
        </w:rPr>
        <w:lastRenderedPageBreak/>
        <w:t>de avarias em equipamentos e unidades do sistema de manejo de resíduos sólidos pode limitar a capacidade de funcionamento desses serviços.</w:t>
      </w:r>
    </w:p>
    <w:p w:rsidR="00DF4A2F" w:rsidRPr="004C2810" w:rsidRDefault="00DF4A2F" w:rsidP="00DF4A2F">
      <w:pPr>
        <w:pStyle w:val="PargrafodaLista"/>
        <w:numPr>
          <w:ilvl w:val="0"/>
          <w:numId w:val="8"/>
        </w:numPr>
        <w:tabs>
          <w:tab w:val="left" w:pos="993"/>
        </w:tabs>
        <w:spacing w:before="120" w:after="120"/>
        <w:ind w:left="0" w:firstLine="709"/>
        <w:rPr>
          <w:szCs w:val="24"/>
        </w:rPr>
      </w:pPr>
      <w:r w:rsidRPr="004C2810">
        <w:rPr>
          <w:b/>
          <w:szCs w:val="24"/>
        </w:rPr>
        <w:t>Ocorrência de acidentes de trabalho por ocasião da coleta de resíduos sólidos</w:t>
      </w:r>
      <w:r w:rsidRPr="004C2810">
        <w:rPr>
          <w:szCs w:val="24"/>
        </w:rPr>
        <w:t>: durante a coleta de resíduos sólidos, os trabalhadores podem sofrer diversos tipos de acidentes, tais como quedas, atropelamentos, cortes, mordidas de animais, etc.</w:t>
      </w:r>
    </w:p>
    <w:p w:rsidR="00DF4A2F" w:rsidRPr="004C2810" w:rsidRDefault="00DF4A2F" w:rsidP="00DF4A2F">
      <w:pPr>
        <w:pStyle w:val="PargrafodaLista"/>
        <w:numPr>
          <w:ilvl w:val="0"/>
          <w:numId w:val="8"/>
        </w:numPr>
        <w:tabs>
          <w:tab w:val="left" w:pos="993"/>
        </w:tabs>
        <w:spacing w:before="120" w:after="120"/>
        <w:ind w:left="0" w:firstLine="709"/>
        <w:rPr>
          <w:szCs w:val="24"/>
        </w:rPr>
      </w:pPr>
      <w:r w:rsidRPr="004C2810">
        <w:rPr>
          <w:b/>
          <w:szCs w:val="24"/>
        </w:rPr>
        <w:t>Ocorrência de acidentes de trabalho em unidades do sistema de manejo de resíduos sólidos (aterros, oficinas, galpões, usinas, etc.)</w:t>
      </w:r>
      <w:r w:rsidRPr="004C2810">
        <w:rPr>
          <w:szCs w:val="24"/>
        </w:rPr>
        <w:t>: os trabalhadores do sistema de manejo de resíduos sólidos estão sujeitos a diversos tipos de acidentes de trabalho, tais como quedas, cortes, soterramento, contaminação por resíduos perigosos, etc.</w:t>
      </w:r>
    </w:p>
    <w:p w:rsidR="00DF4A2F" w:rsidRPr="004C2810" w:rsidRDefault="00DF4A2F" w:rsidP="00DF4A2F">
      <w:pPr>
        <w:pStyle w:val="PargrafodaLista"/>
        <w:numPr>
          <w:ilvl w:val="0"/>
          <w:numId w:val="8"/>
        </w:numPr>
        <w:tabs>
          <w:tab w:val="left" w:pos="993"/>
        </w:tabs>
        <w:spacing w:before="120" w:after="120"/>
        <w:ind w:left="0" w:firstLine="709"/>
        <w:rPr>
          <w:szCs w:val="24"/>
        </w:rPr>
      </w:pPr>
      <w:r w:rsidRPr="004C2810">
        <w:rPr>
          <w:b/>
          <w:szCs w:val="24"/>
        </w:rPr>
        <w:t xml:space="preserve">Ocorrência de desestabilização ou rompimento de taludes no aterro sanitário: </w:t>
      </w:r>
      <w:r w:rsidRPr="004C2810">
        <w:rPr>
          <w:szCs w:val="24"/>
        </w:rPr>
        <w:t>esse evento pode causar poluição dos solos e águas devido à quebra do confinamento do sistema de aterramento de resíduos levando à liberação de líquidos percolados, gases e dos próprios resíduos ao meio ambiente.</w:t>
      </w:r>
    </w:p>
    <w:p w:rsidR="00DF4A2F" w:rsidRPr="004C2810" w:rsidRDefault="00DF4A2F" w:rsidP="00DF4A2F">
      <w:pPr>
        <w:pStyle w:val="PargrafodaLista"/>
        <w:numPr>
          <w:ilvl w:val="0"/>
          <w:numId w:val="8"/>
        </w:numPr>
        <w:tabs>
          <w:tab w:val="left" w:pos="993"/>
        </w:tabs>
        <w:spacing w:before="120" w:after="120"/>
        <w:ind w:left="0" w:firstLine="709"/>
        <w:rPr>
          <w:szCs w:val="24"/>
        </w:rPr>
      </w:pPr>
      <w:r w:rsidRPr="004C2810">
        <w:rPr>
          <w:b/>
          <w:szCs w:val="24"/>
        </w:rPr>
        <w:t xml:space="preserve">Ocorrência de má operação do aterro no que se refere à compactação da massa de resíduos: </w:t>
      </w:r>
      <w:r w:rsidRPr="004C2810">
        <w:rPr>
          <w:szCs w:val="24"/>
        </w:rPr>
        <w:t>se a massa de resíduos não for bem compactada na vala de aterramento, com o processo de biodegradação dos resíduos, pode ocorrer uma espécie de assentamento tardio do material aterrado, resultando na diminuição da estabilidade do aterro.</w:t>
      </w:r>
    </w:p>
    <w:p w:rsidR="00DF4A2F" w:rsidRPr="004C2810" w:rsidRDefault="00DF4A2F" w:rsidP="002828C8">
      <w:pPr>
        <w:pStyle w:val="Ttulo4"/>
      </w:pPr>
      <w:bookmarkStart w:id="346" w:name="_Toc497469036"/>
      <w:r w:rsidRPr="004C2810">
        <w:t>Eventos relacionados à gestão e ao gerenciamento</w:t>
      </w:r>
      <w:bookmarkEnd w:id="346"/>
    </w:p>
    <w:p w:rsidR="00DF4A2F" w:rsidRPr="004C2810" w:rsidRDefault="00DF4A2F" w:rsidP="00DF4A2F">
      <w:pPr>
        <w:pStyle w:val="PargrafodaLista"/>
        <w:numPr>
          <w:ilvl w:val="0"/>
          <w:numId w:val="8"/>
        </w:numPr>
        <w:tabs>
          <w:tab w:val="left" w:pos="993"/>
        </w:tabs>
        <w:spacing w:before="120" w:after="120"/>
        <w:ind w:left="0" w:firstLine="709"/>
        <w:rPr>
          <w:szCs w:val="24"/>
        </w:rPr>
      </w:pPr>
      <w:r w:rsidRPr="004C2810">
        <w:rPr>
          <w:b/>
        </w:rPr>
        <w:t>Falta de financiamento para o sistema operacional e a realização de manutenções</w:t>
      </w:r>
      <w:r w:rsidRPr="004C2810">
        <w:t>: a falta de financiamento para o sistema operacional e a realização de manutenções pode levar à interrupção dos serviços de coleta e manejo de resíduos sólidos.</w:t>
      </w:r>
    </w:p>
    <w:p w:rsidR="00DF4A2F" w:rsidRPr="004C2810" w:rsidRDefault="00DF4A2F" w:rsidP="00DF4A2F">
      <w:pPr>
        <w:pStyle w:val="PargrafodaLista"/>
        <w:numPr>
          <w:ilvl w:val="0"/>
          <w:numId w:val="9"/>
        </w:numPr>
        <w:tabs>
          <w:tab w:val="left" w:pos="993"/>
        </w:tabs>
        <w:spacing w:before="120" w:after="120"/>
        <w:ind w:left="0" w:firstLine="709"/>
        <w:rPr>
          <w:rFonts w:eastAsia="Calibri"/>
          <w:szCs w:val="24"/>
        </w:rPr>
      </w:pPr>
      <w:r w:rsidRPr="004C2810">
        <w:rPr>
          <w:rFonts w:eastAsia="Calibri"/>
          <w:b/>
          <w:szCs w:val="24"/>
        </w:rPr>
        <w:t>Paralisação da coleta regular</w:t>
      </w:r>
      <w:r w:rsidRPr="004C2810">
        <w:rPr>
          <w:rFonts w:eastAsia="Calibri"/>
          <w:szCs w:val="24"/>
        </w:rPr>
        <w:t>: a paralisação dos serviços de coleta regular acarreta disposição irregular desses resíduos, podendo causar diversos problemas, como o entupimento das estruturas de microdrenagem, a proliferação de vetores de doenças, entre outros.</w:t>
      </w:r>
    </w:p>
    <w:p w:rsidR="00DF4A2F" w:rsidRPr="004C2810" w:rsidRDefault="00DF4A2F" w:rsidP="00DF4A2F">
      <w:pPr>
        <w:pStyle w:val="PargrafodaLista"/>
        <w:numPr>
          <w:ilvl w:val="0"/>
          <w:numId w:val="9"/>
        </w:numPr>
        <w:tabs>
          <w:tab w:val="left" w:pos="993"/>
        </w:tabs>
        <w:spacing w:before="120" w:after="120"/>
        <w:ind w:left="0" w:firstLine="709"/>
        <w:rPr>
          <w:rFonts w:eastAsia="Calibri"/>
          <w:szCs w:val="24"/>
        </w:rPr>
      </w:pPr>
      <w:r w:rsidRPr="004C2810">
        <w:rPr>
          <w:b/>
          <w:szCs w:val="24"/>
        </w:rPr>
        <w:t>Paralisação dos serviços de varrição, poda e capina</w:t>
      </w:r>
      <w:r w:rsidRPr="004C2810">
        <w:rPr>
          <w:szCs w:val="24"/>
        </w:rPr>
        <w:t xml:space="preserve">: a paralisação dos serviços de varrição, poda e capina acarreta na disposição irregular desse tipo de </w:t>
      </w:r>
      <w:r w:rsidRPr="004C2810">
        <w:rPr>
          <w:szCs w:val="24"/>
        </w:rPr>
        <w:lastRenderedPageBreak/>
        <w:t>resíduo, o que pode levar, por sua vez, à atração de animais peçonhentos, ao entupimento das estruturas de drenagem urbana, entre outros problemas.</w:t>
      </w:r>
    </w:p>
    <w:p w:rsidR="00DF4A2F" w:rsidRPr="004C2810" w:rsidRDefault="00DF4A2F" w:rsidP="00DF4A2F">
      <w:pPr>
        <w:pStyle w:val="PargrafodaLista"/>
        <w:numPr>
          <w:ilvl w:val="0"/>
          <w:numId w:val="9"/>
        </w:numPr>
        <w:tabs>
          <w:tab w:val="left" w:pos="993"/>
        </w:tabs>
        <w:spacing w:before="120" w:after="120"/>
        <w:ind w:left="0" w:firstLine="709"/>
        <w:rPr>
          <w:rFonts w:eastAsia="Calibri"/>
          <w:szCs w:val="24"/>
        </w:rPr>
      </w:pPr>
      <w:r w:rsidRPr="004C2810">
        <w:rPr>
          <w:b/>
          <w:szCs w:val="24"/>
        </w:rPr>
        <w:t>Paralisação dos serviços de coleta seletiva de resíduos recicláveis</w:t>
      </w:r>
      <w:r w:rsidRPr="004C2810">
        <w:rPr>
          <w:szCs w:val="24"/>
        </w:rPr>
        <w:t>: a paralisação da coleta seletiva de resíduos recicláveis impede a destinação adequada dos mesmos, levando à disposição irregular junto a outros tipos de resíduos ou ainda nas vias públicas.</w:t>
      </w:r>
    </w:p>
    <w:p w:rsidR="00DF4A2F" w:rsidRPr="004C2810" w:rsidRDefault="00DF4A2F" w:rsidP="00DF4A2F">
      <w:pPr>
        <w:pStyle w:val="PargrafodaLista"/>
        <w:numPr>
          <w:ilvl w:val="0"/>
          <w:numId w:val="9"/>
        </w:numPr>
        <w:tabs>
          <w:tab w:val="left" w:pos="993"/>
        </w:tabs>
        <w:spacing w:before="120" w:after="120"/>
        <w:ind w:left="0" w:firstLine="709"/>
        <w:rPr>
          <w:rFonts w:eastAsia="Calibri"/>
          <w:szCs w:val="24"/>
        </w:rPr>
      </w:pPr>
      <w:r w:rsidRPr="004C2810">
        <w:rPr>
          <w:b/>
          <w:szCs w:val="24"/>
        </w:rPr>
        <w:t>Paralisação dos serviços de coleta de resíduos perigosos e de serviços de saúde</w:t>
      </w:r>
      <w:r w:rsidRPr="004C2810">
        <w:rPr>
          <w:szCs w:val="24"/>
        </w:rPr>
        <w:t>: a paralisação da coleta de resíduos perigosos e de serviços de saúde leva à disposição inadequada desse tipo de material, gerando riscos à saúde e à segurança da população, além da possibilidade de geração de um passivo ambiental.</w:t>
      </w:r>
    </w:p>
    <w:p w:rsidR="00DF4A2F" w:rsidRPr="004C2810" w:rsidRDefault="00DF4A2F" w:rsidP="002828C8">
      <w:pPr>
        <w:pStyle w:val="Ttulo4"/>
      </w:pPr>
      <w:bookmarkStart w:id="347" w:name="_Toc497469037"/>
      <w:r w:rsidRPr="004C2810">
        <w:t>Eventos imprevisíveis</w:t>
      </w:r>
      <w:bookmarkEnd w:id="347"/>
    </w:p>
    <w:p w:rsidR="00DF4A2F" w:rsidRPr="004C2810" w:rsidRDefault="00DF4A2F" w:rsidP="00DF4A2F">
      <w:pPr>
        <w:pStyle w:val="PargrafodaLista"/>
        <w:numPr>
          <w:ilvl w:val="0"/>
          <w:numId w:val="8"/>
        </w:numPr>
        <w:tabs>
          <w:tab w:val="left" w:pos="993"/>
        </w:tabs>
        <w:spacing w:before="120" w:after="120"/>
        <w:ind w:left="0" w:firstLine="709"/>
        <w:rPr>
          <w:szCs w:val="24"/>
        </w:rPr>
      </w:pPr>
      <w:r w:rsidRPr="004C2810">
        <w:rPr>
          <w:b/>
          <w:szCs w:val="24"/>
        </w:rPr>
        <w:t>Ocorrência de incêndios em edificações do sistema de manejo de resíduos sólidos (oficinas, galpões, usinas, etc.)</w:t>
      </w:r>
      <w:r w:rsidRPr="004C2810">
        <w:rPr>
          <w:szCs w:val="24"/>
        </w:rPr>
        <w:t>: a ocorrência de incêndios em edificações do sistema de manejo de resíduos sólidos coloca em risco a segurança dos operadores do sistema e da população de entorno, além de poder levar à interrupção do serviço.</w:t>
      </w:r>
    </w:p>
    <w:p w:rsidR="00DF4A2F" w:rsidRPr="004C2810" w:rsidRDefault="00DF4A2F" w:rsidP="00DF4A2F">
      <w:pPr>
        <w:pStyle w:val="PargrafodaLista"/>
        <w:numPr>
          <w:ilvl w:val="0"/>
          <w:numId w:val="8"/>
        </w:numPr>
        <w:tabs>
          <w:tab w:val="left" w:pos="993"/>
        </w:tabs>
        <w:spacing w:before="120" w:after="120"/>
        <w:ind w:left="0" w:firstLine="709"/>
        <w:rPr>
          <w:szCs w:val="24"/>
        </w:rPr>
      </w:pPr>
      <w:r w:rsidRPr="004C2810">
        <w:rPr>
          <w:b/>
          <w:szCs w:val="24"/>
        </w:rPr>
        <w:t>Ocorrência de danos às edificações do sistema de manejo de resíduos sólidos (oficinas, galpões, usinas, etc.) devido a desastres naturais</w:t>
      </w:r>
      <w:r w:rsidRPr="004C2810">
        <w:rPr>
          <w:szCs w:val="24"/>
        </w:rPr>
        <w:t>: enchentes, escorregamentos e outros desastres naturais podem causar danos às edificações do sistema, podendo acarretar a interrupção dos serviços.</w:t>
      </w:r>
    </w:p>
    <w:p w:rsidR="00DF4A2F" w:rsidRDefault="00DF4A2F" w:rsidP="00DF4A2F">
      <w:pPr>
        <w:pStyle w:val="PargrafodaLista"/>
        <w:numPr>
          <w:ilvl w:val="0"/>
          <w:numId w:val="8"/>
        </w:numPr>
        <w:tabs>
          <w:tab w:val="left" w:pos="993"/>
        </w:tabs>
        <w:spacing w:before="120" w:after="120"/>
        <w:ind w:left="0" w:firstLine="709"/>
        <w:rPr>
          <w:szCs w:val="24"/>
        </w:rPr>
      </w:pPr>
      <w:r w:rsidRPr="004C2810">
        <w:rPr>
          <w:b/>
          <w:szCs w:val="24"/>
        </w:rPr>
        <w:t>Ocorrência de incêndios, explosões ou vazamentos de lixiviado em aterros</w:t>
      </w:r>
      <w:r w:rsidRPr="004C2810">
        <w:rPr>
          <w:szCs w:val="24"/>
        </w:rPr>
        <w:t>: a ocorrência de acidentes, como incêndios, explosões ou vazamentos de lixiviado em aterros põe em risco a segurança e a saúde dos trabalhadores, reduz a capacidade de operação do aterro e pode gerar um passivo ambiental.</w:t>
      </w:r>
    </w:p>
    <w:p w:rsidR="002828C8" w:rsidRDefault="002828C8" w:rsidP="002828C8">
      <w:pPr>
        <w:pStyle w:val="PargrafodaLista"/>
        <w:tabs>
          <w:tab w:val="left" w:pos="993"/>
        </w:tabs>
        <w:spacing w:before="120" w:after="120"/>
        <w:ind w:left="709"/>
        <w:rPr>
          <w:b/>
          <w:szCs w:val="24"/>
        </w:rPr>
      </w:pPr>
    </w:p>
    <w:p w:rsidR="002828C8" w:rsidRDefault="002828C8" w:rsidP="002828C8">
      <w:pPr>
        <w:pStyle w:val="PargrafodaLista"/>
        <w:tabs>
          <w:tab w:val="left" w:pos="993"/>
        </w:tabs>
        <w:spacing w:before="120" w:after="120"/>
        <w:ind w:left="709"/>
        <w:rPr>
          <w:b/>
          <w:szCs w:val="24"/>
        </w:rPr>
      </w:pPr>
    </w:p>
    <w:p w:rsidR="002828C8" w:rsidRDefault="002828C8" w:rsidP="002828C8">
      <w:pPr>
        <w:pStyle w:val="PargrafodaLista"/>
        <w:tabs>
          <w:tab w:val="left" w:pos="993"/>
        </w:tabs>
        <w:spacing w:before="120" w:after="120"/>
        <w:ind w:left="709"/>
        <w:rPr>
          <w:b/>
          <w:szCs w:val="24"/>
        </w:rPr>
      </w:pPr>
    </w:p>
    <w:p w:rsidR="002828C8" w:rsidRDefault="002828C8" w:rsidP="002828C8">
      <w:pPr>
        <w:pStyle w:val="PargrafodaLista"/>
        <w:tabs>
          <w:tab w:val="left" w:pos="993"/>
        </w:tabs>
        <w:spacing w:before="120" w:after="120"/>
        <w:ind w:left="709"/>
        <w:rPr>
          <w:b/>
          <w:szCs w:val="24"/>
        </w:rPr>
      </w:pPr>
    </w:p>
    <w:p w:rsidR="002828C8" w:rsidRDefault="002828C8" w:rsidP="002828C8">
      <w:pPr>
        <w:pStyle w:val="PargrafodaLista"/>
        <w:tabs>
          <w:tab w:val="left" w:pos="993"/>
        </w:tabs>
        <w:spacing w:before="120" w:after="120"/>
        <w:ind w:left="709"/>
        <w:rPr>
          <w:b/>
          <w:szCs w:val="24"/>
        </w:rPr>
      </w:pPr>
    </w:p>
    <w:p w:rsidR="002828C8" w:rsidRDefault="002828C8" w:rsidP="002828C8">
      <w:pPr>
        <w:pStyle w:val="PargrafodaLista"/>
        <w:tabs>
          <w:tab w:val="left" w:pos="993"/>
        </w:tabs>
        <w:spacing w:before="120" w:after="120"/>
        <w:ind w:left="709"/>
        <w:rPr>
          <w:szCs w:val="24"/>
        </w:rPr>
      </w:pPr>
    </w:p>
    <w:p w:rsidR="00A87269" w:rsidRDefault="00A87269" w:rsidP="00A87269">
      <w:pPr>
        <w:pStyle w:val="SHS-Ttulo01"/>
      </w:pPr>
      <w:bookmarkStart w:id="348" w:name="_Toc488825303"/>
      <w:bookmarkStart w:id="349" w:name="_Toc493151469"/>
      <w:bookmarkStart w:id="350" w:name="_Toc497469038"/>
      <w:r>
        <w:lastRenderedPageBreak/>
        <w:t>PRESTAÇÃO</w:t>
      </w:r>
      <w:r w:rsidRPr="00DF4A2F">
        <w:t>, FISCALIZAÇÃO E REGULAÇÃO DOS SERVIÇOS PÚBLICOS DE SANEAMENTO BÁSICO</w:t>
      </w:r>
      <w:bookmarkEnd w:id="348"/>
      <w:bookmarkEnd w:id="349"/>
      <w:bookmarkEnd w:id="350"/>
    </w:p>
    <w:p w:rsidR="00A87269" w:rsidRPr="00DF4A2F" w:rsidRDefault="00A87269" w:rsidP="00A87269">
      <w:pPr>
        <w:pStyle w:val="Default"/>
        <w:spacing w:line="360" w:lineRule="auto"/>
        <w:ind w:firstLine="709"/>
        <w:jc w:val="both"/>
        <w:rPr>
          <w:color w:val="auto"/>
        </w:rPr>
      </w:pPr>
      <w:r w:rsidRPr="00DF4A2F">
        <w:rPr>
          <w:color w:val="auto"/>
        </w:rPr>
        <w:t>Segundo a Lei nº 11.445/07 e seu decreto regulamentador, são objetivos da Política Federal de Saneamento Básico promover alternativas de gestão que viabilizem a auto</w:t>
      </w:r>
      <w:r>
        <w:rPr>
          <w:color w:val="auto"/>
        </w:rPr>
        <w:t>s</w:t>
      </w:r>
      <w:r w:rsidRPr="00DF4A2F">
        <w:rPr>
          <w:color w:val="auto"/>
        </w:rPr>
        <w:t>sustentação econômica e financeira dos serviços, com ênfase na cooperação federativa</w:t>
      </w:r>
      <w:r>
        <w:rPr>
          <w:color w:val="auto"/>
        </w:rPr>
        <w:t xml:space="preserve">, </w:t>
      </w:r>
      <w:r w:rsidRPr="00DF4A2F">
        <w:rPr>
          <w:color w:val="auto"/>
        </w:rPr>
        <w:t xml:space="preserve">e promover </w:t>
      </w:r>
      <w:r>
        <w:rPr>
          <w:color w:val="auto"/>
        </w:rPr>
        <w:t xml:space="preserve">também </w:t>
      </w:r>
      <w:r w:rsidRPr="00DF4A2F">
        <w:rPr>
          <w:color w:val="auto"/>
        </w:rPr>
        <w:t>o desenvolvimento institucional do saneamento básico, estabelecendo meios para a unidade e articulação das ações dos diferentes agentes, bem como do desenvolvimento de sua organização, capacidade técnica, gerencial, financeira e de recursos humanos, contempladas as especificidades locais.</w:t>
      </w:r>
    </w:p>
    <w:p w:rsidR="00A87269" w:rsidRDefault="00A87269" w:rsidP="00A87269">
      <w:pPr>
        <w:pStyle w:val="Default"/>
        <w:spacing w:line="360" w:lineRule="auto"/>
        <w:ind w:firstLine="709"/>
        <w:jc w:val="both"/>
        <w:rPr>
          <w:color w:val="auto"/>
        </w:rPr>
      </w:pPr>
      <w:r w:rsidRPr="009E39AC">
        <w:rPr>
          <w:color w:val="auto"/>
        </w:rPr>
        <w:t>Conforme a Política Nacional de Saneamento Básico, as funções de gestão são: o planejamento, a prestação dos serviços, a regulação e a fiscalização, todas pautadas por mecanismos de controle social.</w:t>
      </w:r>
    </w:p>
    <w:p w:rsidR="00A87269" w:rsidRPr="00DF4A2F" w:rsidRDefault="00A87269" w:rsidP="002828C8">
      <w:pPr>
        <w:pStyle w:val="SHS-Ttulo02"/>
      </w:pPr>
      <w:bookmarkStart w:id="351" w:name="_Toc488825304"/>
      <w:bookmarkStart w:id="352" w:name="_Toc493151470"/>
      <w:bookmarkStart w:id="353" w:name="_Toc497469039"/>
      <w:r w:rsidRPr="00DF4A2F">
        <w:t xml:space="preserve">Modelos de </w:t>
      </w:r>
      <w:r>
        <w:t>prestação de serviços</w:t>
      </w:r>
      <w:bookmarkEnd w:id="351"/>
      <w:bookmarkEnd w:id="352"/>
      <w:bookmarkEnd w:id="353"/>
      <w:r>
        <w:t xml:space="preserve"> </w:t>
      </w:r>
    </w:p>
    <w:p w:rsidR="00A87269" w:rsidRDefault="00A87269" w:rsidP="00A87269">
      <w:pPr>
        <w:ind w:firstLine="709"/>
      </w:pPr>
      <w:r>
        <w:t xml:space="preserve">A prestação dos serviços de saneamento básico é competência do Município e envolve a execução de toda e qualquer atividade ou obra com o objetivo de permitir o acesso a </w:t>
      </w:r>
      <w:r w:rsidRPr="00FF45EF">
        <w:t>esses serviços, em estrita conformidade com o estabelecido no planejamento e na regulação (Lei nº 11.107/2005).</w:t>
      </w:r>
    </w:p>
    <w:p w:rsidR="00A87269" w:rsidRDefault="00A87269" w:rsidP="00A87269">
      <w:pPr>
        <w:ind w:firstLine="709"/>
      </w:pPr>
      <w:r>
        <w:t>O Município pode exercer essa função diretamente ou delegá-la a outro ente. Cabe também ao titular definir o ente responsável pela regulação e fiscalização dos serviços, inclusive os procedimentos de sua atuação, além dos mecanismos de controle social.</w:t>
      </w:r>
    </w:p>
    <w:p w:rsidR="00A87269" w:rsidRDefault="00A87269" w:rsidP="00A87269">
      <w:pPr>
        <w:ind w:firstLine="709"/>
        <w:rPr>
          <w:rFonts w:cs="Arial"/>
          <w:szCs w:val="24"/>
        </w:rPr>
      </w:pPr>
      <w:r>
        <w:t xml:space="preserve">Existem três formas de prestação dos serviços de saneamento básico: a prestação direta, a prestação indireta (mediante delegação por meio de concessão, permissão ou autorização) e a gestão associada, conforme mostra o </w:t>
      </w:r>
      <w:r w:rsidRPr="00DF4A2F">
        <w:rPr>
          <w:rFonts w:cs="Arial"/>
          <w:szCs w:val="24"/>
        </w:rPr>
        <w:fldChar w:fldCharType="begin"/>
      </w:r>
      <w:r w:rsidRPr="00DF4A2F">
        <w:rPr>
          <w:rFonts w:cs="Arial"/>
          <w:szCs w:val="24"/>
        </w:rPr>
        <w:instrText xml:space="preserve"> REF _Ref484510221 \h  \* MERGEFORMAT </w:instrText>
      </w:r>
      <w:r w:rsidRPr="00DF4A2F">
        <w:rPr>
          <w:rFonts w:cs="Arial"/>
          <w:szCs w:val="24"/>
        </w:rPr>
      </w:r>
      <w:r w:rsidRPr="00DF4A2F">
        <w:rPr>
          <w:rFonts w:cs="Arial"/>
          <w:szCs w:val="24"/>
        </w:rPr>
        <w:fldChar w:fldCharType="separate"/>
      </w:r>
      <w:r w:rsidR="004D1D76" w:rsidRPr="00DF4A2F">
        <w:t xml:space="preserve">Quadro </w:t>
      </w:r>
      <w:r w:rsidR="004D1D76">
        <w:rPr>
          <w:noProof/>
        </w:rPr>
        <w:t>31</w:t>
      </w:r>
      <w:r w:rsidRPr="00DF4A2F">
        <w:rPr>
          <w:rFonts w:cs="Arial"/>
          <w:szCs w:val="24"/>
        </w:rPr>
        <w:fldChar w:fldCharType="end"/>
      </w:r>
      <w:r>
        <w:rPr>
          <w:rFonts w:cs="Arial"/>
          <w:szCs w:val="24"/>
        </w:rPr>
        <w:t>.</w:t>
      </w:r>
    </w:p>
    <w:p w:rsidR="00A87269" w:rsidRDefault="00A87269" w:rsidP="00A87269">
      <w:pPr>
        <w:ind w:firstLine="709"/>
        <w:rPr>
          <w:rFonts w:cs="Arial"/>
          <w:szCs w:val="24"/>
        </w:rPr>
      </w:pPr>
    </w:p>
    <w:p w:rsidR="00A87269" w:rsidRDefault="00A87269" w:rsidP="00A87269">
      <w:pPr>
        <w:ind w:firstLine="709"/>
        <w:rPr>
          <w:rFonts w:cs="Arial"/>
          <w:szCs w:val="24"/>
        </w:rPr>
      </w:pPr>
    </w:p>
    <w:p w:rsidR="00A87269" w:rsidRPr="00917BC7" w:rsidRDefault="00A87269" w:rsidP="00A87269">
      <w:pPr>
        <w:pStyle w:val="Legenda"/>
        <w:rPr>
          <w:lang w:val="pt-BR"/>
        </w:rPr>
      </w:pPr>
      <w:bookmarkStart w:id="354" w:name="_Ref484510221"/>
      <w:bookmarkStart w:id="355" w:name="_Toc488825045"/>
      <w:bookmarkStart w:id="356" w:name="_Toc493151581"/>
      <w:bookmarkStart w:id="357" w:name="_Toc497469152"/>
      <w:r w:rsidRPr="00DF4A2F">
        <w:lastRenderedPageBreak/>
        <w:t xml:space="preserve">Quadro </w:t>
      </w:r>
      <w:r w:rsidR="00D71C43">
        <w:fldChar w:fldCharType="begin"/>
      </w:r>
      <w:r w:rsidR="00D71C43">
        <w:instrText xml:space="preserve"> SEQ Quadro \* ARABIC </w:instrText>
      </w:r>
      <w:r w:rsidR="00D71C43">
        <w:fldChar w:fldCharType="separate"/>
      </w:r>
      <w:r w:rsidR="004D1D76">
        <w:rPr>
          <w:noProof/>
        </w:rPr>
        <w:t>31</w:t>
      </w:r>
      <w:r w:rsidR="00D71C43">
        <w:rPr>
          <w:noProof/>
        </w:rPr>
        <w:fldChar w:fldCharType="end"/>
      </w:r>
      <w:bookmarkEnd w:id="354"/>
      <w:r w:rsidRPr="00DF4A2F">
        <w:rPr>
          <w:lang w:val="pt-BR"/>
        </w:rPr>
        <w:t xml:space="preserve"> - </w:t>
      </w:r>
      <w:r>
        <w:rPr>
          <w:lang w:val="pt-BR"/>
        </w:rPr>
        <w:t>Formas</w:t>
      </w:r>
      <w:r w:rsidRPr="00DF4A2F">
        <w:t xml:space="preserve"> de </w:t>
      </w:r>
      <w:r>
        <w:rPr>
          <w:lang w:val="pt-BR"/>
        </w:rPr>
        <w:t xml:space="preserve">prestação de </w:t>
      </w:r>
      <w:r w:rsidRPr="00DF4A2F">
        <w:t xml:space="preserve">serviços </w:t>
      </w:r>
      <w:r>
        <w:rPr>
          <w:lang w:val="pt-BR"/>
        </w:rPr>
        <w:t>públicos admitidas pela Constituição Federal</w:t>
      </w:r>
      <w:bookmarkEnd w:id="355"/>
      <w:bookmarkEnd w:id="356"/>
      <w:bookmarkEnd w:id="357"/>
    </w:p>
    <w:p w:rsidR="00A87269" w:rsidRDefault="00A87269" w:rsidP="00A87269">
      <w:pPr>
        <w:pStyle w:val="figura"/>
        <w:rPr>
          <w:noProof/>
        </w:rPr>
      </w:pPr>
      <w:r>
        <w:rPr>
          <w:noProof/>
        </w:rPr>
        <w:drawing>
          <wp:inline distT="0" distB="0" distL="0" distR="0" wp14:anchorId="6696180B" wp14:editId="27255A9B">
            <wp:extent cx="5924550" cy="339090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b="2997"/>
                    <a:stretch/>
                  </pic:blipFill>
                  <pic:spPr bwMode="auto">
                    <a:xfrm>
                      <a:off x="0" y="0"/>
                      <a:ext cx="5924550" cy="3390900"/>
                    </a:xfrm>
                    <a:prstGeom prst="rect">
                      <a:avLst/>
                    </a:prstGeom>
                    <a:ln>
                      <a:noFill/>
                    </a:ln>
                    <a:extLst>
                      <a:ext uri="{53640926-AAD7-44D8-BBD7-CCE9431645EC}">
                        <a14:shadowObscured xmlns:a14="http://schemas.microsoft.com/office/drawing/2010/main"/>
                      </a:ext>
                    </a:extLst>
                  </pic:spPr>
                </pic:pic>
              </a:graphicData>
            </a:graphic>
          </wp:inline>
        </w:drawing>
      </w:r>
    </w:p>
    <w:p w:rsidR="00A87269" w:rsidRDefault="00A87269" w:rsidP="00A87269">
      <w:pPr>
        <w:pStyle w:val="Fonte"/>
      </w:pPr>
      <w:r>
        <w:t>Fonte: ReCESA, 2013; adaptado de Ribeiro, 2017.</w:t>
      </w:r>
    </w:p>
    <w:p w:rsidR="00A87269" w:rsidRDefault="00A87269" w:rsidP="002828C8">
      <w:pPr>
        <w:pStyle w:val="Ttulo3"/>
      </w:pPr>
      <w:bookmarkStart w:id="358" w:name="_Toc488825305"/>
      <w:bookmarkStart w:id="359" w:name="_Toc493151471"/>
      <w:bookmarkStart w:id="360" w:name="_Toc497469040"/>
      <w:r>
        <w:t>Prestação direta</w:t>
      </w:r>
      <w:bookmarkEnd w:id="358"/>
      <w:bookmarkEnd w:id="359"/>
      <w:bookmarkEnd w:id="360"/>
    </w:p>
    <w:p w:rsidR="00A87269" w:rsidRPr="00DF4A2F" w:rsidRDefault="00A87269" w:rsidP="00A87269">
      <w:pPr>
        <w:pStyle w:val="Default"/>
        <w:spacing w:line="360" w:lineRule="auto"/>
        <w:ind w:firstLine="709"/>
        <w:jc w:val="both"/>
        <w:rPr>
          <w:color w:val="auto"/>
        </w:rPr>
      </w:pPr>
      <w:r>
        <w:t xml:space="preserve">Conforme mostra o quadro, o Município pode prestar diretamente os serviços de saneamento básico, via administração central, </w:t>
      </w:r>
      <w:r w:rsidRPr="00DF4A2F">
        <w:rPr>
          <w:color w:val="auto"/>
        </w:rPr>
        <w:t>distribui</w:t>
      </w:r>
      <w:r>
        <w:rPr>
          <w:color w:val="auto"/>
        </w:rPr>
        <w:t>ndo</w:t>
      </w:r>
      <w:r w:rsidRPr="00DF4A2F">
        <w:rPr>
          <w:color w:val="auto"/>
        </w:rPr>
        <w:t xml:space="preserve"> as atribuições pela prestação dos serviços entre </w:t>
      </w:r>
      <w:r>
        <w:rPr>
          <w:color w:val="auto"/>
        </w:rPr>
        <w:t xml:space="preserve">as várias </w:t>
      </w:r>
      <w:r w:rsidRPr="00DF4A2F">
        <w:rPr>
          <w:color w:val="auto"/>
        </w:rPr>
        <w:t>secretarias ou departamentos (PEREIRA, 199</w:t>
      </w:r>
      <w:r>
        <w:rPr>
          <w:color w:val="auto"/>
        </w:rPr>
        <w:t>8</w:t>
      </w:r>
      <w:r w:rsidRPr="00DF4A2F">
        <w:rPr>
          <w:color w:val="auto"/>
        </w:rPr>
        <w:t>).</w:t>
      </w:r>
    </w:p>
    <w:p w:rsidR="00A87269" w:rsidRDefault="00A87269" w:rsidP="00A87269">
      <w:pPr>
        <w:ind w:firstLine="709"/>
      </w:pPr>
      <w:r>
        <w:t xml:space="preserve">A prestação direta também pode se dar de forma descentralizada, sendo feita por meio de autarquia, sociedade de economia (fundação) ou empresa pública. </w:t>
      </w:r>
    </w:p>
    <w:p w:rsidR="00A87269" w:rsidRPr="00DF4A2F" w:rsidRDefault="00A87269" w:rsidP="00A87269">
      <w:pPr>
        <w:pStyle w:val="Default"/>
        <w:spacing w:line="360" w:lineRule="auto"/>
        <w:ind w:firstLine="709"/>
        <w:jc w:val="both"/>
        <w:rPr>
          <w:color w:val="auto"/>
        </w:rPr>
      </w:pPr>
      <w:r w:rsidRPr="00DF4A2F">
        <w:rPr>
          <w:color w:val="auto"/>
        </w:rPr>
        <w:t xml:space="preserve">O termo autarquia significa “comando próprio”, “direção própria”, “autogoverno”, sendo formado por dois elementos derivados do </w:t>
      </w:r>
      <w:r>
        <w:rPr>
          <w:color w:val="auto"/>
        </w:rPr>
        <w:t>g</w:t>
      </w:r>
      <w:r w:rsidRPr="00DF4A2F">
        <w:rPr>
          <w:color w:val="auto"/>
        </w:rPr>
        <w:t>rego: autós (próprio) e arquia (comando, governo) (CRETELLA JÚNIOR, 1980).</w:t>
      </w:r>
    </w:p>
    <w:p w:rsidR="00A87269" w:rsidRPr="00AB1115" w:rsidRDefault="00A87269" w:rsidP="00A87269">
      <w:pPr>
        <w:pStyle w:val="Default"/>
        <w:spacing w:line="360" w:lineRule="auto"/>
        <w:ind w:firstLine="709"/>
        <w:jc w:val="both"/>
        <w:rPr>
          <w:color w:val="auto"/>
        </w:rPr>
      </w:pPr>
      <w:r w:rsidRPr="00DF4A2F">
        <w:rPr>
          <w:color w:val="auto"/>
        </w:rPr>
        <w:t xml:space="preserve">As autarquias são entes administrativos autônomos, com personalidade jurídica de direito público, que desempenham funções eminentemente públicas, sob o controle estadual ou municipal. Atuam em nome próprio, sendo criadas por lei específica (CF, art. 37, XIX), de </w:t>
      </w:r>
      <w:r w:rsidRPr="00AB1115">
        <w:rPr>
          <w:color w:val="auto"/>
        </w:rPr>
        <w:t xml:space="preserve">iniciativa do chefe do Poder Executivo (CF, art. 61, § 1º), e sua organização é imposta por decreto, regulamento ou estatuto (ROSA, 2007). </w:t>
      </w:r>
    </w:p>
    <w:p w:rsidR="00A87269" w:rsidRPr="00DF4A2F" w:rsidRDefault="00A87269" w:rsidP="00A87269">
      <w:pPr>
        <w:pStyle w:val="Default"/>
        <w:spacing w:line="360" w:lineRule="auto"/>
        <w:ind w:firstLine="709"/>
        <w:jc w:val="both"/>
        <w:rPr>
          <w:color w:val="auto"/>
        </w:rPr>
      </w:pPr>
      <w:r w:rsidRPr="00AB1115">
        <w:rPr>
          <w:color w:val="auto"/>
        </w:rPr>
        <w:lastRenderedPageBreak/>
        <w:t>Essa constituição tem como competência exercer as atividades relacionadas à administração, operação, manutenção e expansão dos serviços de saneamento, assim como a prestação direta centralizada</w:t>
      </w:r>
      <w:r>
        <w:rPr>
          <w:color w:val="auto"/>
        </w:rPr>
        <w:t>.</w:t>
      </w:r>
    </w:p>
    <w:p w:rsidR="00A87269" w:rsidRPr="00DF4A2F" w:rsidRDefault="00A87269" w:rsidP="00A87269">
      <w:pPr>
        <w:pStyle w:val="Default"/>
        <w:spacing w:line="360" w:lineRule="auto"/>
        <w:ind w:firstLine="709"/>
        <w:jc w:val="both"/>
        <w:rPr>
          <w:color w:val="auto"/>
        </w:rPr>
      </w:pPr>
      <w:r w:rsidRPr="00DF4A2F">
        <w:rPr>
          <w:color w:val="auto"/>
        </w:rPr>
        <w:t>Em estudo sobre os diferentes modelos de prestação dos serviços de saneamento básico utilizando indicadores, Heller, Coutinho e Mingoti (2006) destacam o bom desempenho das autarquias, citando 20 experiências municipais de êxito, divulgada</w:t>
      </w:r>
      <w:r>
        <w:rPr>
          <w:color w:val="auto"/>
        </w:rPr>
        <w:t>s</w:t>
      </w:r>
      <w:r w:rsidRPr="00DF4A2F">
        <w:rPr>
          <w:color w:val="auto"/>
        </w:rPr>
        <w:t xml:space="preserve"> pela Associação Nacional dos Serviços Municipais de Saneamento (ASSEMAE).</w:t>
      </w:r>
    </w:p>
    <w:p w:rsidR="00A87269" w:rsidRPr="00DF4A2F" w:rsidRDefault="00A87269" w:rsidP="00A87269">
      <w:pPr>
        <w:pStyle w:val="Default"/>
        <w:spacing w:line="360" w:lineRule="auto"/>
        <w:ind w:firstLine="709"/>
        <w:jc w:val="both"/>
        <w:rPr>
          <w:color w:val="auto"/>
        </w:rPr>
      </w:pPr>
      <w:r w:rsidRPr="00DF4A2F">
        <w:rPr>
          <w:color w:val="auto"/>
        </w:rPr>
        <w:t>A ASSEMAE, que surgiu da resistência à política autoritária de não reconhecimento do poder local, ao publicar essas experiências traz uma reflexão da capacidade de os municípios se organizarem e traçarem suas diretrizes para o saneamento básico de forma integrada com as políticas públicas locais.</w:t>
      </w:r>
    </w:p>
    <w:p w:rsidR="00A87269" w:rsidRPr="00A8563C" w:rsidRDefault="00A87269" w:rsidP="00A87269">
      <w:pPr>
        <w:pStyle w:val="Default"/>
        <w:spacing w:line="360" w:lineRule="auto"/>
        <w:ind w:firstLine="709"/>
        <w:jc w:val="both"/>
        <w:rPr>
          <w:color w:val="auto"/>
        </w:rPr>
      </w:pPr>
      <w:r w:rsidRPr="00DF4A2F">
        <w:rPr>
          <w:color w:val="auto"/>
        </w:rPr>
        <w:t>As experiências bem-sucedidas de autarquias municipais de saneamento básico são demonstrações de fortalecimento do poder local e de possibilidade de rompimento com a concepção centralizadora e distante da população local que foi adotada na década de 70. A resistência de muitos municípios a não aderir à política implantada nessa época é um dos fatores que contribuíram para a existência das autarquias municipais na prestação dos serviços públicos de saneamento básico. Normalmente</w:t>
      </w:r>
      <w:r>
        <w:rPr>
          <w:color w:val="auto"/>
        </w:rPr>
        <w:t>,</w:t>
      </w:r>
      <w:r w:rsidRPr="00DF4A2F">
        <w:rPr>
          <w:color w:val="auto"/>
        </w:rPr>
        <w:t xml:space="preserve"> as autarquias municipais recebem a denominação de Serviço Autônomo de Água e Esgoto — SAAE, Superintendência de Água e Esgoto — SAE ou Departamento Municipal de Água e Esgoto — DMAE. Muitas autarquias foram administradas pela antiga Fundação de Serviços de </w:t>
      </w:r>
      <w:r w:rsidRPr="00A8563C">
        <w:rPr>
          <w:color w:val="auto"/>
        </w:rPr>
        <w:t>Saúde Pública (FSESP), atual Fundação Nacional de Saúde (FUNASA).</w:t>
      </w:r>
    </w:p>
    <w:p w:rsidR="00A87269" w:rsidRPr="00A8563C" w:rsidRDefault="00A87269" w:rsidP="002828C8">
      <w:pPr>
        <w:pStyle w:val="Ttulo3"/>
      </w:pPr>
      <w:bookmarkStart w:id="361" w:name="_Toc488825306"/>
      <w:bookmarkStart w:id="362" w:name="_Toc493151472"/>
      <w:bookmarkStart w:id="363" w:name="_Toc497469041"/>
      <w:r w:rsidRPr="00A8563C">
        <w:t>Prestação indireta</w:t>
      </w:r>
      <w:bookmarkEnd w:id="361"/>
      <w:bookmarkEnd w:id="362"/>
      <w:bookmarkEnd w:id="363"/>
    </w:p>
    <w:p w:rsidR="00A87269" w:rsidRPr="00A8563C" w:rsidRDefault="00A87269" w:rsidP="002828C8">
      <w:pPr>
        <w:pStyle w:val="Ttulo4"/>
      </w:pPr>
      <w:bookmarkStart w:id="364" w:name="_Toc488825307"/>
      <w:bookmarkStart w:id="365" w:name="_Toc493151473"/>
      <w:bookmarkStart w:id="366" w:name="_Toc497469042"/>
      <w:r w:rsidRPr="00A8563C">
        <w:t>Prestação por concessão</w:t>
      </w:r>
      <w:bookmarkEnd w:id="364"/>
      <w:bookmarkEnd w:id="365"/>
      <w:bookmarkEnd w:id="366"/>
    </w:p>
    <w:p w:rsidR="00A87269" w:rsidRDefault="00A87269" w:rsidP="00A87269">
      <w:pPr>
        <w:ind w:firstLine="709"/>
      </w:pPr>
      <w:r w:rsidRPr="00A8563C">
        <w:t>O município pode ainda delegar a prestação a terceiros por meio de licitação pública e contrato de concessão (com empresa estatal ou privada), o que caracteriza a prestação indireta. Os contratos de concessão</w:t>
      </w:r>
      <w:r>
        <w:t xml:space="preserve"> com empresa estatal ou privada devem atender, além da legislação e regulação do titular, às normas gerais da Lei Federal nº 8.987/1995, que dispõe sobre o regime de concessão e permissão da prestação de </w:t>
      </w:r>
      <w:r>
        <w:lastRenderedPageBreak/>
        <w:t>serviços públicos, sempre precedida de licitação pública, que se processa conforme a Lei Federal nº 8.666/</w:t>
      </w:r>
      <w:r w:rsidRPr="00A3769E">
        <w:t>1993.</w:t>
      </w:r>
    </w:p>
    <w:p w:rsidR="00A87269" w:rsidRPr="00A3769E" w:rsidRDefault="00A87269" w:rsidP="002828C8">
      <w:pPr>
        <w:pStyle w:val="Ttulo4"/>
      </w:pPr>
      <w:bookmarkStart w:id="367" w:name="_Toc488825308"/>
      <w:bookmarkStart w:id="368" w:name="_Toc493151474"/>
      <w:bookmarkStart w:id="369" w:name="_Toc497469043"/>
      <w:r w:rsidRPr="00A3769E">
        <w:t>Prestação público-privada</w:t>
      </w:r>
      <w:bookmarkEnd w:id="367"/>
      <w:bookmarkEnd w:id="368"/>
      <w:bookmarkEnd w:id="369"/>
    </w:p>
    <w:p w:rsidR="00A87269" w:rsidRPr="00A3769E" w:rsidRDefault="00A87269" w:rsidP="00A87269">
      <w:pPr>
        <w:pStyle w:val="Default"/>
        <w:spacing w:line="360" w:lineRule="auto"/>
        <w:ind w:firstLine="709"/>
        <w:jc w:val="both"/>
        <w:rPr>
          <w:color w:val="auto"/>
        </w:rPr>
      </w:pPr>
      <w:r w:rsidRPr="00A3769E">
        <w:rPr>
          <w:color w:val="auto"/>
        </w:rPr>
        <w:t xml:space="preserve">Esse modelo de </w:t>
      </w:r>
      <w:r>
        <w:rPr>
          <w:color w:val="auto"/>
        </w:rPr>
        <w:t>prestação</w:t>
      </w:r>
      <w:r w:rsidRPr="00A3769E">
        <w:rPr>
          <w:color w:val="auto"/>
        </w:rPr>
        <w:t xml:space="preserve"> é caracterizado por concessões de serviços públicos, regidas pela Lei nº 11.079/04, que envolvam contraprestação pecuniária pública. Nas parcerias público-privadas (PPP), o Estado participa, integral ou parcialmente, da remuneração do concessionário, enquanto na concessão comum, o concessionário é remunerado básica e especialmente através das tarifas cobradas diretamente pelos usuários.</w:t>
      </w:r>
      <w:r>
        <w:rPr>
          <w:color w:val="auto"/>
        </w:rPr>
        <w:t xml:space="preserve"> </w:t>
      </w:r>
      <w:r w:rsidRPr="00A3769E">
        <w:rPr>
          <w:color w:val="auto"/>
        </w:rPr>
        <w:t>Existe uma subdivisão das parcerias público-privadas: concessões administrativas e concessões patrocinadas.</w:t>
      </w:r>
    </w:p>
    <w:p w:rsidR="00A87269" w:rsidRPr="00A3769E" w:rsidRDefault="00A87269" w:rsidP="00A87269">
      <w:pPr>
        <w:pStyle w:val="Default"/>
        <w:rPr>
          <w:b/>
          <w:bCs/>
          <w:color w:val="auto"/>
          <w:sz w:val="23"/>
          <w:szCs w:val="23"/>
        </w:rPr>
      </w:pPr>
    </w:p>
    <w:p w:rsidR="00A87269" w:rsidRPr="00A3769E" w:rsidRDefault="00A87269" w:rsidP="00A87269">
      <w:pPr>
        <w:pStyle w:val="Default"/>
        <w:numPr>
          <w:ilvl w:val="0"/>
          <w:numId w:val="12"/>
        </w:numPr>
        <w:spacing w:line="360" w:lineRule="auto"/>
        <w:jc w:val="both"/>
        <w:rPr>
          <w:color w:val="auto"/>
        </w:rPr>
      </w:pPr>
      <w:r w:rsidRPr="00A3769E">
        <w:rPr>
          <w:b/>
          <w:bCs/>
          <w:color w:val="auto"/>
        </w:rPr>
        <w:t xml:space="preserve">Concessões administrativas: </w:t>
      </w:r>
      <w:r w:rsidRPr="00A3769E">
        <w:rPr>
          <w:bCs/>
          <w:color w:val="auto"/>
        </w:rPr>
        <w:t>nesse modelo,</w:t>
      </w:r>
      <w:r w:rsidRPr="00A3769E">
        <w:rPr>
          <w:b/>
          <w:bCs/>
          <w:color w:val="auto"/>
        </w:rPr>
        <w:t xml:space="preserve"> </w:t>
      </w:r>
      <w:r w:rsidRPr="00A3769E">
        <w:rPr>
          <w:color w:val="auto"/>
        </w:rPr>
        <w:t>a Administração concede a prestação do serviço ao parceiro privado e o remunera na exata proporção dos serviços prestados, na função de usuário ou beneficiário direto da atividade. É tido como modelo ideal para as atividades que não comportam cobrança direta de tarifas dos usuários, seja pela impossibilidade de se identificar uma relação contratual entre o tomador e o prestador do serviço, ou pelos interesses sociais envolvidos na questão.</w:t>
      </w:r>
    </w:p>
    <w:p w:rsidR="00A87269" w:rsidRPr="00A3769E" w:rsidRDefault="00A87269" w:rsidP="00A87269">
      <w:pPr>
        <w:pStyle w:val="Default"/>
        <w:numPr>
          <w:ilvl w:val="0"/>
          <w:numId w:val="12"/>
        </w:numPr>
        <w:spacing w:line="360" w:lineRule="auto"/>
        <w:jc w:val="both"/>
        <w:rPr>
          <w:color w:val="auto"/>
        </w:rPr>
      </w:pPr>
      <w:r w:rsidRPr="00A3769E">
        <w:rPr>
          <w:b/>
          <w:bCs/>
          <w:color w:val="auto"/>
        </w:rPr>
        <w:t xml:space="preserve">Concessões patrocinadas: </w:t>
      </w:r>
      <w:r w:rsidRPr="00A3769E">
        <w:rPr>
          <w:bCs/>
          <w:color w:val="auto"/>
        </w:rPr>
        <w:t>nesse modelo,</w:t>
      </w:r>
      <w:r w:rsidRPr="00A3769E">
        <w:rPr>
          <w:b/>
          <w:bCs/>
          <w:color w:val="auto"/>
        </w:rPr>
        <w:t xml:space="preserve"> </w:t>
      </w:r>
      <w:r w:rsidRPr="00A3769E">
        <w:rPr>
          <w:color w:val="auto"/>
        </w:rPr>
        <w:t>a Administração complementa a remuneração do concessionário, pagando uma contraprestação pecuniária ao lado das tarifas cobradas dos usuários do serviço público. Ao mesmo tempo em que viabiliza investimentos particulares e aproveita o ganho de eficiência da atividade empresarial privada nos serviços de saneamento básico, auxilia as atividades do setor que normalmente operam em condições financeiras não sustentáveis. Existe neste modelo o risco plausível d</w:t>
      </w:r>
      <w:r>
        <w:rPr>
          <w:color w:val="auto"/>
        </w:rPr>
        <w:t xml:space="preserve">e </w:t>
      </w:r>
      <w:r w:rsidRPr="00A3769E">
        <w:rPr>
          <w:color w:val="auto"/>
        </w:rPr>
        <w:t>o concessionário assumir uma atividade deficitária, no entanto, sua capacidade de recuperação do capital investido é, via de regra, considerada boa.</w:t>
      </w:r>
    </w:p>
    <w:p w:rsidR="00A87269" w:rsidRPr="00A3769E" w:rsidRDefault="00A87269" w:rsidP="002828C8">
      <w:pPr>
        <w:pStyle w:val="Ttulo4"/>
      </w:pPr>
      <w:bookmarkStart w:id="370" w:name="_Toc488825309"/>
      <w:bookmarkStart w:id="371" w:name="_Toc493151475"/>
      <w:bookmarkStart w:id="372" w:name="_Toc497469044"/>
      <w:r w:rsidRPr="00A3769E">
        <w:t>Prestação privada</w:t>
      </w:r>
      <w:bookmarkEnd w:id="370"/>
      <w:bookmarkEnd w:id="371"/>
      <w:bookmarkEnd w:id="372"/>
      <w:r w:rsidRPr="00A3769E">
        <w:t xml:space="preserve"> </w:t>
      </w:r>
    </w:p>
    <w:p w:rsidR="00A87269" w:rsidRPr="00A3769E" w:rsidRDefault="00A87269" w:rsidP="00A87269">
      <w:pPr>
        <w:pStyle w:val="Default"/>
        <w:spacing w:line="360" w:lineRule="auto"/>
        <w:ind w:firstLine="709"/>
        <w:jc w:val="both"/>
        <w:rPr>
          <w:color w:val="auto"/>
        </w:rPr>
      </w:pPr>
      <w:r w:rsidRPr="00A3769E">
        <w:rPr>
          <w:color w:val="auto"/>
        </w:rPr>
        <w:t xml:space="preserve">Existem diversos casos em que é inviável a criação de autarquias e empresas estatais para a expansão da estrutura administrativa e sua posterior manutenção, o que desestimula os gestores a assumir a prestação direta ou indireta da atividade. Sendo </w:t>
      </w:r>
      <w:r w:rsidRPr="00A3769E">
        <w:rPr>
          <w:color w:val="auto"/>
        </w:rPr>
        <w:lastRenderedPageBreak/>
        <w:t xml:space="preserve">assim, é possível delegar a prestação de serviço a uma empresa privada </w:t>
      </w:r>
      <w:r w:rsidRPr="00130C7D">
        <w:rPr>
          <w:color w:val="auto"/>
        </w:rPr>
        <w:t>que arque</w:t>
      </w:r>
      <w:r w:rsidRPr="00A3769E">
        <w:rPr>
          <w:color w:val="auto"/>
        </w:rPr>
        <w:t xml:space="preserve"> com os investimentos necessários para a expansão, manutenção e operação dos sistemas, através de recursos próprios.</w:t>
      </w:r>
    </w:p>
    <w:p w:rsidR="00A87269" w:rsidRPr="00A3769E" w:rsidRDefault="00A87269" w:rsidP="00A87269">
      <w:pPr>
        <w:pStyle w:val="Default"/>
        <w:spacing w:line="360" w:lineRule="auto"/>
        <w:ind w:firstLine="709"/>
        <w:jc w:val="both"/>
        <w:rPr>
          <w:color w:val="auto"/>
        </w:rPr>
      </w:pPr>
      <w:r w:rsidRPr="00A3769E">
        <w:rPr>
          <w:color w:val="auto"/>
        </w:rPr>
        <w:t>Conforme o Sistema Nacional de Informações sobre Saneamento Básico (SNIS)</w:t>
      </w:r>
      <w:r>
        <w:rPr>
          <w:color w:val="auto"/>
        </w:rPr>
        <w:t xml:space="preserve">, </w:t>
      </w:r>
      <w:r w:rsidRPr="00A3769E">
        <w:rPr>
          <w:color w:val="auto"/>
        </w:rPr>
        <w:t xml:space="preserve">são privadas as “empresas com capital predominantemente ou integralmente privado, administradas exclusivamente por particulares”. </w:t>
      </w:r>
    </w:p>
    <w:p w:rsidR="00A87269" w:rsidRPr="00A3769E" w:rsidRDefault="00A87269" w:rsidP="00A87269">
      <w:pPr>
        <w:pStyle w:val="Default"/>
        <w:spacing w:line="360" w:lineRule="auto"/>
        <w:ind w:firstLine="709"/>
        <w:jc w:val="both"/>
        <w:rPr>
          <w:color w:val="auto"/>
        </w:rPr>
      </w:pPr>
      <w:r w:rsidRPr="00A3769E">
        <w:rPr>
          <w:color w:val="auto"/>
        </w:rPr>
        <w:t>Atualmente, a concessão privada da prestação dos serviços dá-se por licitação, segundo a Lei nº 8.666/1993, que institui normas para licitações e contratos da Administração Pública</w:t>
      </w:r>
      <w:r>
        <w:rPr>
          <w:color w:val="auto"/>
        </w:rPr>
        <w:t>,</w:t>
      </w:r>
      <w:r w:rsidRPr="00A3769E">
        <w:rPr>
          <w:color w:val="auto"/>
        </w:rPr>
        <w:t xml:space="preserve"> e as Leis nº 8.987/1995 e nº 9.074/95, que estabelecem normas para a concessão de serviços públicos ao setor privado, pela União, Estados, Distrito Federal e Municípios que, ainda assim, retêm para si a titularidade dos serviços.</w:t>
      </w:r>
    </w:p>
    <w:p w:rsidR="00A87269" w:rsidRPr="00A3769E" w:rsidRDefault="00A87269" w:rsidP="00A87269">
      <w:pPr>
        <w:pStyle w:val="Default"/>
        <w:spacing w:line="360" w:lineRule="auto"/>
        <w:ind w:firstLine="709"/>
        <w:jc w:val="both"/>
        <w:rPr>
          <w:color w:val="auto"/>
        </w:rPr>
      </w:pPr>
      <w:r w:rsidRPr="00A3769E">
        <w:rPr>
          <w:color w:val="auto"/>
        </w:rPr>
        <w:t xml:space="preserve">Há a possibilidade de inserir metas e padrões de desempenho no contrato, a fim de que o concessionário seja juridicamente obrigado a manter adequado o serviço público contratado. </w:t>
      </w:r>
      <w:r w:rsidRPr="00702A2B">
        <w:rPr>
          <w:color w:val="auto"/>
        </w:rPr>
        <w:t>Nesse sentido, cabe ao Município através da gestão do contrato e à entidade regulatória (ou reguladora) garantir o cumprimento das condições e metas estabelecidas, definir as tarifas, prevenir e reprimir o abuso do poder econômico, editar normas, entre outras prerrogativas.</w:t>
      </w:r>
    </w:p>
    <w:p w:rsidR="00A87269" w:rsidRPr="00DF4A2F" w:rsidRDefault="00A87269" w:rsidP="00A87269">
      <w:pPr>
        <w:pStyle w:val="Default"/>
        <w:spacing w:line="360" w:lineRule="auto"/>
        <w:ind w:firstLine="709"/>
        <w:jc w:val="both"/>
        <w:rPr>
          <w:color w:val="auto"/>
        </w:rPr>
      </w:pPr>
      <w:r w:rsidRPr="00A3769E">
        <w:rPr>
          <w:color w:val="auto"/>
        </w:rPr>
        <w:t xml:space="preserve">Salienta-se, entretanto, </w:t>
      </w:r>
      <w:r>
        <w:rPr>
          <w:color w:val="auto"/>
        </w:rPr>
        <w:t>que existem riscos advindos dess</w:t>
      </w:r>
      <w:r w:rsidRPr="00A3769E">
        <w:rPr>
          <w:color w:val="auto"/>
        </w:rPr>
        <w:t xml:space="preserve">e tipo de </w:t>
      </w:r>
      <w:r w:rsidRPr="00702A2B">
        <w:rPr>
          <w:color w:val="auto"/>
        </w:rPr>
        <w:t>gestão,</w:t>
      </w:r>
      <w:r w:rsidRPr="00A3769E">
        <w:rPr>
          <w:color w:val="auto"/>
        </w:rPr>
        <w:t xml:space="preserve"> principalmente no que tange à excessiva exploração dos recursos naturais e às tarifas mais caras para os consumidores.</w:t>
      </w:r>
    </w:p>
    <w:p w:rsidR="00A87269" w:rsidRPr="00165472" w:rsidRDefault="00A87269" w:rsidP="002828C8">
      <w:pPr>
        <w:pStyle w:val="Ttulo3"/>
      </w:pPr>
      <w:bookmarkStart w:id="373" w:name="_Toc488825310"/>
      <w:bookmarkStart w:id="374" w:name="_Toc493151476"/>
      <w:bookmarkStart w:id="375" w:name="_Toc497469045"/>
      <w:r>
        <w:t>Gestão</w:t>
      </w:r>
      <w:r w:rsidRPr="00165472">
        <w:t xml:space="preserve"> associada</w:t>
      </w:r>
      <w:bookmarkEnd w:id="373"/>
      <w:bookmarkEnd w:id="374"/>
      <w:bookmarkEnd w:id="375"/>
    </w:p>
    <w:p w:rsidR="00A87269" w:rsidRDefault="00A87269" w:rsidP="00A87269">
      <w:pPr>
        <w:ind w:firstLine="709"/>
      </w:pPr>
      <w:r>
        <w:t xml:space="preserve">Outra opção é realizar a prestação </w:t>
      </w:r>
      <w:r w:rsidRPr="00D10B6C">
        <w:t>dos serviços associada com outros municípios – com ou sem participação do governo estadual – via convênio de cooperação ou consórcio público, conforme a Lei Federal nº 11.107/05 e o Decreto Federal nº 6.017/2007, que a regulamenta. Esse tipo de</w:t>
      </w:r>
      <w:r>
        <w:t xml:space="preserve"> configuração representa uma associação voluntária de entes da federação. </w:t>
      </w:r>
    </w:p>
    <w:p w:rsidR="00A87269" w:rsidRDefault="00A87269" w:rsidP="00A87269">
      <w:pPr>
        <w:ind w:firstLine="709"/>
      </w:pPr>
      <w:r>
        <w:t>O convênio de cooperação entre entes federados consiste no pacto firmado exclusivamente por esses entes, com o objetivo de autorizar a gestão associada de serviços públicos, desde que ratificado ou previamente disciplinado por lei editada por cada um dos entes da Federação que fazem parte do convênio.</w:t>
      </w:r>
    </w:p>
    <w:p w:rsidR="00A87269" w:rsidRPr="00E37C91" w:rsidRDefault="00A87269" w:rsidP="00A87269">
      <w:pPr>
        <w:ind w:firstLine="709"/>
      </w:pPr>
      <w:r w:rsidRPr="00E37C91">
        <w:lastRenderedPageBreak/>
        <w:t>Já o consórcio público consiste numa pessoa jurídica formada exclusivamente por entes da Federação, para estabelecer relações de cooperação federativa, inclusive a realização de objetivos de interesse comum, constituída como:</w:t>
      </w:r>
    </w:p>
    <w:p w:rsidR="00A87269" w:rsidRPr="00E37C91" w:rsidRDefault="00A87269" w:rsidP="00A87269">
      <w:pPr>
        <w:ind w:firstLine="709"/>
      </w:pPr>
      <w:r w:rsidRPr="00E37C91">
        <w:t xml:space="preserve">- associação pública, com </w:t>
      </w:r>
      <w:r w:rsidRPr="00E37C91">
        <w:rPr>
          <w:i/>
        </w:rPr>
        <w:t>personalidade jurídica de direito público</w:t>
      </w:r>
      <w:r w:rsidRPr="00E37C91">
        <w:t>, sendo considerada integrante da administração indireta de cada um dos entes consorciados, estando sujeita a direitos e obrigações; ou</w:t>
      </w:r>
    </w:p>
    <w:p w:rsidR="00A87269" w:rsidRDefault="00A87269" w:rsidP="00A87269">
      <w:pPr>
        <w:ind w:firstLine="709"/>
        <w:rPr>
          <w:lang w:eastAsia="pt-BR"/>
        </w:rPr>
      </w:pPr>
      <w:r w:rsidRPr="00E37C91">
        <w:t>- órgão revestido de personalidade</w:t>
      </w:r>
      <w:r w:rsidRPr="00E37C91">
        <w:rPr>
          <w:i/>
        </w:rPr>
        <w:t xml:space="preserve"> jurídica de direito privado</w:t>
      </w:r>
      <w:r w:rsidRPr="00E37C91">
        <w:t>, quando deverá observar as normas de direito público no que concerne à realização de licitação, celebração de contratos de concessão, prestação de contas e admissão de pessoal.</w:t>
      </w:r>
    </w:p>
    <w:p w:rsidR="00A87269" w:rsidRDefault="00A87269" w:rsidP="00A87269">
      <w:pPr>
        <w:ind w:firstLine="709"/>
      </w:pPr>
      <w:r>
        <w:t>Uma vez que a gestão associada é realizada entre entes da federação, a delegação da prestação dos serviços pode ser feita com dispensa de licitação. Essa prerrogativa é assegurada no inciso XXVI do art. 24 da Lei de Licitação (Lei Federal nº 8.666/93) e amparada no art. 241 da Constituição Federal, nos termos da Emenda Constitucional nº 19/98, que trata dessa matéria. Tal delegação é formalizada por meio de um contrato de programa, após a constituição do consórcio público ou convênio de cooperação.</w:t>
      </w:r>
    </w:p>
    <w:p w:rsidR="00A87269" w:rsidRDefault="00A87269" w:rsidP="00A87269">
      <w:pPr>
        <w:ind w:firstLine="709"/>
      </w:pPr>
      <w:r>
        <w:t xml:space="preserve">O consórcio público, para ser instituído, necessita da edição de grande número de documentos, entre eles as leis de criação dos entes a se consorciarem e os contratos de rateio, que disciplinarão os repasses financeiros para a entidade consorciada. Esse consórcio deverá ser constituído por contrato cuja celebração dependerá de prévia subscrição de protocolo de intenções. </w:t>
      </w:r>
    </w:p>
    <w:p w:rsidR="00A87269" w:rsidRDefault="00A87269" w:rsidP="00A87269">
      <w:pPr>
        <w:ind w:firstLine="709"/>
      </w:pPr>
      <w:r>
        <w:t>No campo dos serviços públicos de abastecimento de água, esgotamento sanitário e manejo de resíduos sólidos, a formação de consórcios pode ser uma alternativa para a prestação dos serviços, para o compartilhamento de equipamentos e para a racionalização da execução de tarefas, com ganhos de escala e economia de recursos para a regulação e, ainda, para o planejamento integrado.</w:t>
      </w:r>
    </w:p>
    <w:p w:rsidR="00A87269" w:rsidRDefault="00A87269" w:rsidP="00A87269">
      <w:pPr>
        <w:ind w:firstLine="709"/>
        <w:rPr>
          <w:lang w:eastAsia="pt-BR"/>
        </w:rPr>
      </w:pPr>
      <w:r>
        <w:t xml:space="preserve">Os consórcios públicos recebem, no âmbito da Política Nacional de Resíduos Sólidos (PNRS) – Lei nº 12.305/10, prioridade no acesso aos recursos da União ou a recursos por ela controlados. Essa prioridade também é concedida aos estados que instituírem microrregiões para a gestão, e ao Distrito Federal e municípios que optarem por soluções consorciadas intermunicipais para gestão associada. A formação de consórcios públicos vem sendo estimulada pelo Governo Federal e por muitos dos </w:t>
      </w:r>
      <w:r>
        <w:lastRenderedPageBreak/>
        <w:t>Estados, para que aconteça o necessário salto de qualidade na gestão dos serviços públicos.</w:t>
      </w:r>
    </w:p>
    <w:p w:rsidR="00A87269" w:rsidRPr="00DF4A2F" w:rsidRDefault="00A87269" w:rsidP="00A87269">
      <w:pPr>
        <w:pStyle w:val="Default"/>
        <w:spacing w:line="360" w:lineRule="auto"/>
        <w:ind w:firstLine="709"/>
        <w:jc w:val="both"/>
        <w:rPr>
          <w:color w:val="auto"/>
        </w:rPr>
      </w:pPr>
      <w:r w:rsidRPr="00DF4A2F">
        <w:rPr>
          <w:color w:val="auto"/>
        </w:rPr>
        <w:t xml:space="preserve">Como esses serviços são ligados diretamente à Prefeitura Municipal, os orçamentos públicos não vinculam as receitas tarifárias exclusivamente aos serviços. Além disso, geralmente não existe controle financeiro, não havendo meios adequados para saber se o serviço é autossustentável, ou quanto da receita do serviço vai para o custeio geral da administração (HELLER, 2007; PEIXOTO, 1994). Uma observação feita por Heller (2007, p.12) é que são comuns casos em que os serviços sequer são cobrados, fato este que incentiva o desperdício de água, podendo acarretar um alto consumo </w:t>
      </w:r>
      <w:r w:rsidRPr="00DF4A2F">
        <w:rPr>
          <w:i/>
          <w:color w:val="auto"/>
        </w:rPr>
        <w:t>per capita</w:t>
      </w:r>
      <w:r w:rsidRPr="00DF4A2F">
        <w:rPr>
          <w:color w:val="auto"/>
        </w:rPr>
        <w:t>.</w:t>
      </w:r>
    </w:p>
    <w:p w:rsidR="00A87269" w:rsidRDefault="00A87269" w:rsidP="00A87269">
      <w:pPr>
        <w:pStyle w:val="Default"/>
        <w:spacing w:line="360" w:lineRule="auto"/>
        <w:ind w:firstLine="709"/>
        <w:jc w:val="both"/>
        <w:rPr>
          <w:color w:val="auto"/>
        </w:rPr>
      </w:pPr>
      <w:r w:rsidRPr="00DF4A2F">
        <w:rPr>
          <w:color w:val="auto"/>
        </w:rPr>
        <w:t>Essas questões ligadas à falta de autonomia financeira constituem um entrave para esse tipo de prestação, que fica dependente da organização administrativa central que, por sua vez, depende do projeto político de cada governo. Apesar disso, essa forma de prestação de serviços é bastante adotada por municípios pequenos que, segundo o IBGE, são os de populações menores que 20 mil habitantes (IBGE, 2006).</w:t>
      </w:r>
    </w:p>
    <w:p w:rsidR="00A87269" w:rsidRDefault="00A87269" w:rsidP="002828C8">
      <w:pPr>
        <w:pStyle w:val="SHS-Ttulo02"/>
      </w:pPr>
      <w:bookmarkStart w:id="376" w:name="_Toc488825311"/>
      <w:bookmarkStart w:id="377" w:name="_Toc493151477"/>
      <w:bookmarkStart w:id="378" w:name="_Toc497469046"/>
      <w:r>
        <w:t>Avaliação dos modelos de prestação de serviços</w:t>
      </w:r>
      <w:bookmarkEnd w:id="376"/>
      <w:bookmarkEnd w:id="377"/>
      <w:bookmarkEnd w:id="378"/>
    </w:p>
    <w:p w:rsidR="00A87269" w:rsidRDefault="00A87269" w:rsidP="002828C8">
      <w:pPr>
        <w:pStyle w:val="Ttulo3"/>
      </w:pPr>
      <w:bookmarkStart w:id="379" w:name="_Toc488825312"/>
      <w:bookmarkStart w:id="380" w:name="_Toc493151478"/>
      <w:bookmarkStart w:id="381" w:name="_Toc497469047"/>
      <w:r>
        <w:t>Administração direta centralizada e descentralizada</w:t>
      </w:r>
      <w:bookmarkEnd w:id="379"/>
      <w:bookmarkEnd w:id="380"/>
      <w:bookmarkEnd w:id="381"/>
    </w:p>
    <w:p w:rsidR="00A87269" w:rsidRPr="00DF4A2F" w:rsidRDefault="00A87269" w:rsidP="00A87269">
      <w:pPr>
        <w:pStyle w:val="Default"/>
        <w:spacing w:line="360" w:lineRule="auto"/>
        <w:ind w:firstLine="709"/>
        <w:jc w:val="both"/>
        <w:rPr>
          <w:color w:val="auto"/>
        </w:rPr>
      </w:pPr>
      <w:r w:rsidRPr="00DF4A2F">
        <w:rPr>
          <w:color w:val="auto"/>
        </w:rPr>
        <w:t xml:space="preserve">Alguns aspectos diferenciam a administração direta </w:t>
      </w:r>
      <w:r>
        <w:rPr>
          <w:color w:val="auto"/>
        </w:rPr>
        <w:t>centralizada e descentralizada</w:t>
      </w:r>
      <w:r w:rsidRPr="00DF4A2F">
        <w:rPr>
          <w:color w:val="auto"/>
        </w:rPr>
        <w:t xml:space="preserve">, entre eles estão a autonomia financeira e administrativa, o ordenador das despesas e o regime jurídico de pessoal. O </w:t>
      </w:r>
      <w:r w:rsidRPr="00DF4A2F">
        <w:rPr>
          <w:color w:val="auto"/>
        </w:rPr>
        <w:fldChar w:fldCharType="begin"/>
      </w:r>
      <w:r w:rsidRPr="00DF4A2F">
        <w:rPr>
          <w:color w:val="auto"/>
        </w:rPr>
        <w:instrText xml:space="preserve"> REF _Ref483496500 \h  \* MERGEFORMAT </w:instrText>
      </w:r>
      <w:r w:rsidRPr="00DF4A2F">
        <w:rPr>
          <w:color w:val="auto"/>
        </w:rPr>
      </w:r>
      <w:r w:rsidRPr="00DF4A2F">
        <w:rPr>
          <w:color w:val="auto"/>
        </w:rPr>
        <w:fldChar w:fldCharType="separate"/>
      </w:r>
      <w:r w:rsidR="004D1D76" w:rsidRPr="004D1D76">
        <w:rPr>
          <w:color w:val="auto"/>
        </w:rPr>
        <w:t xml:space="preserve">Quadro </w:t>
      </w:r>
      <w:r w:rsidR="004D1D76" w:rsidRPr="004D1D76">
        <w:rPr>
          <w:noProof/>
          <w:color w:val="auto"/>
        </w:rPr>
        <w:t>32</w:t>
      </w:r>
      <w:r w:rsidRPr="00DF4A2F">
        <w:rPr>
          <w:color w:val="auto"/>
        </w:rPr>
        <w:fldChar w:fldCharType="end"/>
      </w:r>
      <w:r w:rsidRPr="00DF4A2F">
        <w:rPr>
          <w:color w:val="auto"/>
        </w:rPr>
        <w:t xml:space="preserve"> mostra as diferenças e semelhanças entre </w:t>
      </w:r>
      <w:r>
        <w:rPr>
          <w:color w:val="auto"/>
        </w:rPr>
        <w:t>Administração Direta centralizada (Departamento) e descentralizada (Autarquia)</w:t>
      </w:r>
      <w:r w:rsidRPr="00DF4A2F">
        <w:rPr>
          <w:color w:val="auto"/>
        </w:rPr>
        <w:t>.</w:t>
      </w:r>
    </w:p>
    <w:p w:rsidR="00A87269" w:rsidRPr="00EF408C" w:rsidRDefault="00A87269" w:rsidP="00A87269">
      <w:pPr>
        <w:pStyle w:val="Legenda"/>
      </w:pPr>
      <w:bookmarkStart w:id="382" w:name="_Ref483496500"/>
      <w:bookmarkStart w:id="383" w:name="_Toc488825046"/>
      <w:bookmarkStart w:id="384" w:name="_Toc493151582"/>
      <w:bookmarkStart w:id="385" w:name="_Toc497469153"/>
      <w:r w:rsidRPr="00EF408C">
        <w:lastRenderedPageBreak/>
        <w:t xml:space="preserve">Quadro </w:t>
      </w:r>
      <w:r w:rsidR="00D71C43">
        <w:fldChar w:fldCharType="begin"/>
      </w:r>
      <w:r w:rsidR="00D71C43">
        <w:instrText xml:space="preserve"> SEQ Quadro \* ARABIC </w:instrText>
      </w:r>
      <w:r w:rsidR="00D71C43">
        <w:fldChar w:fldCharType="separate"/>
      </w:r>
      <w:r w:rsidR="004D1D76">
        <w:rPr>
          <w:noProof/>
        </w:rPr>
        <w:t>32</w:t>
      </w:r>
      <w:r w:rsidR="00D71C43">
        <w:rPr>
          <w:noProof/>
        </w:rPr>
        <w:fldChar w:fldCharType="end"/>
      </w:r>
      <w:bookmarkEnd w:id="382"/>
      <w:r w:rsidRPr="00EF408C">
        <w:t xml:space="preserve"> - Comparativo entre Departamento e Autarquia</w:t>
      </w:r>
      <w:bookmarkEnd w:id="383"/>
      <w:bookmarkEnd w:id="384"/>
      <w:bookmarkEnd w:id="385"/>
    </w:p>
    <w:p w:rsidR="00A87269" w:rsidRPr="00DF4A2F" w:rsidRDefault="00A87269" w:rsidP="002828C8">
      <w:pPr>
        <w:pStyle w:val="figura"/>
      </w:pPr>
      <w:r w:rsidRPr="00DF4A2F">
        <w:rPr>
          <w:noProof/>
        </w:rPr>
        <w:drawing>
          <wp:inline distT="0" distB="0" distL="0" distR="0" wp14:anchorId="5F11ADDF" wp14:editId="44481B61">
            <wp:extent cx="5400000" cy="2553368"/>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400000" cy="2553368"/>
                    </a:xfrm>
                    <a:prstGeom prst="rect">
                      <a:avLst/>
                    </a:prstGeom>
                  </pic:spPr>
                </pic:pic>
              </a:graphicData>
            </a:graphic>
          </wp:inline>
        </w:drawing>
      </w:r>
    </w:p>
    <w:p w:rsidR="002828C8" w:rsidRDefault="002828C8" w:rsidP="00A87269">
      <w:pPr>
        <w:pStyle w:val="Default"/>
        <w:spacing w:line="360" w:lineRule="auto"/>
        <w:ind w:firstLine="709"/>
        <w:jc w:val="both"/>
        <w:rPr>
          <w:color w:val="auto"/>
        </w:rPr>
      </w:pPr>
    </w:p>
    <w:p w:rsidR="00A87269" w:rsidRPr="00DF4A2F" w:rsidRDefault="00A87269" w:rsidP="00A87269">
      <w:pPr>
        <w:pStyle w:val="Default"/>
        <w:spacing w:line="360" w:lineRule="auto"/>
        <w:ind w:firstLine="709"/>
        <w:jc w:val="both"/>
        <w:rPr>
          <w:color w:val="auto"/>
        </w:rPr>
      </w:pPr>
      <w:r w:rsidRPr="00DF4A2F">
        <w:rPr>
          <w:color w:val="auto"/>
        </w:rPr>
        <w:t>A autarquia é, portanto, um desmembramento da Administração Municipal, regida por estatutos que lhes dão algumas peculiaridades</w:t>
      </w:r>
      <w:r>
        <w:rPr>
          <w:color w:val="auto"/>
        </w:rPr>
        <w:t>,</w:t>
      </w:r>
      <w:r w:rsidRPr="00DF4A2F">
        <w:rPr>
          <w:color w:val="auto"/>
        </w:rPr>
        <w:t xml:space="preserve"> tais como:</w:t>
      </w:r>
    </w:p>
    <w:p w:rsidR="00A87269" w:rsidRPr="00DF4A2F" w:rsidRDefault="00A87269" w:rsidP="00A87269">
      <w:pPr>
        <w:pStyle w:val="Default"/>
        <w:numPr>
          <w:ilvl w:val="0"/>
          <w:numId w:val="11"/>
        </w:numPr>
        <w:spacing w:line="360" w:lineRule="auto"/>
        <w:jc w:val="both"/>
        <w:rPr>
          <w:color w:val="auto"/>
        </w:rPr>
      </w:pPr>
      <w:r w:rsidRPr="00DF4A2F">
        <w:rPr>
          <w:color w:val="auto"/>
        </w:rPr>
        <w:t>Possuir autonomia jurídica, administrativa e financeira, competindo-lhes exercer todas as atividades relacionadas à administração, à operação, à manutenção e à expansão dos serviços de saneamento.</w:t>
      </w:r>
    </w:p>
    <w:p w:rsidR="00A87269" w:rsidRPr="00DF4A2F" w:rsidRDefault="00A87269" w:rsidP="00A87269">
      <w:pPr>
        <w:pStyle w:val="Default"/>
        <w:numPr>
          <w:ilvl w:val="0"/>
          <w:numId w:val="11"/>
        </w:numPr>
        <w:spacing w:line="360" w:lineRule="auto"/>
        <w:jc w:val="both"/>
        <w:rPr>
          <w:color w:val="auto"/>
        </w:rPr>
      </w:pPr>
      <w:r w:rsidRPr="00DF4A2F">
        <w:rPr>
          <w:color w:val="auto"/>
        </w:rPr>
        <w:t>Imunidade de tributos e encargos.</w:t>
      </w:r>
    </w:p>
    <w:p w:rsidR="00A87269" w:rsidRPr="00DF4A2F" w:rsidRDefault="00A87269" w:rsidP="00A87269">
      <w:pPr>
        <w:pStyle w:val="Default"/>
        <w:numPr>
          <w:ilvl w:val="0"/>
          <w:numId w:val="11"/>
        </w:numPr>
        <w:spacing w:line="360" w:lineRule="auto"/>
        <w:jc w:val="both"/>
        <w:rPr>
          <w:color w:val="auto"/>
        </w:rPr>
      </w:pPr>
      <w:r w:rsidRPr="00DF4A2F">
        <w:rPr>
          <w:color w:val="auto"/>
        </w:rPr>
        <w:t>Prescrição de dívidas passivas em cinco anos.</w:t>
      </w:r>
    </w:p>
    <w:p w:rsidR="00A87269" w:rsidRPr="00DF4A2F" w:rsidRDefault="00A87269" w:rsidP="00A87269">
      <w:pPr>
        <w:pStyle w:val="Default"/>
        <w:numPr>
          <w:ilvl w:val="0"/>
          <w:numId w:val="11"/>
        </w:numPr>
        <w:spacing w:line="360" w:lineRule="auto"/>
        <w:jc w:val="both"/>
        <w:rPr>
          <w:color w:val="auto"/>
        </w:rPr>
      </w:pPr>
      <w:r w:rsidRPr="00DF4A2F">
        <w:rPr>
          <w:color w:val="auto"/>
        </w:rPr>
        <w:t>Impenhorabilidade de bens e rendas.</w:t>
      </w:r>
    </w:p>
    <w:p w:rsidR="00A87269" w:rsidRPr="00DF4A2F" w:rsidRDefault="00A87269" w:rsidP="00A87269">
      <w:pPr>
        <w:pStyle w:val="Default"/>
        <w:numPr>
          <w:ilvl w:val="0"/>
          <w:numId w:val="11"/>
        </w:numPr>
        <w:spacing w:line="360" w:lineRule="auto"/>
        <w:jc w:val="both"/>
        <w:rPr>
          <w:color w:val="auto"/>
        </w:rPr>
      </w:pPr>
      <w:r w:rsidRPr="00DF4A2F">
        <w:rPr>
          <w:color w:val="auto"/>
        </w:rPr>
        <w:t>Impossibilidade de usucapião de seus bens.</w:t>
      </w:r>
    </w:p>
    <w:p w:rsidR="00A87269" w:rsidRPr="00DF4A2F" w:rsidRDefault="00A87269" w:rsidP="00A87269">
      <w:pPr>
        <w:pStyle w:val="Default"/>
        <w:numPr>
          <w:ilvl w:val="0"/>
          <w:numId w:val="11"/>
        </w:numPr>
        <w:spacing w:line="360" w:lineRule="auto"/>
        <w:jc w:val="both"/>
        <w:rPr>
          <w:color w:val="auto"/>
        </w:rPr>
      </w:pPr>
      <w:r w:rsidRPr="00DF4A2F">
        <w:rPr>
          <w:color w:val="auto"/>
        </w:rPr>
        <w:t>Condições especiais de prazos e pagamentos nos processos jurídicos.</w:t>
      </w:r>
    </w:p>
    <w:p w:rsidR="00A87269" w:rsidRPr="00DF4A2F" w:rsidRDefault="00A87269" w:rsidP="00A87269">
      <w:pPr>
        <w:pStyle w:val="Default"/>
        <w:spacing w:line="360" w:lineRule="auto"/>
        <w:ind w:firstLine="709"/>
        <w:jc w:val="both"/>
        <w:rPr>
          <w:color w:val="auto"/>
        </w:rPr>
      </w:pPr>
      <w:r w:rsidRPr="00DF4A2F">
        <w:rPr>
          <w:color w:val="auto"/>
        </w:rPr>
        <w:t>O principal objetivo de se criar autarquias é a integração das atividades necessárias à prestação do serviço sobre um pilar, buscando tornar o processo de gestão mais eficiente. Esse modelo é utilizado por cerca de 20% dos municípios do país.</w:t>
      </w:r>
    </w:p>
    <w:p w:rsidR="00A87269" w:rsidRPr="004500A9" w:rsidRDefault="00A87269" w:rsidP="00A87269">
      <w:pPr>
        <w:pStyle w:val="Default"/>
        <w:spacing w:line="360" w:lineRule="auto"/>
        <w:ind w:firstLine="709"/>
        <w:jc w:val="both"/>
        <w:rPr>
          <w:color w:val="auto"/>
        </w:rPr>
      </w:pPr>
      <w:r w:rsidRPr="004500A9">
        <w:rPr>
          <w:color w:val="auto"/>
        </w:rPr>
        <w:t xml:space="preserve">As empresas públicas possuem personalidade jurídica de direito privado, com patrimônio próprio e capital exclusivo do </w:t>
      </w:r>
      <w:r>
        <w:rPr>
          <w:color w:val="auto"/>
        </w:rPr>
        <w:t>Poder P</w:t>
      </w:r>
      <w:r w:rsidRPr="004500A9">
        <w:rPr>
          <w:color w:val="auto"/>
        </w:rPr>
        <w:t>úblico e são criadas por lei para exploração de atividades econômicas (ROSA, 2007).</w:t>
      </w:r>
    </w:p>
    <w:p w:rsidR="00A87269" w:rsidRPr="004500A9" w:rsidRDefault="00A87269" w:rsidP="00A87269">
      <w:pPr>
        <w:pStyle w:val="Default"/>
        <w:spacing w:line="360" w:lineRule="auto"/>
        <w:ind w:firstLine="709"/>
        <w:jc w:val="both"/>
        <w:rPr>
          <w:color w:val="auto"/>
        </w:rPr>
      </w:pPr>
      <w:r w:rsidRPr="00095800">
        <w:rPr>
          <w:color w:val="auto"/>
        </w:rPr>
        <w:t>A prestação dos serviços</w:t>
      </w:r>
      <w:r w:rsidRPr="004500A9">
        <w:rPr>
          <w:color w:val="auto"/>
        </w:rPr>
        <w:t xml:space="preserve"> dá</w:t>
      </w:r>
      <w:r>
        <w:rPr>
          <w:color w:val="auto"/>
        </w:rPr>
        <w:t>-se</w:t>
      </w:r>
      <w:r w:rsidRPr="004500A9">
        <w:rPr>
          <w:color w:val="auto"/>
        </w:rPr>
        <w:t xml:space="preserve"> com prazos estabelecidos para </w:t>
      </w:r>
      <w:r>
        <w:rPr>
          <w:color w:val="auto"/>
        </w:rPr>
        <w:t>seu fim</w:t>
      </w:r>
      <w:r w:rsidRPr="004500A9">
        <w:rPr>
          <w:color w:val="auto"/>
        </w:rPr>
        <w:t xml:space="preserve">. Trata-se de um modelo empresarial no qual é necessária a realização de concurso público para </w:t>
      </w:r>
      <w:r w:rsidRPr="004500A9">
        <w:rPr>
          <w:color w:val="auto"/>
        </w:rPr>
        <w:lastRenderedPageBreak/>
        <w:t>contratação, exceto para cargo de confiança, sendo que o regime pessoal é sujeito à CLT.</w:t>
      </w:r>
    </w:p>
    <w:p w:rsidR="00A87269" w:rsidRPr="00EA58B8" w:rsidRDefault="00A87269" w:rsidP="00A87269">
      <w:pPr>
        <w:pStyle w:val="Default"/>
        <w:spacing w:line="360" w:lineRule="auto"/>
        <w:ind w:firstLine="709"/>
        <w:jc w:val="both"/>
        <w:rPr>
          <w:color w:val="auto"/>
        </w:rPr>
      </w:pPr>
      <w:r w:rsidRPr="004500A9">
        <w:rPr>
          <w:color w:val="auto"/>
        </w:rPr>
        <w:t xml:space="preserve">A empresa pública difere-se da sociedade de economia mista por apresentar apenas capital estatal e ter a possibilidade de qualquer tipo de vigência quanto à modalidade de sociedade </w:t>
      </w:r>
      <w:r w:rsidRPr="00EA58B8">
        <w:rPr>
          <w:color w:val="auto"/>
        </w:rPr>
        <w:t>comercial.</w:t>
      </w:r>
    </w:p>
    <w:p w:rsidR="00510FF9" w:rsidRPr="00EA58B8" w:rsidRDefault="00F907FB" w:rsidP="00510FF9">
      <w:pPr>
        <w:spacing w:before="120" w:after="120"/>
        <w:ind w:firstLine="851"/>
        <w:contextualSpacing/>
      </w:pPr>
      <w:r w:rsidRPr="00EA58B8">
        <w:t xml:space="preserve">Com exceção do sistema de abastecimento de água da sede municipal, os demais sistemas existentes em Córrego Novo </w:t>
      </w:r>
      <w:r w:rsidR="00510FF9" w:rsidRPr="00EA58B8">
        <w:t xml:space="preserve">são de responsabilidade da Prefeitura Municipal. Não há um arranjo institucional formalizado para gerir esses sistemas. A Prefeitura Municipal mantém um funcionário para acompanhar e coordenar ações necessárias para atender </w:t>
      </w:r>
      <w:r w:rsidRPr="00EA58B8">
        <w:t xml:space="preserve">às comunidades rurais do município. </w:t>
      </w:r>
      <w:r w:rsidR="00510FF9" w:rsidRPr="00EA58B8">
        <w:t>Quando necessário, a Prefeitura mobiliza equipes maiores para ações de reparos ou de manutenção de captações (subterrâneas e superficiais), canalizações, reservatórios e sistemas de bombeamento.</w:t>
      </w:r>
    </w:p>
    <w:p w:rsidR="00A87269" w:rsidRPr="00EA58B8" w:rsidRDefault="00A87269" w:rsidP="002828C8">
      <w:pPr>
        <w:pStyle w:val="Ttulo3"/>
      </w:pPr>
      <w:bookmarkStart w:id="386" w:name="_Toc488825313"/>
      <w:bookmarkStart w:id="387" w:name="_Toc493151479"/>
      <w:bookmarkStart w:id="388" w:name="_Toc497469048"/>
      <w:r w:rsidRPr="00EA58B8">
        <w:t>Administração indireta</w:t>
      </w:r>
      <w:bookmarkEnd w:id="386"/>
      <w:bookmarkEnd w:id="387"/>
      <w:bookmarkEnd w:id="388"/>
    </w:p>
    <w:p w:rsidR="00A87269" w:rsidRPr="00DF4A2F" w:rsidRDefault="00A87269" w:rsidP="00A87269">
      <w:pPr>
        <w:pStyle w:val="Default"/>
        <w:spacing w:line="360" w:lineRule="auto"/>
        <w:ind w:firstLine="709"/>
        <w:jc w:val="both"/>
        <w:rPr>
          <w:color w:val="auto"/>
        </w:rPr>
      </w:pPr>
      <w:r w:rsidRPr="00EA58B8">
        <w:rPr>
          <w:color w:val="auto"/>
        </w:rPr>
        <w:t>A sociedade de economia mista é caracterizada como sociedade anônima de direito privado, com participação do Poder Público e particulares, de forma minoritária, que realiza atividades econômicas ou serviços de interesse coletivo, delegados ou outorgados pelo Poder Público. É criada por lei pelo Poder Público, que detém a maioria das ações com direito a voto de forma</w:t>
      </w:r>
      <w:r w:rsidRPr="00095800">
        <w:rPr>
          <w:color w:val="auto"/>
        </w:rPr>
        <w:t xml:space="preserve"> a ter o controle da sociedade (ROSA, 2007). A empresa de economia mista pode também ser criada pelo Município.</w:t>
      </w:r>
    </w:p>
    <w:p w:rsidR="00A87269" w:rsidRPr="00DF4A2F" w:rsidRDefault="00A87269" w:rsidP="00A87269">
      <w:pPr>
        <w:pStyle w:val="Default"/>
        <w:spacing w:line="360" w:lineRule="auto"/>
        <w:ind w:firstLine="709"/>
        <w:jc w:val="both"/>
        <w:rPr>
          <w:color w:val="auto"/>
        </w:rPr>
      </w:pPr>
      <w:r w:rsidRPr="00DF4A2F">
        <w:rPr>
          <w:color w:val="auto"/>
        </w:rPr>
        <w:t>As Companhias Estaduais de Água e Esgoto (CEAE) são empresas de economia mista. Essas empresas, por meio de concessão municipal, prestam os serviços de saneamento, que abrangem a operação, a manutenção e a construção dos sistemas de água e de esgoto.</w:t>
      </w:r>
    </w:p>
    <w:p w:rsidR="00A87269" w:rsidRPr="00DF4A2F" w:rsidRDefault="00A87269" w:rsidP="00A87269">
      <w:pPr>
        <w:pStyle w:val="Default"/>
        <w:spacing w:line="360" w:lineRule="auto"/>
        <w:ind w:firstLine="709"/>
        <w:jc w:val="both"/>
        <w:rPr>
          <w:color w:val="auto"/>
        </w:rPr>
      </w:pPr>
      <w:r w:rsidRPr="00DF4A2F">
        <w:rPr>
          <w:color w:val="auto"/>
        </w:rPr>
        <w:t>No Brasil, a prestação dos serviços de abastecimento de água e de esgotamento sanitário pelas Companhias Estaduais de Água e Esgoto (CEAE</w:t>
      </w:r>
      <w:r>
        <w:rPr>
          <w:color w:val="auto"/>
        </w:rPr>
        <w:t>s</w:t>
      </w:r>
      <w:r w:rsidRPr="00DF4A2F">
        <w:rPr>
          <w:color w:val="auto"/>
        </w:rPr>
        <w:t xml:space="preserve">) teve início na década de 60. No final da década de 60 e início de 70, o então Banco Nacional de Habitação (BNH) passou a condicionar seus empréstimos à transferência da concessão dos serviços de água e esgoto dos municípios para as empresas estaduais de economia mista. Em face dessa imposição dos agentes financiadores, os municípios passaram a transferir os seus serviços para as companhias estaduais de </w:t>
      </w:r>
      <w:r w:rsidRPr="00DF4A2F">
        <w:rPr>
          <w:color w:val="auto"/>
        </w:rPr>
        <w:lastRenderedPageBreak/>
        <w:t>água e esgoto, transferência esta</w:t>
      </w:r>
      <w:r>
        <w:rPr>
          <w:color w:val="auto"/>
        </w:rPr>
        <w:t>,</w:t>
      </w:r>
      <w:r w:rsidRPr="00DF4A2F">
        <w:rPr>
          <w:color w:val="auto"/>
        </w:rPr>
        <w:t xml:space="preserve"> facilitada pelo regime militar (REZENDE</w:t>
      </w:r>
      <w:r>
        <w:rPr>
          <w:color w:val="auto"/>
        </w:rPr>
        <w:t>, 2007)</w:t>
      </w:r>
      <w:r w:rsidRPr="00DF4A2F">
        <w:rPr>
          <w:color w:val="auto"/>
        </w:rPr>
        <w:t xml:space="preserve">. Assim, nos últimos 30 anos o modelo de prestação dos serviços públicos de água e esgoto adotado e incentivado no país foi o das companhias estaduais, </w:t>
      </w:r>
      <w:r>
        <w:rPr>
          <w:color w:val="auto"/>
        </w:rPr>
        <w:t xml:space="preserve">havendo, para esse modelo, </w:t>
      </w:r>
      <w:r w:rsidRPr="00DF4A2F">
        <w:rPr>
          <w:color w:val="auto"/>
        </w:rPr>
        <w:t>privilégio de acesso ao financiamento público (HELLER; COUTINHO; MINGOTI, 2006).</w:t>
      </w:r>
    </w:p>
    <w:p w:rsidR="00A87269" w:rsidRPr="00DF4A2F" w:rsidRDefault="00A87269" w:rsidP="00A87269">
      <w:pPr>
        <w:pStyle w:val="Default"/>
        <w:spacing w:line="360" w:lineRule="auto"/>
        <w:ind w:firstLine="709"/>
        <w:jc w:val="both"/>
        <w:rPr>
          <w:color w:val="auto"/>
        </w:rPr>
      </w:pPr>
      <w:r w:rsidRPr="00DF4A2F">
        <w:rPr>
          <w:color w:val="auto"/>
        </w:rPr>
        <w:t xml:space="preserve">Na década de 80 surge o debate sobre a reestruturação das condições de oferta dos serviços públicos de saneamento básico e a </w:t>
      </w:r>
      <w:r w:rsidRPr="00AB1115">
        <w:rPr>
          <w:color w:val="auto"/>
        </w:rPr>
        <w:t xml:space="preserve">necessidade de construir diretrizes para a área. Assim, algumas mudanças foram identificadas, entre elas, </w:t>
      </w:r>
      <w:r>
        <w:rPr>
          <w:color w:val="auto"/>
        </w:rPr>
        <w:t>n</w:t>
      </w:r>
      <w:r w:rsidRPr="00AB1115">
        <w:rPr>
          <w:color w:val="auto"/>
        </w:rPr>
        <w:t>as condições institucionais das companhias estaduais.</w:t>
      </w:r>
    </w:p>
    <w:p w:rsidR="00A87269" w:rsidRPr="007B1F27" w:rsidRDefault="00A87269" w:rsidP="00A87269">
      <w:pPr>
        <w:pStyle w:val="Default"/>
        <w:spacing w:line="360" w:lineRule="auto"/>
        <w:ind w:firstLine="709"/>
        <w:jc w:val="both"/>
        <w:rPr>
          <w:color w:val="auto"/>
        </w:rPr>
      </w:pPr>
      <w:r w:rsidRPr="00DF4A2F">
        <w:rPr>
          <w:color w:val="auto"/>
        </w:rPr>
        <w:t>Arretche (</w:t>
      </w:r>
      <w:r>
        <w:rPr>
          <w:color w:val="auto"/>
        </w:rPr>
        <w:t>1999</w:t>
      </w:r>
      <w:r w:rsidRPr="00DF4A2F">
        <w:rPr>
          <w:color w:val="auto"/>
        </w:rPr>
        <w:t xml:space="preserve">) estudou as mudanças nas condições institucionais de operação das companhias estaduais </w:t>
      </w:r>
      <w:r>
        <w:rPr>
          <w:color w:val="auto"/>
        </w:rPr>
        <w:t xml:space="preserve">de </w:t>
      </w:r>
      <w:r w:rsidRPr="00DF4A2F">
        <w:rPr>
          <w:color w:val="auto"/>
        </w:rPr>
        <w:t>água e esgoto e identificou</w:t>
      </w:r>
      <w:r>
        <w:rPr>
          <w:color w:val="auto"/>
        </w:rPr>
        <w:t>,</w:t>
      </w:r>
      <w:r w:rsidRPr="00DF4A2F">
        <w:rPr>
          <w:color w:val="auto"/>
        </w:rPr>
        <w:t xml:space="preserve"> basicamente</w:t>
      </w:r>
      <w:r>
        <w:rPr>
          <w:color w:val="auto"/>
        </w:rPr>
        <w:t>,</w:t>
      </w:r>
      <w:r w:rsidRPr="00DF4A2F">
        <w:rPr>
          <w:color w:val="auto"/>
        </w:rPr>
        <w:t xml:space="preserve"> duas grandes estratégias estaduais de mudanças: a de fortalecimento da companhia estadual e a de desestatização</w:t>
      </w:r>
      <w:r>
        <w:rPr>
          <w:color w:val="auto"/>
        </w:rPr>
        <w:t xml:space="preserve"> da empresa, sob duas vertentes,</w:t>
      </w:r>
      <w:r w:rsidRPr="00DF4A2F">
        <w:rPr>
          <w:color w:val="auto"/>
        </w:rPr>
        <w:t xml:space="preserve"> a privatização e a municipalização. A estratégia de fortalecimento das companhias estaduais de água e esgoto consiste em manter a operação dos sistemas, tomando-se medidas para preservar e ampliar as concessões </w:t>
      </w:r>
      <w:r w:rsidRPr="007B1F27">
        <w:rPr>
          <w:color w:val="auto"/>
        </w:rPr>
        <w:t>municipais, bem como viabilizar a capacidade de investimento da empresa. Isso foi adotado pela Companhia de Saneamento de Minas Gerais (COPASA), pela Companhia de Saneamento Básico do Estado de São Paulo (SABESP), pela Companhia de Saneamento do Paraná (SANEPAR) e pela Companhia de Água e Esgoto do Ceará (CAGECE) (ARRETCHE, 1999).</w:t>
      </w:r>
    </w:p>
    <w:p w:rsidR="00A87269" w:rsidRPr="007B1F27" w:rsidRDefault="00A87269" w:rsidP="00A87269">
      <w:pPr>
        <w:pStyle w:val="Default"/>
        <w:spacing w:line="360" w:lineRule="auto"/>
        <w:ind w:firstLine="709"/>
        <w:jc w:val="both"/>
        <w:rPr>
          <w:color w:val="auto"/>
        </w:rPr>
      </w:pPr>
      <w:r w:rsidRPr="007B1F27">
        <w:rPr>
          <w:color w:val="auto"/>
        </w:rPr>
        <w:t xml:space="preserve">Nos casos de alguns municípios de estados brasileiros, como o Rio de Janeiro e Tocantins, esse processo foi inverso, ocorreu a transferência de funções da companhia estadual a prestadores privados. </w:t>
      </w:r>
    </w:p>
    <w:p w:rsidR="00A87269" w:rsidRPr="007B1F27" w:rsidRDefault="00A87269" w:rsidP="00A87269">
      <w:pPr>
        <w:pStyle w:val="Default"/>
        <w:spacing w:line="360" w:lineRule="auto"/>
        <w:ind w:firstLine="709"/>
        <w:jc w:val="both"/>
        <w:rPr>
          <w:color w:val="auto"/>
        </w:rPr>
      </w:pPr>
      <w:r w:rsidRPr="007B1F27">
        <w:rPr>
          <w:color w:val="auto"/>
        </w:rPr>
        <w:t>Mesmo com as intensas transformações na história do saneamento básico no Brasil e com o estabelecimento de diferentes modelos de prestação desses serviços, os modelos das companhias estaduais ainda prevalecem. Isso pode decorrer de fatores como a persistência da política pública adotada ainda no período que não se reconhecia a autonomia municipal, a fragilidade e carência dos municípios para prestar esses serviços e, consequentemente, a debilidade dos outros modelos de prestação.</w:t>
      </w:r>
    </w:p>
    <w:p w:rsidR="00A87269" w:rsidRPr="007B1F27" w:rsidRDefault="00A87269" w:rsidP="00A87269">
      <w:pPr>
        <w:pStyle w:val="NormalWeb"/>
        <w:spacing w:before="0" w:beforeAutospacing="0" w:after="0" w:afterAutospacing="0" w:line="360" w:lineRule="auto"/>
        <w:ind w:firstLine="708"/>
        <w:contextualSpacing/>
        <w:textAlignment w:val="top"/>
        <w:rPr>
          <w:rFonts w:ascii="Arial" w:hAnsi="Arial" w:cs="Arial"/>
        </w:rPr>
      </w:pPr>
      <w:r w:rsidRPr="007B1F27">
        <w:rPr>
          <w:rFonts w:ascii="Arial" w:hAnsi="Arial" w:cs="Arial"/>
        </w:rPr>
        <w:t xml:space="preserve">Em </w:t>
      </w:r>
      <w:r w:rsidR="00510FF9" w:rsidRPr="007B1F27">
        <w:rPr>
          <w:rFonts w:ascii="Arial" w:hAnsi="Arial" w:cs="Arial"/>
        </w:rPr>
        <w:t>Córrego Novo</w:t>
      </w:r>
      <w:r w:rsidR="007B1F27" w:rsidRPr="007B1F27">
        <w:rPr>
          <w:rFonts w:ascii="Arial" w:hAnsi="Arial" w:cs="Arial"/>
        </w:rPr>
        <w:t>,</w:t>
      </w:r>
      <w:r w:rsidRPr="007B1F27">
        <w:rPr>
          <w:rFonts w:ascii="Arial" w:hAnsi="Arial" w:cs="Arial"/>
        </w:rPr>
        <w:t xml:space="preserve"> na sede municipal, a prestação dos serviços do sistema de abastecimento de água (SAA) é feita pela Companhia de Saneamento de Minas Gerais – COPASA/MG, órgão da Administração Indireta do Estado, vinculado à Secretaria de </w:t>
      </w:r>
      <w:r w:rsidRPr="007B1F27">
        <w:rPr>
          <w:rFonts w:ascii="Arial" w:hAnsi="Arial" w:cs="Arial"/>
        </w:rPr>
        <w:lastRenderedPageBreak/>
        <w:t xml:space="preserve">Estado de Transporte e Obras Públicas, a partir da sanção da Lei n° 437, de 28 de dezembro de 1995. </w:t>
      </w:r>
    </w:p>
    <w:p w:rsidR="00510FF9" w:rsidRPr="007B1F27" w:rsidRDefault="00510FF9" w:rsidP="00510FF9">
      <w:pPr>
        <w:spacing w:before="120" w:after="120"/>
        <w:ind w:firstLine="851"/>
        <w:contextualSpacing/>
      </w:pPr>
      <w:r w:rsidRPr="007B1F27">
        <w:t>Em 1975, foi assinado o contrato de concessão, autorizado pela Lei Municipal nº 120/74, concedendo à COPASA o direito de implantar, ampliar, administrar e explorar industrialmente, direta ou indiretamente, com exclusividade, os serviços urbanos de abastecimento de água da sede de Córrego Novo por 30 anos, ou seja, até 2005. Em 1991, foi assinado um Termo Aditivo, para inserir o distrito de Pingo-d’Água, hoje município emancipado, na concessão e também prorrogou o prazo de concessão para 2021. Mesmo Pingo-d’Água se emancipando, a validade de até 2021 continua também para a concessão em Córrego Novo.</w:t>
      </w:r>
    </w:p>
    <w:p w:rsidR="00510FF9" w:rsidRPr="007B1F27" w:rsidRDefault="00510FF9" w:rsidP="00510FF9">
      <w:pPr>
        <w:pStyle w:val="NormalWeb"/>
        <w:spacing w:before="0" w:beforeAutospacing="0" w:after="0" w:afterAutospacing="0" w:line="360" w:lineRule="auto"/>
        <w:ind w:firstLine="708"/>
        <w:contextualSpacing/>
        <w:textAlignment w:val="top"/>
        <w:rPr>
          <w:rFonts w:ascii="Arial" w:hAnsi="Arial" w:cs="Arial"/>
        </w:rPr>
      </w:pPr>
      <w:r w:rsidRPr="007B1F27">
        <w:rPr>
          <w:rFonts w:ascii="Arial" w:eastAsia="Calibri" w:hAnsi="Arial"/>
          <w:szCs w:val="22"/>
          <w:lang w:eastAsia="en-US"/>
        </w:rPr>
        <w:t>O contrato de programa contém as atividades e responsabilidades de cada parte, que estão coerentes com a concessão de prestação de serviço de abastecimento público de água. Em contrapartida, não foram estabelecidas metas de universalização dos serviços, de diminuição de perdas, de gestão financeira ou demais metas pertinentes aos objetivos gerais da Lei nº 11.445/07.</w:t>
      </w:r>
      <w:r w:rsidR="00A87269" w:rsidRPr="007B1F27">
        <w:rPr>
          <w:rFonts w:ascii="Arial" w:hAnsi="Arial" w:cs="Arial"/>
        </w:rPr>
        <w:t xml:space="preserve"> </w:t>
      </w:r>
    </w:p>
    <w:p w:rsidR="00A87269" w:rsidRPr="001E09E8" w:rsidRDefault="00A87269" w:rsidP="00510FF9">
      <w:pPr>
        <w:pStyle w:val="NormalWeb"/>
        <w:spacing w:before="0" w:beforeAutospacing="0" w:after="0" w:afterAutospacing="0" w:line="360" w:lineRule="auto"/>
        <w:ind w:firstLine="708"/>
        <w:contextualSpacing/>
        <w:textAlignment w:val="top"/>
        <w:rPr>
          <w:rFonts w:ascii="Arial" w:hAnsi="Arial" w:cs="Arial"/>
        </w:rPr>
      </w:pPr>
      <w:r w:rsidRPr="001E09E8">
        <w:rPr>
          <w:rFonts w:ascii="Arial" w:hAnsi="Arial" w:cs="Arial"/>
        </w:rPr>
        <w:t>Assim, para que o contrato da COPASA com o município continue sendo válido, a concessionária deverá adequar-se às exigências da Lei Federal 11.445/07 e de seu Decreto regulamentador (Decreto nº 7.217/10).</w:t>
      </w:r>
    </w:p>
    <w:p w:rsidR="00A87269" w:rsidRPr="001E09E8" w:rsidRDefault="00A87269" w:rsidP="00A87269">
      <w:pPr>
        <w:pStyle w:val="NormalWeb"/>
        <w:spacing w:before="0" w:beforeAutospacing="0" w:after="0" w:afterAutospacing="0" w:line="360" w:lineRule="auto"/>
        <w:ind w:firstLine="708"/>
        <w:contextualSpacing/>
        <w:textAlignment w:val="top"/>
        <w:rPr>
          <w:rFonts w:ascii="Arial" w:hAnsi="Arial" w:cs="Arial"/>
        </w:rPr>
      </w:pPr>
      <w:r w:rsidRPr="001E09E8">
        <w:rPr>
          <w:rFonts w:ascii="Arial" w:hAnsi="Arial" w:cs="Arial"/>
        </w:rPr>
        <w:t xml:space="preserve">Ressalta-se ainda que a Lei Federal estende o conceito de Saneamento Básico para além do setor de abastecimento de água, incluindo os eixos do esgotamento sanitário, drenagem urbana e manejo de águas pluviais e limpeza urbana e manejo de resíduos sólidos. No município de </w:t>
      </w:r>
      <w:r w:rsidR="001E09E8" w:rsidRPr="001E09E8">
        <w:rPr>
          <w:rFonts w:ascii="Arial" w:hAnsi="Arial" w:cs="Arial"/>
        </w:rPr>
        <w:t>Córrego Novo</w:t>
      </w:r>
      <w:r w:rsidRPr="001E09E8">
        <w:rPr>
          <w:rFonts w:ascii="Arial" w:hAnsi="Arial" w:cs="Arial"/>
        </w:rPr>
        <w:t xml:space="preserve">, esses serviços ainda carecem de recursos materiais e de ações gerenciais para apresentarem a integração de gestão e a sustentabilidade econômico-financeira pretendida pela Lei do Saneamento. Daí a necessidade de os gestores públicos repensarem os arranjos institucionais e administrativos adotados até o momento.  </w:t>
      </w:r>
    </w:p>
    <w:p w:rsidR="00A87269" w:rsidRPr="00DF4A2F" w:rsidRDefault="00A87269" w:rsidP="002828C8">
      <w:pPr>
        <w:pStyle w:val="Ttulo3"/>
      </w:pPr>
      <w:bookmarkStart w:id="389" w:name="_Toc488825314"/>
      <w:bookmarkStart w:id="390" w:name="_Toc493151480"/>
      <w:bookmarkStart w:id="391" w:name="_Toc497469049"/>
      <w:r w:rsidRPr="00DF4A2F">
        <w:t>Gestão associada</w:t>
      </w:r>
      <w:bookmarkEnd w:id="389"/>
      <w:bookmarkEnd w:id="390"/>
      <w:bookmarkEnd w:id="391"/>
    </w:p>
    <w:p w:rsidR="00A87269" w:rsidRPr="00DF4A2F" w:rsidRDefault="00A87269" w:rsidP="00A87269">
      <w:pPr>
        <w:pStyle w:val="Default"/>
        <w:spacing w:line="360" w:lineRule="auto"/>
        <w:ind w:firstLine="709"/>
        <w:jc w:val="both"/>
        <w:rPr>
          <w:color w:val="auto"/>
        </w:rPr>
      </w:pPr>
      <w:r w:rsidRPr="00DF4A2F">
        <w:rPr>
          <w:color w:val="auto"/>
        </w:rPr>
        <w:t xml:space="preserve">A Lei nº. 11.107/2007 </w:t>
      </w:r>
      <w:r>
        <w:rPr>
          <w:color w:val="auto"/>
        </w:rPr>
        <w:t xml:space="preserve">que </w:t>
      </w:r>
      <w:r w:rsidRPr="00DF4A2F">
        <w:rPr>
          <w:color w:val="auto"/>
        </w:rPr>
        <w:t>dispõe sobre normas gerais de contratação de consórcios públicos</w:t>
      </w:r>
      <w:r>
        <w:rPr>
          <w:color w:val="auto"/>
        </w:rPr>
        <w:t xml:space="preserve">, juntamente com seu </w:t>
      </w:r>
      <w:r w:rsidRPr="00DF4A2F">
        <w:rPr>
          <w:color w:val="auto"/>
        </w:rPr>
        <w:t>Decreto regulamentador nº 6.017/2007,</w:t>
      </w:r>
      <w:r>
        <w:rPr>
          <w:color w:val="auto"/>
        </w:rPr>
        <w:t xml:space="preserve"> </w:t>
      </w:r>
      <w:r w:rsidRPr="00DF4A2F">
        <w:rPr>
          <w:color w:val="auto"/>
        </w:rPr>
        <w:t>destaca</w:t>
      </w:r>
      <w:r>
        <w:rPr>
          <w:color w:val="auto"/>
        </w:rPr>
        <w:t>-se</w:t>
      </w:r>
      <w:r w:rsidRPr="00DF4A2F">
        <w:rPr>
          <w:color w:val="auto"/>
        </w:rPr>
        <w:t xml:space="preserve"> por trazer aos consórcios:</w:t>
      </w:r>
    </w:p>
    <w:p w:rsidR="00A87269" w:rsidRPr="00DF4A2F" w:rsidRDefault="00A87269" w:rsidP="00A87269">
      <w:pPr>
        <w:pStyle w:val="Default"/>
        <w:numPr>
          <w:ilvl w:val="0"/>
          <w:numId w:val="19"/>
        </w:numPr>
        <w:spacing w:line="360" w:lineRule="auto"/>
        <w:jc w:val="both"/>
        <w:rPr>
          <w:color w:val="auto"/>
        </w:rPr>
      </w:pPr>
      <w:r w:rsidRPr="00DF4A2F">
        <w:rPr>
          <w:color w:val="auto"/>
        </w:rPr>
        <w:lastRenderedPageBreak/>
        <w:t>A existência de um protocolo de intenções bastante detalhado e complexo.</w:t>
      </w:r>
    </w:p>
    <w:p w:rsidR="00A87269" w:rsidRPr="00DF4A2F" w:rsidRDefault="00A87269" w:rsidP="00A87269">
      <w:pPr>
        <w:pStyle w:val="Default"/>
        <w:numPr>
          <w:ilvl w:val="0"/>
          <w:numId w:val="19"/>
        </w:numPr>
        <w:spacing w:line="360" w:lineRule="auto"/>
        <w:jc w:val="both"/>
        <w:rPr>
          <w:color w:val="auto"/>
        </w:rPr>
      </w:pPr>
      <w:r w:rsidRPr="00DF4A2F">
        <w:rPr>
          <w:color w:val="auto"/>
        </w:rPr>
        <w:t>A obrigatoriedade de constituição de uma pessoa jurídica própria para representar o consórcio.</w:t>
      </w:r>
    </w:p>
    <w:p w:rsidR="00A87269" w:rsidRPr="00DF4A2F" w:rsidRDefault="00A87269" w:rsidP="00A87269">
      <w:pPr>
        <w:pStyle w:val="Default"/>
        <w:numPr>
          <w:ilvl w:val="0"/>
          <w:numId w:val="19"/>
        </w:numPr>
        <w:spacing w:line="360" w:lineRule="auto"/>
        <w:jc w:val="both"/>
        <w:rPr>
          <w:color w:val="auto"/>
        </w:rPr>
      </w:pPr>
      <w:r w:rsidRPr="00DF4A2F">
        <w:rPr>
          <w:color w:val="auto"/>
        </w:rPr>
        <w:t>A celebração de contrato de consórcio público, vinculando as entidades consorciadas com força obrigacional.</w:t>
      </w:r>
    </w:p>
    <w:p w:rsidR="00A87269" w:rsidRPr="00DF4A2F" w:rsidRDefault="00A87269" w:rsidP="00A87269">
      <w:pPr>
        <w:pStyle w:val="Default"/>
        <w:numPr>
          <w:ilvl w:val="0"/>
          <w:numId w:val="19"/>
        </w:numPr>
        <w:spacing w:line="360" w:lineRule="auto"/>
        <w:jc w:val="both"/>
        <w:rPr>
          <w:color w:val="auto"/>
        </w:rPr>
      </w:pPr>
      <w:r w:rsidRPr="00DF4A2F">
        <w:rPr>
          <w:color w:val="auto"/>
        </w:rPr>
        <w:t>A celebração de contrato de programa, quando há obrigações destituídas de ônus financeiro direto, a serem assumidas pelos entes federativos. Essas obrigações podem ser relacionadas, por exemplo, à transferência de bens ou cessão de pessoal para o consórcio.</w:t>
      </w:r>
    </w:p>
    <w:p w:rsidR="00A87269" w:rsidRPr="00DF4A2F" w:rsidRDefault="00A87269" w:rsidP="00A87269">
      <w:pPr>
        <w:pStyle w:val="Default"/>
        <w:numPr>
          <w:ilvl w:val="0"/>
          <w:numId w:val="19"/>
        </w:numPr>
        <w:spacing w:line="360" w:lineRule="auto"/>
        <w:jc w:val="both"/>
        <w:rPr>
          <w:color w:val="auto"/>
        </w:rPr>
      </w:pPr>
      <w:r w:rsidRPr="00DF4A2F">
        <w:rPr>
          <w:color w:val="auto"/>
        </w:rPr>
        <w:t>A celebração de contrato de rateio entre as entidades consorciadas, a ser formalizado para cada exercício financeiro, com a finalidade de estabelecer o compromisso de cada um na aplicação de recursos em prol do consórcio.</w:t>
      </w:r>
    </w:p>
    <w:p w:rsidR="00A87269" w:rsidRPr="00DF4A2F" w:rsidRDefault="00A87269" w:rsidP="00A87269">
      <w:pPr>
        <w:pStyle w:val="Default"/>
        <w:spacing w:line="360" w:lineRule="auto"/>
        <w:ind w:firstLine="709"/>
        <w:jc w:val="both"/>
        <w:rPr>
          <w:color w:val="auto"/>
        </w:rPr>
      </w:pPr>
      <w:r w:rsidRPr="00DF4A2F">
        <w:rPr>
          <w:color w:val="auto"/>
        </w:rPr>
        <w:t xml:space="preserve">As principais vantagens do consórcio são: </w:t>
      </w:r>
    </w:p>
    <w:p w:rsidR="00A87269" w:rsidRPr="00DF4A2F" w:rsidRDefault="00A87269" w:rsidP="00A87269">
      <w:pPr>
        <w:pStyle w:val="Default"/>
        <w:numPr>
          <w:ilvl w:val="0"/>
          <w:numId w:val="19"/>
        </w:numPr>
        <w:spacing w:line="360" w:lineRule="auto"/>
        <w:jc w:val="both"/>
        <w:rPr>
          <w:color w:val="auto"/>
        </w:rPr>
      </w:pPr>
      <w:r w:rsidRPr="00DF4A2F">
        <w:rPr>
          <w:color w:val="auto"/>
        </w:rPr>
        <w:t>Viabiliza a gestão pública em regiões metropolitanas.</w:t>
      </w:r>
    </w:p>
    <w:p w:rsidR="00A87269" w:rsidRPr="00DF4A2F" w:rsidRDefault="00A87269" w:rsidP="00A87269">
      <w:pPr>
        <w:pStyle w:val="Default"/>
        <w:numPr>
          <w:ilvl w:val="0"/>
          <w:numId w:val="19"/>
        </w:numPr>
        <w:spacing w:line="360" w:lineRule="auto"/>
        <w:jc w:val="both"/>
        <w:rPr>
          <w:color w:val="auto"/>
        </w:rPr>
      </w:pPr>
      <w:r w:rsidRPr="00DF4A2F">
        <w:rPr>
          <w:color w:val="auto"/>
        </w:rPr>
        <w:t>Melhora a capacidade técnica, gerencial e financeira de pequenos municípios.</w:t>
      </w:r>
    </w:p>
    <w:p w:rsidR="00A87269" w:rsidRPr="00DF4A2F" w:rsidRDefault="00A87269" w:rsidP="00A87269">
      <w:pPr>
        <w:pStyle w:val="Default"/>
        <w:numPr>
          <w:ilvl w:val="0"/>
          <w:numId w:val="19"/>
        </w:numPr>
        <w:spacing w:line="360" w:lineRule="auto"/>
        <w:jc w:val="both"/>
        <w:rPr>
          <w:color w:val="auto"/>
        </w:rPr>
      </w:pPr>
      <w:r w:rsidRPr="00DF4A2F">
        <w:rPr>
          <w:color w:val="auto"/>
        </w:rPr>
        <w:t>Viabiliza uma solução única e centralizada para diversos municípios.</w:t>
      </w:r>
    </w:p>
    <w:p w:rsidR="00A87269" w:rsidRPr="00DF4A2F" w:rsidRDefault="00A87269" w:rsidP="00A87269">
      <w:pPr>
        <w:pStyle w:val="Default"/>
        <w:spacing w:line="360" w:lineRule="auto"/>
        <w:ind w:firstLine="709"/>
        <w:jc w:val="both"/>
        <w:rPr>
          <w:color w:val="auto"/>
        </w:rPr>
      </w:pPr>
      <w:r w:rsidRPr="00DF4A2F">
        <w:rPr>
          <w:color w:val="auto"/>
        </w:rPr>
        <w:t>A Lei nº 11.445/07, que dá diretrizes nacionais para o saneamento básico, incentiva a constituição de consórcios, inclusive para a função de ente regulador dos serviços.</w:t>
      </w:r>
    </w:p>
    <w:p w:rsidR="00A87269" w:rsidRDefault="00A87269" w:rsidP="002828C8">
      <w:pPr>
        <w:pStyle w:val="SHS-Ttulo02"/>
      </w:pPr>
      <w:bookmarkStart w:id="392" w:name="_Toc488825315"/>
      <w:bookmarkStart w:id="393" w:name="_Toc493151481"/>
      <w:bookmarkStart w:id="394" w:name="_Toc497469050"/>
      <w:r w:rsidRPr="00DF4A2F">
        <w:t>Alternativas de regulação</w:t>
      </w:r>
      <w:r>
        <w:t xml:space="preserve"> e</w:t>
      </w:r>
      <w:r w:rsidRPr="00DF4A2F">
        <w:t xml:space="preserve"> fiscalização</w:t>
      </w:r>
      <w:bookmarkEnd w:id="392"/>
      <w:bookmarkEnd w:id="393"/>
      <w:bookmarkEnd w:id="394"/>
      <w:r w:rsidRPr="00DF4A2F">
        <w:t xml:space="preserve"> </w:t>
      </w:r>
    </w:p>
    <w:p w:rsidR="00A87269" w:rsidRPr="00FC2484" w:rsidRDefault="00A87269" w:rsidP="002828C8">
      <w:pPr>
        <w:pStyle w:val="Ttulo3"/>
      </w:pPr>
      <w:bookmarkStart w:id="395" w:name="_Toc488825316"/>
      <w:bookmarkStart w:id="396" w:name="_Toc493151482"/>
      <w:bookmarkStart w:id="397" w:name="_Toc497469051"/>
      <w:r>
        <w:t>Regulação</w:t>
      </w:r>
      <w:bookmarkEnd w:id="395"/>
      <w:bookmarkEnd w:id="396"/>
      <w:bookmarkEnd w:id="397"/>
    </w:p>
    <w:p w:rsidR="00A87269" w:rsidRDefault="00A87269" w:rsidP="00A87269">
      <w:pPr>
        <w:pStyle w:val="Default"/>
        <w:spacing w:line="360" w:lineRule="auto"/>
        <w:ind w:firstLine="709"/>
        <w:jc w:val="both"/>
      </w:pPr>
      <w:r>
        <w:t xml:space="preserve">Conforme estabelecido no Decreto nº 6.017/2007, a regulação envolve todo e qualquer ato, normativo ou não, que discipline ou organize determinado serviço público, incluindo suas características, padrões de qualidade, impactos socioambientais, direitos e obrigações dos usuários e dos responsáveis por sua oferta ou prestação e fixação, além da revisão do valor de tarifas e outros preços públicos. </w:t>
      </w:r>
    </w:p>
    <w:p w:rsidR="00A87269" w:rsidRDefault="00A87269" w:rsidP="00A87269">
      <w:pPr>
        <w:pStyle w:val="Default"/>
        <w:spacing w:line="360" w:lineRule="auto"/>
        <w:ind w:firstLine="709"/>
        <w:jc w:val="both"/>
      </w:pPr>
      <w:r>
        <w:t xml:space="preserve">A regulação cabe ao titular dos serviços, ou seja, o Município, que pode realizá-la diretamente ou delegá-la à entidade de outro ente federativo. Nesse caso, a delegação só pode ser feita a uma entidade reguladora constituída especificamente </w:t>
      </w:r>
      <w:r>
        <w:lastRenderedPageBreak/>
        <w:t>para esse fim, dentro dos limites do respectivo estado, devendo ser explicitada a forma de atuação e a abrangência das atividades a serem desempenhadas pelas partes envolvidas (art. 8º e art. 23, § 1º, da Lei nº 11.445/07). A entidade reguladora e fiscalizadora dos serviços é a responsável pela verificação do cumprimento dos planos de saneamento por parte dos prestadores de serviços, na forma das disposições legais, regulamentares e contratuais (art. 20). Nas atividades de regulação dos serviços de saneamento básico, estão incluídas a interpretação e a fixação de critérios para a fiel execução dos contratos, dos serviços e para a correta administração de subsídios (art. 25, § 2º).</w:t>
      </w:r>
    </w:p>
    <w:p w:rsidR="00A87269" w:rsidRDefault="00A87269" w:rsidP="00A87269">
      <w:pPr>
        <w:pStyle w:val="Default"/>
        <w:spacing w:line="360" w:lineRule="auto"/>
        <w:ind w:firstLine="709"/>
        <w:jc w:val="both"/>
      </w:pPr>
      <w:r>
        <w:t xml:space="preserve">O desenho regulatório é considerado o instrumento basilar para garantir eficiência e eficácia à atividade reguladora e serve como modelo para análise do atendimento das entidades reguladoras aos princípios da regulação. Destacam-se a independência da entidade reguladora, a garantia dos mandatos de seus dirigentes, a capacidade técnica, as decisões tomadas por órgãos colegiados e a participação social. São instrumentos do exercício da participação social na regulação a realização de audiências e consultas públicas, a constituição de ouvidorias e o funcionamento efetivo dos conselhos. A regulação da prestação de serviços públicos deve atender principalmente aos seguintes objetivos, apresentados na </w:t>
      </w:r>
      <w:r>
        <w:fldChar w:fldCharType="begin"/>
      </w:r>
      <w:r>
        <w:instrText xml:space="preserve"> REF _Ref488649215 \h </w:instrText>
      </w:r>
      <w:r>
        <w:fldChar w:fldCharType="separate"/>
      </w:r>
      <w:r w:rsidR="004D1D76" w:rsidRPr="00DA47A4">
        <w:t xml:space="preserve">Figura </w:t>
      </w:r>
      <w:r w:rsidR="004D1D76">
        <w:rPr>
          <w:noProof/>
        </w:rPr>
        <w:t>17</w:t>
      </w:r>
      <w:r>
        <w:fldChar w:fldCharType="end"/>
      </w:r>
      <w:r>
        <w:t xml:space="preserve">. </w:t>
      </w:r>
    </w:p>
    <w:p w:rsidR="00A87269" w:rsidRPr="00DA47A4" w:rsidRDefault="00A87269" w:rsidP="00A87269">
      <w:pPr>
        <w:pStyle w:val="Legenda"/>
      </w:pPr>
      <w:bookmarkStart w:id="398" w:name="_Ref488649215"/>
      <w:bookmarkStart w:id="399" w:name="_Toc488824956"/>
      <w:bookmarkStart w:id="400" w:name="_Toc493151544"/>
      <w:bookmarkStart w:id="401" w:name="_Toc497469113"/>
      <w:r w:rsidRPr="00DA47A4">
        <w:t xml:space="preserve">Figura </w:t>
      </w:r>
      <w:r w:rsidR="00D71C43">
        <w:fldChar w:fldCharType="begin"/>
      </w:r>
      <w:r w:rsidR="00D71C43">
        <w:instrText xml:space="preserve"> SEQ Figura \* ARABIC </w:instrText>
      </w:r>
      <w:r w:rsidR="00D71C43">
        <w:fldChar w:fldCharType="separate"/>
      </w:r>
      <w:r w:rsidR="004D1D76">
        <w:rPr>
          <w:noProof/>
        </w:rPr>
        <w:t>17</w:t>
      </w:r>
      <w:r w:rsidR="00D71C43">
        <w:rPr>
          <w:noProof/>
        </w:rPr>
        <w:fldChar w:fldCharType="end"/>
      </w:r>
      <w:bookmarkEnd w:id="398"/>
      <w:r w:rsidRPr="00DA47A4">
        <w:t xml:space="preserve"> - Objetivos da regulação dos serviços de saneamento básico</w:t>
      </w:r>
      <w:bookmarkEnd w:id="399"/>
      <w:bookmarkEnd w:id="400"/>
      <w:bookmarkEnd w:id="401"/>
    </w:p>
    <w:p w:rsidR="00A87269" w:rsidRDefault="00A87269" w:rsidP="00A87269">
      <w:pPr>
        <w:pStyle w:val="Default"/>
        <w:spacing w:line="360" w:lineRule="auto"/>
        <w:ind w:firstLine="709"/>
        <w:jc w:val="center"/>
      </w:pPr>
      <w:r w:rsidRPr="001F29C3">
        <w:rPr>
          <w:noProof/>
          <w:bdr w:val="single" w:sz="4" w:space="0" w:color="auto"/>
        </w:rPr>
        <w:drawing>
          <wp:inline distT="0" distB="0" distL="0" distR="0" wp14:anchorId="1D4F2A23" wp14:editId="011048A6">
            <wp:extent cx="4133850" cy="2485655"/>
            <wp:effectExtent l="0" t="0" r="0"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142502" cy="2490858"/>
                    </a:xfrm>
                    <a:prstGeom prst="rect">
                      <a:avLst/>
                    </a:prstGeom>
                    <a:effectLst>
                      <a:softEdge rad="12700"/>
                    </a:effectLst>
                  </pic:spPr>
                </pic:pic>
              </a:graphicData>
            </a:graphic>
          </wp:inline>
        </w:drawing>
      </w:r>
    </w:p>
    <w:p w:rsidR="00A87269" w:rsidRPr="001F29C3" w:rsidRDefault="00A87269" w:rsidP="00A87269">
      <w:pPr>
        <w:pStyle w:val="Fonte"/>
      </w:pPr>
      <w:r w:rsidRPr="001F29C3">
        <w:t>Fonte: ReCESA</w:t>
      </w:r>
      <w:r>
        <w:t>, 2013;</w:t>
      </w:r>
      <w:r w:rsidRPr="001F29C3">
        <w:t xml:space="preserve"> adaptado</w:t>
      </w:r>
      <w:r>
        <w:t xml:space="preserve"> </w:t>
      </w:r>
      <w:r w:rsidRPr="001F29C3">
        <w:t>da Lei Federal nº 11.445/07</w:t>
      </w:r>
      <w:r>
        <w:t>.</w:t>
      </w:r>
    </w:p>
    <w:p w:rsidR="00A87269" w:rsidRDefault="00A87269" w:rsidP="00A87269">
      <w:pPr>
        <w:pStyle w:val="Default"/>
        <w:spacing w:line="360" w:lineRule="auto"/>
        <w:ind w:firstLine="709"/>
        <w:jc w:val="both"/>
      </w:pPr>
      <w:r>
        <w:lastRenderedPageBreak/>
        <w:t xml:space="preserve">Os modelos de regulação que podem ser utilizados são: a regulação por entes estaduais, por entes municipais e por consórcios de regulação. No </w:t>
      </w:r>
      <w:r>
        <w:fldChar w:fldCharType="begin"/>
      </w:r>
      <w:r>
        <w:instrText xml:space="preserve"> REF _Ref488649606 \h </w:instrText>
      </w:r>
      <w:r>
        <w:fldChar w:fldCharType="separate"/>
      </w:r>
      <w:r w:rsidR="004D1D76">
        <w:t xml:space="preserve">Quadro </w:t>
      </w:r>
      <w:r w:rsidR="004D1D76">
        <w:rPr>
          <w:noProof/>
        </w:rPr>
        <w:t>33</w:t>
      </w:r>
      <w:r>
        <w:fldChar w:fldCharType="end"/>
      </w:r>
      <w:r>
        <w:t xml:space="preserve"> são apresentadas as vantagens e desvantagens de cada modelo.</w:t>
      </w:r>
    </w:p>
    <w:p w:rsidR="00A87269" w:rsidRDefault="00A87269" w:rsidP="00A87269">
      <w:pPr>
        <w:pStyle w:val="Legenda"/>
      </w:pPr>
      <w:bookmarkStart w:id="402" w:name="_Ref488649606"/>
      <w:bookmarkStart w:id="403" w:name="_Toc488825047"/>
      <w:bookmarkStart w:id="404" w:name="_Toc493151583"/>
      <w:bookmarkStart w:id="405" w:name="_Toc497469154"/>
      <w:r>
        <w:t xml:space="preserve">Quadro </w:t>
      </w:r>
      <w:r w:rsidR="00D71C43">
        <w:fldChar w:fldCharType="begin"/>
      </w:r>
      <w:r w:rsidR="00D71C43">
        <w:instrText xml:space="preserve"> SEQ Quadro \* ARABIC </w:instrText>
      </w:r>
      <w:r w:rsidR="00D71C43">
        <w:fldChar w:fldCharType="separate"/>
      </w:r>
      <w:r w:rsidR="004D1D76">
        <w:rPr>
          <w:noProof/>
        </w:rPr>
        <w:t>33</w:t>
      </w:r>
      <w:r w:rsidR="00D71C43">
        <w:rPr>
          <w:noProof/>
        </w:rPr>
        <w:fldChar w:fldCharType="end"/>
      </w:r>
      <w:bookmarkEnd w:id="402"/>
      <w:r>
        <w:rPr>
          <w:lang w:val="pt-BR"/>
        </w:rPr>
        <w:t xml:space="preserve"> - </w:t>
      </w:r>
      <w:r>
        <w:t>Vantagens e desvantagens dos modelos de regulação</w:t>
      </w:r>
      <w:bookmarkEnd w:id="403"/>
      <w:bookmarkEnd w:id="404"/>
      <w:bookmarkEnd w:id="405"/>
    </w:p>
    <w:p w:rsidR="00A87269" w:rsidRDefault="00A87269" w:rsidP="002828C8">
      <w:pPr>
        <w:pStyle w:val="figura"/>
      </w:pPr>
      <w:r>
        <w:rPr>
          <w:noProof/>
        </w:rPr>
        <w:drawing>
          <wp:inline distT="0" distB="0" distL="0" distR="0" wp14:anchorId="68BFCA2A" wp14:editId="20BBA080">
            <wp:extent cx="5939790" cy="2514600"/>
            <wp:effectExtent l="19050" t="19050" r="22860" b="1905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t="368" b="2022"/>
                    <a:stretch/>
                  </pic:blipFill>
                  <pic:spPr bwMode="auto">
                    <a:xfrm>
                      <a:off x="0" y="0"/>
                      <a:ext cx="5939790" cy="2514600"/>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rsidR="00A87269" w:rsidRPr="001F29C3" w:rsidRDefault="00A87269" w:rsidP="00A87269">
      <w:pPr>
        <w:pStyle w:val="Fonte"/>
      </w:pPr>
      <w:r w:rsidRPr="001F29C3">
        <w:t>Fonte: Re</w:t>
      </w:r>
      <w:r>
        <w:t>CESA, 2013.</w:t>
      </w:r>
    </w:p>
    <w:p w:rsidR="00A87269" w:rsidRPr="00DA47A4" w:rsidRDefault="00A87269" w:rsidP="00A87269">
      <w:pPr>
        <w:pStyle w:val="Default"/>
        <w:spacing w:line="360" w:lineRule="auto"/>
        <w:ind w:firstLine="709"/>
        <w:jc w:val="both"/>
        <w:rPr>
          <w:color w:val="auto"/>
        </w:rPr>
      </w:pPr>
      <w:r w:rsidRPr="00DA47A4">
        <w:rPr>
          <w:color w:val="auto"/>
        </w:rPr>
        <w:t xml:space="preserve">Em Minas Gerais, a ARSAE-MG é a primeira agência reguladora a integrar a estrutura institucional do Estado. Sua criação atendeu a disposições da </w:t>
      </w:r>
      <w:hyperlink r:id="rId47" w:tgtFrame="_blank" w:history="1">
        <w:r w:rsidRPr="00DA47A4">
          <w:rPr>
            <w:color w:val="auto"/>
          </w:rPr>
          <w:t>Lei Federal nº 11.445/07</w:t>
        </w:r>
      </w:hyperlink>
      <w:r w:rsidRPr="00DA47A4">
        <w:rPr>
          <w:color w:val="auto"/>
        </w:rPr>
        <w:t>, especialmente ao art. 23, § 1º.</w:t>
      </w:r>
    </w:p>
    <w:p w:rsidR="00A87269" w:rsidRPr="00DA47A4" w:rsidRDefault="00A87269" w:rsidP="00A87269">
      <w:pPr>
        <w:pStyle w:val="Default"/>
        <w:spacing w:line="360" w:lineRule="auto"/>
        <w:ind w:firstLine="709"/>
        <w:jc w:val="both"/>
        <w:rPr>
          <w:color w:val="auto"/>
        </w:rPr>
      </w:pPr>
      <w:r w:rsidRPr="00DA47A4">
        <w:rPr>
          <w:color w:val="auto"/>
        </w:rPr>
        <w:t>A reguladora está organizada sob a forma de autarquia especial, regime que confere à entidade autonomia de decisão e de gestão administrativa, financeira, técnica e patrimonial. A agência está vinculada ao sistema da Secretaria de Estado de Desenvolvimento Regional e Política Urbana (SEDRU). A ARSAE-MG seguiu o modelo e os parâmetros das agências reguladoras de nível federal, entre os quais o “regime jurídico de autarquia especial”, um importante instrumento do Estado regulador.</w:t>
      </w:r>
    </w:p>
    <w:p w:rsidR="00A87269" w:rsidRPr="00DA47A4" w:rsidRDefault="00A87269" w:rsidP="00A87269">
      <w:pPr>
        <w:pStyle w:val="Default"/>
        <w:spacing w:line="360" w:lineRule="auto"/>
        <w:ind w:firstLine="709"/>
        <w:jc w:val="both"/>
        <w:rPr>
          <w:color w:val="auto"/>
        </w:rPr>
      </w:pPr>
      <w:r w:rsidRPr="00DA47A4">
        <w:rPr>
          <w:color w:val="auto"/>
        </w:rPr>
        <w:t>Cabe à ARSAE a fiscalização e a execução do contrato, além da aplicação das sanções estipuladas pelo contrato e previstas na lei, em razão da sua inexecução parcial ou total.</w:t>
      </w:r>
    </w:p>
    <w:p w:rsidR="00A87269" w:rsidRPr="00DA47A4" w:rsidRDefault="00A87269" w:rsidP="00A87269">
      <w:pPr>
        <w:pStyle w:val="Default"/>
        <w:spacing w:line="360" w:lineRule="auto"/>
        <w:ind w:firstLine="709"/>
        <w:jc w:val="both"/>
        <w:rPr>
          <w:color w:val="auto"/>
        </w:rPr>
      </w:pPr>
      <w:r w:rsidRPr="00DA47A4">
        <w:rPr>
          <w:color w:val="auto"/>
        </w:rPr>
        <w:t xml:space="preserve">A ARSAE poderá, sem prejuízo da aplicação das penalidades cabíveis e das responsabilidades incidentes, intervir na prestação dos serviços, a qualquer tempo, com objetivo de assegurar a regularidade e adequação dos serviços, bem como o fiel cumprimento das normas contratuais, regulamentares e legais pertinentes. Essa </w:t>
      </w:r>
      <w:r w:rsidRPr="00DA47A4">
        <w:rPr>
          <w:color w:val="auto"/>
        </w:rPr>
        <w:lastRenderedPageBreak/>
        <w:t xml:space="preserve">intervenção só poderá ser executada após a devida autorização do município, e deverá ser declarada pela ARSAE por ato próprio, por meio do qual será designado o interventor, o prazo de duração, os objetivos e os limites da medida. </w:t>
      </w:r>
    </w:p>
    <w:p w:rsidR="00A87269" w:rsidRPr="00DF4A2F" w:rsidRDefault="00A87269" w:rsidP="00A87269">
      <w:pPr>
        <w:pStyle w:val="Default"/>
        <w:spacing w:line="360" w:lineRule="auto"/>
        <w:ind w:firstLine="709"/>
        <w:jc w:val="both"/>
        <w:rPr>
          <w:color w:val="auto"/>
        </w:rPr>
      </w:pPr>
      <w:r w:rsidRPr="00DA47A4">
        <w:rPr>
          <w:color w:val="auto"/>
        </w:rPr>
        <w:t>Com relação à receita tarifária, está a cargo da ARSAE autorizar as tarifas e homologar a tabela de preços para prestação dos serviços. A agência também deverá definir a estrutura tarifária, observando as diretrizes da Lei nº 11.445/07 e de seu regulamento, das normas que vierem a substituí-lo e da legislação correlata.</w:t>
      </w:r>
    </w:p>
    <w:p w:rsidR="00A87269" w:rsidRPr="00675E1D" w:rsidRDefault="00A87269" w:rsidP="00A87269">
      <w:pPr>
        <w:pStyle w:val="Default"/>
        <w:spacing w:line="360" w:lineRule="auto"/>
        <w:ind w:firstLine="709"/>
        <w:jc w:val="both"/>
        <w:rPr>
          <w:color w:val="auto"/>
          <w:highlight w:val="cyan"/>
        </w:rPr>
      </w:pPr>
      <w:r>
        <w:t xml:space="preserve">A publicidade dos relatórios, estudos, decisões e instrumentos equivalentes que se refiram à regulação ou à fiscalização dos serviços, bem como aos direitos e deveres dos usuários e prestadores, </w:t>
      </w:r>
      <w:r w:rsidRPr="00675E1D">
        <w:rPr>
          <w:color w:val="auto"/>
        </w:rPr>
        <w:t>está assegurada no art. 26 da referida lei. Segundo esse dispositivo, qualquer pessoa pode requerer tais informações.</w:t>
      </w:r>
      <w:r w:rsidRPr="00675E1D">
        <w:rPr>
          <w:color w:val="auto"/>
          <w:highlight w:val="cyan"/>
        </w:rPr>
        <w:t xml:space="preserve"> </w:t>
      </w:r>
    </w:p>
    <w:p w:rsidR="00A87269" w:rsidRPr="00675E1D" w:rsidRDefault="00A87269" w:rsidP="00A87269">
      <w:pPr>
        <w:pStyle w:val="Default"/>
        <w:spacing w:line="360" w:lineRule="auto"/>
        <w:ind w:firstLine="709"/>
        <w:jc w:val="both"/>
        <w:rPr>
          <w:color w:val="auto"/>
        </w:rPr>
      </w:pPr>
      <w:r w:rsidRPr="00675E1D">
        <w:rPr>
          <w:color w:val="auto"/>
        </w:rPr>
        <w:t xml:space="preserve">As atribuições da Agência Reguladora ARSAE - MG restringem-se aos serviços prestados pela COPASA, não abrangendo a totalidade de responsabilidades indicadas na Lei nº 11.445/07, nem tampouco a parcela do território municipal onde a concessionária não atua. Os demais serviços do saneamento também não compõem o escopo de regulação da ARSAE - MG, de modo que se faz necessário que o município se adeque, escolhendo os modelos de regulação e fiscalização que mais lhe convêm, para bem empreender a gestão dos quatro eixos do saneamento básico municipal. </w:t>
      </w:r>
    </w:p>
    <w:p w:rsidR="00A87269" w:rsidRDefault="00A87269" w:rsidP="002828C8">
      <w:pPr>
        <w:pStyle w:val="Ttulo3"/>
      </w:pPr>
      <w:bookmarkStart w:id="406" w:name="_Toc488825317"/>
      <w:bookmarkStart w:id="407" w:name="_Toc493151483"/>
      <w:bookmarkStart w:id="408" w:name="_Toc497469052"/>
      <w:r>
        <w:t>Fiscalização</w:t>
      </w:r>
      <w:bookmarkEnd w:id="406"/>
      <w:bookmarkEnd w:id="407"/>
      <w:bookmarkEnd w:id="408"/>
    </w:p>
    <w:p w:rsidR="00A87269" w:rsidRDefault="00A87269" w:rsidP="00A87269">
      <w:pPr>
        <w:pStyle w:val="Default"/>
        <w:spacing w:line="360" w:lineRule="auto"/>
        <w:ind w:firstLine="709"/>
        <w:jc w:val="both"/>
      </w:pPr>
      <w:r>
        <w:t xml:space="preserve">Estabelecidas as possibilidades de formas de prestação do serviço, bem como as formas e objetivos quanto à sua regulação, deve-se pensar em formas de fiscalização dos serviços. É importante que fique claro que em qualquer processo de </w:t>
      </w:r>
      <w:r w:rsidRPr="00F05DB8">
        <w:t>gestão,</w:t>
      </w:r>
      <w:r>
        <w:t xml:space="preserve"> o ato de fiscalizar está vinculado ao controle do processo, permitindo que, ao longo da operação do sistema, seja possível ajustar eventuais falhas e corrigir rumos tanto da prestação, quanto da regulação </w:t>
      </w:r>
      <w:r w:rsidRPr="00F05DB8">
        <w:t>dos serviços.</w:t>
      </w:r>
      <w:r>
        <w:t xml:space="preserve"> A fiscalização, segundo o Decreto nº 6.017/07, refere-se às atividades de acompanhamento, monitoramento, controle e avaliação, no sentido de garantir a utilização, efetiva ou potencial, do serviço público. </w:t>
      </w:r>
    </w:p>
    <w:p w:rsidR="00A87269" w:rsidRDefault="00A87269" w:rsidP="00A87269">
      <w:pPr>
        <w:pStyle w:val="Default"/>
        <w:spacing w:line="360" w:lineRule="auto"/>
        <w:ind w:firstLine="709"/>
        <w:jc w:val="both"/>
      </w:pPr>
      <w:r>
        <w:t xml:space="preserve">A fiscalização cabe ao titular dos serviços que pode realizá-la diretamente ou delegá-la à entidade de outro ente federado (art. 8 da Lei nº 11.445/07). A mesma lei ainda define que “serviço adequado é o que satisfaz as condições de regularidade, </w:t>
      </w:r>
      <w:r>
        <w:lastRenderedPageBreak/>
        <w:t>continuidade, eficiência, segurança, atualidade, generalidade, cortesia na sua prestação e modicidade das tarifas” e que “a atualidade compreende a modernidade das técnicas, do equipamento e das instalações e a sua conservação, bem como a melhoria e expansão do serviço”.</w:t>
      </w:r>
    </w:p>
    <w:p w:rsidR="00A87269" w:rsidRDefault="00A87269" w:rsidP="00A87269">
      <w:pPr>
        <w:pStyle w:val="Default"/>
        <w:spacing w:line="360" w:lineRule="auto"/>
        <w:ind w:firstLine="709"/>
        <w:jc w:val="both"/>
      </w:pPr>
      <w:r>
        <w:t xml:space="preserve">O </w:t>
      </w:r>
      <w:r>
        <w:fldChar w:fldCharType="begin"/>
      </w:r>
      <w:r>
        <w:instrText xml:space="preserve"> REF _Ref489534849 \h </w:instrText>
      </w:r>
      <w:r>
        <w:fldChar w:fldCharType="separate"/>
      </w:r>
      <w:r w:rsidR="004D1D76">
        <w:t xml:space="preserve">Quadro </w:t>
      </w:r>
      <w:r w:rsidR="004D1D76">
        <w:rPr>
          <w:noProof/>
        </w:rPr>
        <w:t>34</w:t>
      </w:r>
      <w:r>
        <w:fldChar w:fldCharType="end"/>
      </w:r>
      <w:r>
        <w:t xml:space="preserve"> apresenta as entidades que podem assumir a responsabilidade de desempenhar cada uma das funções da </w:t>
      </w:r>
      <w:r w:rsidRPr="00F05DB8">
        <w:t>gestão d</w:t>
      </w:r>
      <w:r>
        <w:t xml:space="preserve">o saneamento básico, quais sejam: planejamento, prestação de serviços, regulação e fiscalização. </w:t>
      </w:r>
    </w:p>
    <w:p w:rsidR="00A87269" w:rsidRDefault="00A87269" w:rsidP="00A87269">
      <w:pPr>
        <w:pStyle w:val="Legenda"/>
        <w:rPr>
          <w:lang w:val="pt-BR"/>
        </w:rPr>
      </w:pPr>
      <w:bookmarkStart w:id="409" w:name="_Ref489534849"/>
      <w:bookmarkStart w:id="410" w:name="_Toc489536317"/>
      <w:bookmarkStart w:id="411" w:name="_Toc493151584"/>
      <w:bookmarkStart w:id="412" w:name="_Toc497469155"/>
      <w:r>
        <w:t xml:space="preserve">Quadro </w:t>
      </w:r>
      <w:r w:rsidR="00D71C43">
        <w:fldChar w:fldCharType="begin"/>
      </w:r>
      <w:r w:rsidR="00D71C43">
        <w:instrText xml:space="preserve"> SEQ Quadro \* ARABIC </w:instrText>
      </w:r>
      <w:r w:rsidR="00D71C43">
        <w:fldChar w:fldCharType="separate"/>
      </w:r>
      <w:r w:rsidR="004D1D76">
        <w:rPr>
          <w:noProof/>
        </w:rPr>
        <w:t>34</w:t>
      </w:r>
      <w:r w:rsidR="00D71C43">
        <w:rPr>
          <w:noProof/>
        </w:rPr>
        <w:fldChar w:fldCharType="end"/>
      </w:r>
      <w:bookmarkEnd w:id="409"/>
      <w:r>
        <w:rPr>
          <w:lang w:val="pt-BR"/>
        </w:rPr>
        <w:t xml:space="preserve"> </w:t>
      </w:r>
      <w:r w:rsidR="00665BBB">
        <w:rPr>
          <w:lang w:val="pt-BR"/>
        </w:rPr>
        <w:t>-</w:t>
      </w:r>
      <w:r>
        <w:rPr>
          <w:lang w:val="pt-BR"/>
        </w:rPr>
        <w:t xml:space="preserve"> Funções da gestão e entidades passíveis de atuar como responsáveis</w:t>
      </w:r>
      <w:bookmarkEnd w:id="410"/>
      <w:bookmarkEnd w:id="411"/>
      <w:bookmarkEnd w:id="412"/>
    </w:p>
    <w:p w:rsidR="00A87269" w:rsidRDefault="00A87269" w:rsidP="002828C8">
      <w:pPr>
        <w:pStyle w:val="figura"/>
      </w:pPr>
      <w:r>
        <w:rPr>
          <w:noProof/>
        </w:rPr>
        <w:drawing>
          <wp:inline distT="0" distB="0" distL="0" distR="0" wp14:anchorId="59091B60" wp14:editId="4D6C19A6">
            <wp:extent cx="5943600" cy="2355215"/>
            <wp:effectExtent l="0" t="0" r="0" b="6985"/>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48">
                      <a:extLst>
                        <a:ext uri="{28A0092B-C50C-407E-A947-70E740481C1C}">
                          <a14:useLocalDpi xmlns:a14="http://schemas.microsoft.com/office/drawing/2010/main" val="0"/>
                        </a:ext>
                      </a:extLst>
                    </a:blip>
                    <a:srcRect t="8047" b="10580"/>
                    <a:stretch>
                      <a:fillRect/>
                    </a:stretch>
                  </pic:blipFill>
                  <pic:spPr bwMode="auto">
                    <a:xfrm>
                      <a:off x="0" y="0"/>
                      <a:ext cx="5943600" cy="2355215"/>
                    </a:xfrm>
                    <a:prstGeom prst="rect">
                      <a:avLst/>
                    </a:prstGeom>
                    <a:noFill/>
                    <a:ln>
                      <a:noFill/>
                    </a:ln>
                  </pic:spPr>
                </pic:pic>
              </a:graphicData>
            </a:graphic>
          </wp:inline>
        </w:drawing>
      </w:r>
    </w:p>
    <w:p w:rsidR="00A87269" w:rsidRDefault="00A87269" w:rsidP="00A87269">
      <w:pPr>
        <w:pStyle w:val="Fonte"/>
        <w:spacing w:before="0" w:after="0" w:line="240" w:lineRule="auto"/>
      </w:pPr>
      <w:r>
        <w:t>Fonte: ReCESA, 2013, adaptado da Lei nº 11445/07.</w:t>
      </w:r>
    </w:p>
    <w:p w:rsidR="00A87269" w:rsidRDefault="00A87269" w:rsidP="002828C8">
      <w:pPr>
        <w:pStyle w:val="SHS-Ttulo02"/>
      </w:pPr>
      <w:bookmarkStart w:id="413" w:name="_Toc488825318"/>
      <w:bookmarkStart w:id="414" w:name="_Toc493151484"/>
      <w:bookmarkStart w:id="415" w:name="_Toc497469053"/>
      <w:r>
        <w:t>Regulamentação</w:t>
      </w:r>
      <w:r w:rsidRPr="00DF4A2F">
        <w:t xml:space="preserve"> do setor de limpeza urbana e manejo de resíduos sólidos considerando o PMGIRS</w:t>
      </w:r>
      <w:bookmarkEnd w:id="413"/>
      <w:bookmarkEnd w:id="414"/>
      <w:bookmarkEnd w:id="415"/>
    </w:p>
    <w:p w:rsidR="00A87269" w:rsidRDefault="00A87269" w:rsidP="00A87269">
      <w:pPr>
        <w:pStyle w:val="Default"/>
        <w:spacing w:line="360" w:lineRule="auto"/>
        <w:ind w:firstLine="709"/>
        <w:jc w:val="both"/>
        <w:rPr>
          <w:color w:val="auto"/>
        </w:rPr>
      </w:pPr>
      <w:r>
        <w:rPr>
          <w:color w:val="auto"/>
        </w:rPr>
        <w:t xml:space="preserve">Considerando a diversidade de resíduos e a necessidade de garantias de salubridade em todas as etapas da gestão, ou seja, acondicionamento, armazenagem, transporte, destinação, tratamento e disposição final, o arcabouço de normas regulamentadoras é extenso. Daí a necessidade de haver um maior detalhamento da descrição desse setor no PMSB.  </w:t>
      </w:r>
    </w:p>
    <w:p w:rsidR="00A87269" w:rsidRDefault="00A87269" w:rsidP="00A87269">
      <w:pPr>
        <w:pStyle w:val="Default"/>
        <w:spacing w:line="360" w:lineRule="auto"/>
        <w:ind w:firstLine="709"/>
        <w:jc w:val="both"/>
        <w:rPr>
          <w:color w:val="auto"/>
        </w:rPr>
      </w:pPr>
      <w:r w:rsidRPr="00DF4A2F">
        <w:rPr>
          <w:color w:val="auto"/>
        </w:rPr>
        <w:t xml:space="preserve">A seguir serão </w:t>
      </w:r>
      <w:r>
        <w:rPr>
          <w:color w:val="auto"/>
        </w:rPr>
        <w:t>apresentados</w:t>
      </w:r>
      <w:r w:rsidRPr="00DF4A2F">
        <w:rPr>
          <w:color w:val="auto"/>
        </w:rPr>
        <w:t xml:space="preserve"> os procedimentos corretos a serem implementados pelos geradores dos diversos tipos de resíduos produzidos no município, visando sua destinação correta no que concerne a questões operacionais, ambientais e de segurança.</w:t>
      </w:r>
    </w:p>
    <w:p w:rsidR="00A87269" w:rsidRDefault="00A87269" w:rsidP="00A87269">
      <w:pPr>
        <w:pStyle w:val="Default"/>
        <w:spacing w:line="360" w:lineRule="auto"/>
        <w:ind w:firstLine="709"/>
        <w:jc w:val="both"/>
        <w:rPr>
          <w:color w:val="auto"/>
        </w:rPr>
      </w:pPr>
    </w:p>
    <w:p w:rsidR="00A87269" w:rsidRDefault="00A87269" w:rsidP="00A87269">
      <w:pPr>
        <w:pStyle w:val="Default"/>
        <w:spacing w:line="360" w:lineRule="auto"/>
        <w:ind w:firstLine="709"/>
        <w:jc w:val="both"/>
        <w:rPr>
          <w:color w:val="auto"/>
        </w:rPr>
      </w:pPr>
    </w:p>
    <w:p w:rsidR="00A87269" w:rsidRPr="00FC2A41" w:rsidRDefault="00A87269" w:rsidP="002828C8">
      <w:pPr>
        <w:pStyle w:val="Ttulo3"/>
      </w:pPr>
      <w:bookmarkStart w:id="416" w:name="_Toc488825319"/>
      <w:bookmarkStart w:id="417" w:name="_Toc493151485"/>
      <w:bookmarkStart w:id="418" w:name="_Toc497469054"/>
      <w:r w:rsidRPr="00DF4A2F">
        <w:lastRenderedPageBreak/>
        <w:t xml:space="preserve">Regras para o transporte e outras etapas do gerenciamento de resíduos </w:t>
      </w:r>
      <w:r w:rsidRPr="00FC2A41">
        <w:t>sólidos</w:t>
      </w:r>
      <w:bookmarkEnd w:id="416"/>
      <w:bookmarkEnd w:id="417"/>
      <w:bookmarkEnd w:id="418"/>
    </w:p>
    <w:p w:rsidR="00A87269" w:rsidRPr="00FC2A41" w:rsidRDefault="00A87269" w:rsidP="00A87269">
      <w:pPr>
        <w:pStyle w:val="Default"/>
        <w:spacing w:line="360" w:lineRule="auto"/>
        <w:ind w:firstLine="709"/>
        <w:jc w:val="both"/>
        <w:rPr>
          <w:color w:val="auto"/>
        </w:rPr>
      </w:pPr>
      <w:r w:rsidRPr="00FC2A41">
        <w:rPr>
          <w:color w:val="auto"/>
        </w:rPr>
        <w:t>Para que haja uma operacionalidade eficaz e eficiente no sistema de limpeza urbana e manejo de resíduos sólidos, há a necessidade de se estabelecer atividades de transporte dos resíduos de diversas naturezas gerados no espaço municipal, assim como o acondicionamento, o armazenamento e, se necessário, o transbordo de materiais.</w:t>
      </w:r>
    </w:p>
    <w:p w:rsidR="00A87269" w:rsidRPr="00FC2A41" w:rsidRDefault="00A87269" w:rsidP="00A87269">
      <w:pPr>
        <w:pStyle w:val="Default"/>
        <w:spacing w:line="360" w:lineRule="auto"/>
        <w:ind w:firstLine="709"/>
        <w:jc w:val="both"/>
        <w:rPr>
          <w:color w:val="auto"/>
        </w:rPr>
      </w:pPr>
      <w:r w:rsidRPr="00FC2A41">
        <w:rPr>
          <w:color w:val="auto"/>
        </w:rPr>
        <w:t xml:space="preserve">A operacionalização desses serviços pode ser assumida diretamente pela Administração Municipal ou pode ser delegada a terceiros, mediante contratos. Para que as atividades de transporte e outras necessárias à gestão integrada de resíduos sejam empreendidas com o mínimo risco para as pessoas e para o meio ambiente, faz-se necessário que uma série de normas e regras sejam atendidas. Quando a prestação desses serviços é delegada a terceiros, a responsabilidade pelo atendimento aos requisitos legais que convergem sobre eles é compartilhada entre a empresa que realiza tais atividades e o titular dos serviços de saneamento, ou seja, a Administração Pública Municipal. Por essa razão, a Prefeitura deve incluir as atividades das empresas terceirizadas naquelas sujeitas à sua fiscalização. Com relação às atividades de armazenamento, estocagem, transporte e disposição final de resíduos, entre outras, as regras são apresentadas nos itens seguintes.  </w:t>
      </w:r>
    </w:p>
    <w:p w:rsidR="00A87269" w:rsidRPr="00DF4A2F" w:rsidRDefault="00A87269" w:rsidP="002828C8">
      <w:pPr>
        <w:pStyle w:val="Ttulo4"/>
      </w:pPr>
      <w:bookmarkStart w:id="419" w:name="_Toc488825320"/>
      <w:bookmarkStart w:id="420" w:name="_Toc493151486"/>
      <w:bookmarkStart w:id="421" w:name="_Toc497469055"/>
      <w:r w:rsidRPr="00DF4A2F">
        <w:t>Resíduos dos serviços públicos de saneamento básico</w:t>
      </w:r>
      <w:bookmarkEnd w:id="419"/>
      <w:bookmarkEnd w:id="420"/>
      <w:bookmarkEnd w:id="421"/>
    </w:p>
    <w:p w:rsidR="00A87269" w:rsidRPr="00DF4A2F" w:rsidRDefault="00A87269" w:rsidP="0092438C">
      <w:pPr>
        <w:pStyle w:val="Default"/>
        <w:ind w:firstLine="709"/>
        <w:rPr>
          <w:color w:val="auto"/>
        </w:rPr>
      </w:pPr>
      <w:r w:rsidRPr="00DF4A2F">
        <w:rPr>
          <w:color w:val="auto"/>
        </w:rPr>
        <w:t xml:space="preserve">Os resíduos de serviços públicos de saneamento básico são aqueles gerados nessas atividades, excetuados os resíduos domiciliares e os de limpeza urbana, segundo o art. 13 da Lei n° 12.305 de 2010. Algumas regras e normas sobre esse tipo de resíduo estão apresentadas no </w:t>
      </w:r>
      <w:r w:rsidRPr="00DF4A2F">
        <w:rPr>
          <w:color w:val="auto"/>
        </w:rPr>
        <w:fldChar w:fldCharType="begin"/>
      </w:r>
      <w:r w:rsidRPr="00DF4A2F">
        <w:rPr>
          <w:color w:val="auto"/>
        </w:rPr>
        <w:instrText xml:space="preserve"> REF _Ref483559870 \h  \* MERGEFORMAT </w:instrText>
      </w:r>
      <w:r w:rsidRPr="00DF4A2F">
        <w:rPr>
          <w:color w:val="auto"/>
        </w:rPr>
      </w:r>
      <w:r w:rsidRPr="00DF4A2F">
        <w:rPr>
          <w:color w:val="auto"/>
        </w:rPr>
        <w:fldChar w:fldCharType="separate"/>
      </w:r>
      <w:r w:rsidR="004D1D76" w:rsidRPr="004D1D76">
        <w:rPr>
          <w:color w:val="auto"/>
        </w:rPr>
        <w:t xml:space="preserve">Quadro </w:t>
      </w:r>
      <w:r w:rsidR="004D1D76" w:rsidRPr="004D1D76">
        <w:rPr>
          <w:noProof/>
          <w:color w:val="auto"/>
        </w:rPr>
        <w:t>35</w:t>
      </w:r>
      <w:r w:rsidRPr="00DF4A2F">
        <w:rPr>
          <w:color w:val="auto"/>
        </w:rPr>
        <w:fldChar w:fldCharType="end"/>
      </w:r>
      <w:r w:rsidRPr="00DF4A2F">
        <w:rPr>
          <w:color w:val="auto"/>
        </w:rPr>
        <w:t xml:space="preserve">, </w:t>
      </w:r>
      <w:r w:rsidRPr="00DF4A2F">
        <w:rPr>
          <w:color w:val="auto"/>
        </w:rPr>
        <w:fldChar w:fldCharType="begin"/>
      </w:r>
      <w:r w:rsidRPr="00DF4A2F">
        <w:rPr>
          <w:color w:val="auto"/>
        </w:rPr>
        <w:instrText xml:space="preserve"> REF _Ref483559877 \h  \* MERGEFORMAT </w:instrText>
      </w:r>
      <w:r w:rsidRPr="00DF4A2F">
        <w:rPr>
          <w:color w:val="auto"/>
        </w:rPr>
      </w:r>
      <w:r w:rsidRPr="00DF4A2F">
        <w:rPr>
          <w:color w:val="auto"/>
        </w:rPr>
        <w:fldChar w:fldCharType="separate"/>
      </w:r>
      <w:r w:rsidR="004D1D76" w:rsidRPr="004D1D76">
        <w:rPr>
          <w:color w:val="auto"/>
        </w:rPr>
        <w:t xml:space="preserve">Quadro </w:t>
      </w:r>
      <w:r w:rsidR="004D1D76" w:rsidRPr="004D1D76">
        <w:rPr>
          <w:noProof/>
          <w:color w:val="auto"/>
        </w:rPr>
        <w:t>36</w:t>
      </w:r>
      <w:r w:rsidRPr="00DF4A2F">
        <w:rPr>
          <w:color w:val="auto"/>
        </w:rPr>
        <w:fldChar w:fldCharType="end"/>
      </w:r>
      <w:r w:rsidRPr="00DF4A2F">
        <w:rPr>
          <w:color w:val="auto"/>
        </w:rPr>
        <w:t xml:space="preserve">, </w:t>
      </w:r>
      <w:r w:rsidRPr="00DF4A2F">
        <w:rPr>
          <w:color w:val="auto"/>
        </w:rPr>
        <w:fldChar w:fldCharType="begin"/>
      </w:r>
      <w:r w:rsidRPr="00DF4A2F">
        <w:rPr>
          <w:color w:val="auto"/>
        </w:rPr>
        <w:instrText xml:space="preserve"> REF _Ref483559883 \h  \* MERGEFORMAT </w:instrText>
      </w:r>
      <w:r w:rsidRPr="00DF4A2F">
        <w:rPr>
          <w:color w:val="auto"/>
        </w:rPr>
      </w:r>
      <w:r w:rsidRPr="00DF4A2F">
        <w:rPr>
          <w:color w:val="auto"/>
        </w:rPr>
        <w:fldChar w:fldCharType="separate"/>
      </w:r>
      <w:r w:rsidR="004D1D76" w:rsidRPr="004D1D76">
        <w:rPr>
          <w:color w:val="auto"/>
        </w:rPr>
        <w:t xml:space="preserve">Quadro </w:t>
      </w:r>
      <w:r w:rsidR="004D1D76" w:rsidRPr="004D1D76">
        <w:rPr>
          <w:noProof/>
          <w:color w:val="auto"/>
        </w:rPr>
        <w:t>37</w:t>
      </w:r>
      <w:r w:rsidRPr="00DF4A2F">
        <w:rPr>
          <w:color w:val="auto"/>
        </w:rPr>
        <w:fldChar w:fldCharType="end"/>
      </w:r>
      <w:r w:rsidRPr="00DF4A2F">
        <w:rPr>
          <w:color w:val="auto"/>
        </w:rPr>
        <w:t xml:space="preserve"> e </w:t>
      </w:r>
      <w:r w:rsidR="0092438C">
        <w:rPr>
          <w:color w:val="auto"/>
        </w:rPr>
        <w:t xml:space="preserve"> </w:t>
      </w:r>
      <w:r w:rsidR="0092438C">
        <w:rPr>
          <w:color w:val="auto"/>
        </w:rPr>
        <w:fldChar w:fldCharType="begin"/>
      </w:r>
      <w:r w:rsidR="0092438C">
        <w:rPr>
          <w:color w:val="auto"/>
        </w:rPr>
        <w:instrText xml:space="preserve"> REF _Ref497468183 \h </w:instrText>
      </w:r>
      <w:r w:rsidR="0092438C">
        <w:rPr>
          <w:color w:val="auto"/>
        </w:rPr>
      </w:r>
      <w:r w:rsidR="0092438C">
        <w:rPr>
          <w:color w:val="auto"/>
        </w:rPr>
        <w:fldChar w:fldCharType="separate"/>
      </w:r>
      <w:r w:rsidR="004D1D76" w:rsidRPr="00DF4A2F">
        <w:t xml:space="preserve">Quadro </w:t>
      </w:r>
      <w:r w:rsidR="004D1D76">
        <w:rPr>
          <w:noProof/>
        </w:rPr>
        <w:t>38</w:t>
      </w:r>
      <w:r w:rsidR="0092438C">
        <w:rPr>
          <w:color w:val="auto"/>
        </w:rPr>
        <w:fldChar w:fldCharType="end"/>
      </w:r>
      <w:r w:rsidRPr="00DF4A2F">
        <w:rPr>
          <w:color w:val="auto"/>
        </w:rPr>
        <w:t>.</w:t>
      </w:r>
    </w:p>
    <w:p w:rsidR="00A87269" w:rsidRPr="00DF4A2F" w:rsidRDefault="00A87269" w:rsidP="00A87269">
      <w:pPr>
        <w:pStyle w:val="Legenda"/>
      </w:pPr>
      <w:bookmarkStart w:id="422" w:name="_Ref483559870"/>
      <w:bookmarkStart w:id="423" w:name="_Toc488825048"/>
      <w:bookmarkStart w:id="424" w:name="_Toc493151585"/>
      <w:bookmarkStart w:id="425" w:name="_Toc497469156"/>
      <w:r w:rsidRPr="00DF4A2F">
        <w:t xml:space="preserve">Quadro </w:t>
      </w:r>
      <w:r w:rsidR="00D71C43">
        <w:fldChar w:fldCharType="begin"/>
      </w:r>
      <w:r w:rsidR="00D71C43">
        <w:instrText xml:space="preserve"> SEQ Quadro \* ARABIC </w:instrText>
      </w:r>
      <w:r w:rsidR="00D71C43">
        <w:fldChar w:fldCharType="separate"/>
      </w:r>
      <w:r w:rsidR="004D1D76">
        <w:rPr>
          <w:noProof/>
        </w:rPr>
        <w:t>35</w:t>
      </w:r>
      <w:r w:rsidR="00D71C43">
        <w:rPr>
          <w:noProof/>
        </w:rPr>
        <w:fldChar w:fldCharType="end"/>
      </w:r>
      <w:bookmarkEnd w:id="422"/>
      <w:r w:rsidRPr="00DF4A2F">
        <w:t xml:space="preserve"> </w:t>
      </w:r>
      <w:r w:rsidRPr="00DF4A2F">
        <w:rPr>
          <w:lang w:val="pt-BR"/>
        </w:rPr>
        <w:t>-</w:t>
      </w:r>
      <w:r w:rsidRPr="00DF4A2F">
        <w:t xml:space="preserve"> Resíduos dos Serviços Públicos de Saneamento Básico – Regras de Estocagem</w:t>
      </w:r>
      <w:bookmarkEnd w:id="423"/>
      <w:bookmarkEnd w:id="424"/>
      <w:bookmarkEnd w:id="425"/>
    </w:p>
    <w:tbl>
      <w:tblPr>
        <w:tblW w:w="8755" w:type="dxa"/>
        <w:jc w:val="center"/>
        <w:tblBorders>
          <w:top w:val="single" w:sz="8" w:space="0" w:color="4F81BD"/>
          <w:bottom w:val="single" w:sz="8" w:space="0" w:color="4F81BD"/>
        </w:tblBorders>
        <w:tblLook w:val="04A0" w:firstRow="1" w:lastRow="0" w:firstColumn="1" w:lastColumn="0" w:noHBand="0" w:noVBand="1"/>
      </w:tblPr>
      <w:tblGrid>
        <w:gridCol w:w="8755"/>
      </w:tblGrid>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cs="Arial"/>
                <w:b/>
                <w:sz w:val="20"/>
                <w:szCs w:val="20"/>
              </w:rPr>
            </w:pPr>
            <w:r w:rsidRPr="00DF4A2F">
              <w:rPr>
                <w:rFonts w:cs="Arial"/>
                <w:b/>
                <w:sz w:val="20"/>
                <w:szCs w:val="20"/>
              </w:rPr>
              <w:t xml:space="preserve">Regras de estocagem segundo a Resolução CONAMA n° 375/06 </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cs="Arial"/>
                <w:sz w:val="20"/>
                <w:szCs w:val="20"/>
              </w:rPr>
            </w:pPr>
            <w:r w:rsidRPr="00DF4A2F">
              <w:rPr>
                <w:rFonts w:cs="Arial"/>
                <w:sz w:val="20"/>
                <w:szCs w:val="20"/>
              </w:rPr>
              <w:t>O lodo de esgoto ou produto derivado só poderá ficar estocado na propriedade por no máximo 15 dias.</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rPr>
            </w:pPr>
            <w:r w:rsidRPr="00DF4A2F">
              <w:rPr>
                <w:rFonts w:cs="Arial"/>
                <w:sz w:val="20"/>
                <w:szCs w:val="20"/>
              </w:rPr>
              <w:t>A declividade da área de estocagem não pode ser superior a 5%.</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MS Mincho" w:cs="Arial"/>
                <w:sz w:val="20"/>
                <w:szCs w:val="20"/>
              </w:rPr>
            </w:pPr>
            <w:r w:rsidRPr="00DF4A2F">
              <w:rPr>
                <w:rFonts w:cs="Arial"/>
                <w:sz w:val="20"/>
                <w:szCs w:val="20"/>
              </w:rPr>
              <w:t>A distância mínima do local de estocagem a rios, poços, minas e cursos d’água, canais, lagos e residências deverá respeitar o conteúdo apresentado na sequência.</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rPr>
            </w:pPr>
            <w:r w:rsidRPr="00DF4A2F">
              <w:rPr>
                <w:rFonts w:cs="Arial"/>
                <w:sz w:val="20"/>
                <w:szCs w:val="20"/>
              </w:rPr>
              <w:t>É proibida a estocagem diretamente sobre o solo de lodo de esgoto ou produto derivado contendo líquidos livres, cuja identificação deverá ser feita pela norma brasileira vigente.</w:t>
            </w:r>
          </w:p>
        </w:tc>
      </w:tr>
    </w:tbl>
    <w:p w:rsidR="00A87269" w:rsidRPr="00DF4A2F" w:rsidRDefault="00A87269" w:rsidP="00A87269">
      <w:pPr>
        <w:rPr>
          <w:rFonts w:cs="Arial"/>
          <w:b/>
          <w:bCs/>
        </w:rPr>
      </w:pPr>
    </w:p>
    <w:p w:rsidR="00A87269" w:rsidRPr="00DF4A2F" w:rsidRDefault="00A87269" w:rsidP="00A87269">
      <w:pPr>
        <w:pStyle w:val="Legenda"/>
      </w:pPr>
      <w:bookmarkStart w:id="426" w:name="_Ref483559877"/>
      <w:bookmarkStart w:id="427" w:name="_Toc488825049"/>
      <w:bookmarkStart w:id="428" w:name="_Toc493151586"/>
      <w:bookmarkStart w:id="429" w:name="_Toc497469157"/>
      <w:r w:rsidRPr="00DF4A2F">
        <w:lastRenderedPageBreak/>
        <w:t xml:space="preserve">Quadro </w:t>
      </w:r>
      <w:r w:rsidR="00D71C43">
        <w:fldChar w:fldCharType="begin"/>
      </w:r>
      <w:r w:rsidR="00D71C43">
        <w:instrText xml:space="preserve"> SEQ Quadro \* ARABIC </w:instrText>
      </w:r>
      <w:r w:rsidR="00D71C43">
        <w:fldChar w:fldCharType="separate"/>
      </w:r>
      <w:r w:rsidR="004D1D76">
        <w:rPr>
          <w:noProof/>
        </w:rPr>
        <w:t>36</w:t>
      </w:r>
      <w:r w:rsidR="00D71C43">
        <w:rPr>
          <w:noProof/>
        </w:rPr>
        <w:fldChar w:fldCharType="end"/>
      </w:r>
      <w:bookmarkEnd w:id="426"/>
      <w:r w:rsidRPr="00DF4A2F">
        <w:t xml:space="preserve"> </w:t>
      </w:r>
      <w:r w:rsidRPr="00DF4A2F">
        <w:rPr>
          <w:lang w:val="pt-BR"/>
        </w:rPr>
        <w:t>-</w:t>
      </w:r>
      <w:r w:rsidRPr="00DF4A2F">
        <w:t xml:space="preserve"> Resíduos dos Serviços Públicos de Saneamento Básico – Regras de Transporte</w:t>
      </w:r>
      <w:bookmarkEnd w:id="427"/>
      <w:bookmarkEnd w:id="428"/>
      <w:bookmarkEnd w:id="429"/>
    </w:p>
    <w:tbl>
      <w:tblPr>
        <w:tblW w:w="8755" w:type="dxa"/>
        <w:jc w:val="center"/>
        <w:tblBorders>
          <w:top w:val="single" w:sz="8" w:space="0" w:color="4F81BD"/>
          <w:bottom w:val="single" w:sz="8" w:space="0" w:color="4F81BD"/>
        </w:tblBorders>
        <w:tblLook w:val="04A0" w:firstRow="1" w:lastRow="0" w:firstColumn="1" w:lastColumn="0" w:noHBand="0" w:noVBand="1"/>
      </w:tblPr>
      <w:tblGrid>
        <w:gridCol w:w="8755"/>
      </w:tblGrid>
      <w:tr w:rsidR="00A87269" w:rsidRPr="00DF4A2F" w:rsidTr="00510FF9">
        <w:trPr>
          <w:tblHeade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cs="Arial"/>
                <w:b/>
                <w:sz w:val="20"/>
                <w:szCs w:val="20"/>
              </w:rPr>
            </w:pPr>
            <w:r w:rsidRPr="00DF4A2F">
              <w:rPr>
                <w:rFonts w:cs="Arial"/>
                <w:b/>
                <w:sz w:val="20"/>
                <w:szCs w:val="20"/>
              </w:rPr>
              <w:t>Regras de transporte segundo a Resolução CONAMA n° 375/06</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cs="Arial"/>
                <w:sz w:val="20"/>
                <w:szCs w:val="20"/>
              </w:rPr>
            </w:pPr>
            <w:r w:rsidRPr="00DF4A2F">
              <w:rPr>
                <w:rFonts w:cs="Arial"/>
                <w:sz w:val="20"/>
                <w:szCs w:val="20"/>
              </w:rPr>
              <w:t>Para retirar lodos de esgoto ou produtos derivados de uma Estação de Tratamento de Esgoto - ETE ou Unidade de Gerenciamento de Lodo - UGL o motorista de caminhão deverá apresentar o Termo de Responsabilidade e o Formulário de Controle de Retirada.</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rPr>
            </w:pPr>
            <w:r w:rsidRPr="00DF4A2F">
              <w:rPr>
                <w:rFonts w:cs="Arial"/>
                <w:sz w:val="20"/>
                <w:szCs w:val="20"/>
              </w:rPr>
              <w:t>O motorista deve estar cadastrado e com as credenciais da empresa geradora do lodo ou produto derivado.</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MS Mincho" w:cs="Arial"/>
                <w:sz w:val="20"/>
                <w:szCs w:val="20"/>
              </w:rPr>
            </w:pPr>
            <w:r w:rsidRPr="00DF4A2F">
              <w:rPr>
                <w:rFonts w:cs="Arial"/>
                <w:sz w:val="20"/>
                <w:szCs w:val="20"/>
              </w:rPr>
              <w:t>Para o transporte deverão ser utilizados caminhões com carrocerias totalmente vedadas, tais como os caminhões basculantes, equipados com sistema de trava para impedir a abertura da tampa traseira, lona plástica para cobertura, cone de sinalização, pá ou enxada e um par de luvas de látex.</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rPr>
            </w:pPr>
            <w:r w:rsidRPr="00DF4A2F">
              <w:rPr>
                <w:rFonts w:cs="Arial"/>
                <w:sz w:val="20"/>
                <w:szCs w:val="20"/>
              </w:rPr>
              <w:t>A altura da carga não pode ultrapassar a altura da carroceria.</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MS Mincho" w:cs="Arial"/>
                <w:sz w:val="20"/>
                <w:szCs w:val="20"/>
              </w:rPr>
            </w:pPr>
            <w:r w:rsidRPr="00DF4A2F">
              <w:rPr>
                <w:rFonts w:cs="Arial"/>
                <w:sz w:val="20"/>
                <w:szCs w:val="20"/>
              </w:rPr>
              <w:t>Os caminhões devem possuir algum tipo de sistema de comunicação para uso imediato em caso de ocorrência de sinistro (ocorrências inesperadas).</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rPr>
            </w:pPr>
            <w:r w:rsidRPr="00DF4A2F">
              <w:rPr>
                <w:rFonts w:cs="Arial"/>
                <w:sz w:val="20"/>
                <w:szCs w:val="20"/>
              </w:rPr>
              <w:t>Em caso de sinistro em vias públicas, com derramamento de lodo de esgoto, todos os procedimentos para limpeza são de responsabilidade da empresa transportadora do lodo de esgoto ou produto derivado.</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MS Mincho" w:cs="Arial"/>
                <w:sz w:val="20"/>
                <w:szCs w:val="20"/>
              </w:rPr>
            </w:pPr>
            <w:r w:rsidRPr="00DF4A2F">
              <w:rPr>
                <w:rFonts w:cs="Arial"/>
                <w:sz w:val="20"/>
                <w:szCs w:val="20"/>
              </w:rPr>
              <w:t>Todos trabalhadores em contato com o lodo de esgoto ou produto derivado deverão sempre utilizar luvas de proteção plásticas ou de couro. Também é requerido o uso de calçado adequado, sapatos ou botas de couro ou plástico, sendo proibido o uso de sandálias e outros calçados abertos.</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rPr>
            </w:pPr>
            <w:r w:rsidRPr="00DF4A2F">
              <w:rPr>
                <w:rFonts w:cs="Arial"/>
                <w:sz w:val="20"/>
                <w:szCs w:val="20"/>
              </w:rPr>
              <w:t>Ao término dos serviços, lavar com água e sabão as luvas, os calçados e as mãos.</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MS Mincho" w:cs="Arial"/>
                <w:sz w:val="20"/>
                <w:szCs w:val="20"/>
              </w:rPr>
            </w:pPr>
            <w:r w:rsidRPr="00DF4A2F">
              <w:rPr>
                <w:rFonts w:cs="Arial"/>
                <w:sz w:val="20"/>
                <w:szCs w:val="20"/>
              </w:rPr>
              <w:t>Deverá ser observada a limpeza dos pneus na saída dos caminhões da ETE ou UGL.</w:t>
            </w:r>
          </w:p>
        </w:tc>
      </w:tr>
    </w:tbl>
    <w:p w:rsidR="00A87269" w:rsidRPr="00DF4A2F" w:rsidRDefault="00A87269" w:rsidP="00A87269">
      <w:pPr>
        <w:pStyle w:val="Legenda"/>
      </w:pPr>
      <w:bookmarkStart w:id="430" w:name="_Ref483559883"/>
      <w:bookmarkStart w:id="431" w:name="_Toc488825050"/>
      <w:bookmarkStart w:id="432" w:name="_Toc493151587"/>
      <w:bookmarkStart w:id="433" w:name="_Toc497469158"/>
      <w:r w:rsidRPr="00DF4A2F">
        <w:t xml:space="preserve">Quadro </w:t>
      </w:r>
      <w:r w:rsidR="00D71C43">
        <w:fldChar w:fldCharType="begin"/>
      </w:r>
      <w:r w:rsidR="00D71C43">
        <w:instrText xml:space="preserve"> SEQ Quadro \* ARABIC </w:instrText>
      </w:r>
      <w:r w:rsidR="00D71C43">
        <w:fldChar w:fldCharType="separate"/>
      </w:r>
      <w:r w:rsidR="004D1D76">
        <w:rPr>
          <w:noProof/>
        </w:rPr>
        <w:t>37</w:t>
      </w:r>
      <w:r w:rsidR="00D71C43">
        <w:rPr>
          <w:noProof/>
        </w:rPr>
        <w:fldChar w:fldCharType="end"/>
      </w:r>
      <w:bookmarkEnd w:id="430"/>
      <w:r w:rsidRPr="00DF4A2F">
        <w:t xml:space="preserve"> </w:t>
      </w:r>
      <w:r w:rsidRPr="00DF4A2F">
        <w:rPr>
          <w:lang w:val="pt-BR"/>
        </w:rPr>
        <w:t>-</w:t>
      </w:r>
      <w:r w:rsidRPr="00DF4A2F">
        <w:t xml:space="preserve"> Resíduos dos Serviços Públicos de Saneamento Básico – Regras de Disposição Final</w:t>
      </w:r>
      <w:bookmarkEnd w:id="431"/>
      <w:bookmarkEnd w:id="432"/>
      <w:bookmarkEnd w:id="433"/>
    </w:p>
    <w:tbl>
      <w:tblPr>
        <w:tblW w:w="8755" w:type="dxa"/>
        <w:jc w:val="center"/>
        <w:tblBorders>
          <w:top w:val="single" w:sz="8" w:space="0" w:color="4F81BD"/>
          <w:bottom w:val="single" w:sz="8" w:space="0" w:color="4F81BD"/>
        </w:tblBorders>
        <w:tblLook w:val="04A0" w:firstRow="1" w:lastRow="0" w:firstColumn="1" w:lastColumn="0" w:noHBand="0" w:noVBand="1"/>
      </w:tblPr>
      <w:tblGrid>
        <w:gridCol w:w="8755"/>
      </w:tblGrid>
      <w:tr w:rsidR="00A87269" w:rsidRPr="00DF4A2F" w:rsidTr="00510FF9">
        <w:trPr>
          <w:tblHeade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cs="Arial"/>
                <w:b/>
                <w:sz w:val="20"/>
                <w:szCs w:val="20"/>
              </w:rPr>
            </w:pPr>
            <w:r w:rsidRPr="00DF4A2F">
              <w:rPr>
                <w:rFonts w:cs="Arial"/>
                <w:b/>
                <w:sz w:val="20"/>
                <w:szCs w:val="20"/>
              </w:rPr>
              <w:t>Regras de disposição final segundo a Resolução CONAMA n° 375/06</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cs="Arial"/>
                <w:sz w:val="20"/>
                <w:szCs w:val="20"/>
              </w:rPr>
            </w:pPr>
            <w:r w:rsidRPr="00DF4A2F">
              <w:rPr>
                <w:rFonts w:cs="Arial"/>
                <w:sz w:val="20"/>
                <w:szCs w:val="20"/>
              </w:rPr>
              <w:t xml:space="preserve">O lodo de esgoto pode ser classificado como Classe A ou Classe B, segundo a concentração de agentes patogênicos. </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rPr>
            </w:pPr>
            <w:r w:rsidRPr="00DF4A2F">
              <w:rPr>
                <w:rFonts w:cs="Arial"/>
                <w:sz w:val="20"/>
                <w:szCs w:val="20"/>
              </w:rPr>
              <w:t>Lodos de esgoto ou produto derivado enquadrados como Classe A poderão ser utilizados para quaisquer culturas, com exceção de pastagens e cultivos de olerícolas, tubérculos e raízes, e culturas inundadas, bem como as demais culturas cuja parte comestível fique em contato com o solo.</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MS Mincho" w:cs="Arial"/>
                <w:sz w:val="20"/>
                <w:szCs w:val="20"/>
              </w:rPr>
            </w:pPr>
            <w:r w:rsidRPr="00DF4A2F">
              <w:rPr>
                <w:rFonts w:cs="Arial"/>
                <w:sz w:val="20"/>
                <w:szCs w:val="20"/>
              </w:rPr>
              <w:t>A utilização de lodo de esgoto ou produto derivado enquadrado como Classe B é restrita ao cultivo de café, silvicultura, culturas para produção de fibras e óleos, com a aplicação mecanizada, em sulcos ou covas, seguida de incorporação.</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rPr>
            </w:pPr>
            <w:r w:rsidRPr="00DF4A2F">
              <w:rPr>
                <w:rFonts w:cs="Arial"/>
                <w:sz w:val="20"/>
                <w:szCs w:val="20"/>
              </w:rPr>
              <w:t>O lodo de esgoto, tanto Classe A quanto Classe B, deverá ser disposto respeitando as restrições previstas no art. 15 da Resolução CONAMA n° 375 de 2006.</w:t>
            </w:r>
          </w:p>
        </w:tc>
      </w:tr>
    </w:tbl>
    <w:p w:rsidR="00A87269" w:rsidRPr="00DF4A2F" w:rsidRDefault="00A87269" w:rsidP="00A87269">
      <w:pPr>
        <w:pStyle w:val="Default"/>
        <w:spacing w:line="360" w:lineRule="auto"/>
        <w:ind w:firstLine="709"/>
        <w:jc w:val="both"/>
        <w:rPr>
          <w:color w:val="auto"/>
        </w:rPr>
      </w:pPr>
    </w:p>
    <w:p w:rsidR="00A87269" w:rsidRPr="00DF4A2F" w:rsidRDefault="00A87269" w:rsidP="00A87269">
      <w:pPr>
        <w:pStyle w:val="Default"/>
        <w:spacing w:line="360" w:lineRule="auto"/>
        <w:ind w:firstLine="709"/>
        <w:jc w:val="both"/>
        <w:rPr>
          <w:color w:val="auto"/>
        </w:rPr>
      </w:pPr>
      <w:r w:rsidRPr="00DF4A2F">
        <w:rPr>
          <w:color w:val="auto"/>
        </w:rPr>
        <w:t>O art. 15 da Resolução CONAMA nº 375/06 dispõe sobre restrições de disposição dos resíduos dos serviços públicos de saneamento básico, conforme segue:</w:t>
      </w:r>
    </w:p>
    <w:p w:rsidR="00A87269" w:rsidRPr="00DF4A2F" w:rsidRDefault="00A87269" w:rsidP="00A87269">
      <w:pPr>
        <w:rPr>
          <w:rFonts w:cs="Arial"/>
        </w:rPr>
      </w:pPr>
    </w:p>
    <w:p w:rsidR="00A87269" w:rsidRPr="00DF4A2F" w:rsidRDefault="00A87269" w:rsidP="00A87269">
      <w:pPr>
        <w:rPr>
          <w:rFonts w:cs="Arial"/>
        </w:rPr>
        <w:sectPr w:rsidR="00A87269" w:rsidRPr="00DF4A2F" w:rsidSect="00F94A69">
          <w:footerReference w:type="default" r:id="rId49"/>
          <w:pgSz w:w="11906" w:h="16838"/>
          <w:pgMar w:top="1134" w:right="1134" w:bottom="1134" w:left="1418" w:header="708" w:footer="708" w:gutter="0"/>
          <w:cols w:space="708"/>
          <w:docGrid w:linePitch="360"/>
        </w:sectPr>
      </w:pPr>
    </w:p>
    <w:p w:rsidR="00A87269" w:rsidRPr="00DF4A2F" w:rsidRDefault="00A87269" w:rsidP="00A87269">
      <w:pPr>
        <w:rPr>
          <w:rFonts w:cs="Arial"/>
          <w:i/>
          <w:sz w:val="18"/>
        </w:rPr>
      </w:pPr>
      <w:r w:rsidRPr="00DF4A2F">
        <w:rPr>
          <w:rFonts w:cs="Arial"/>
          <w:i/>
          <w:sz w:val="18"/>
        </w:rPr>
        <w:lastRenderedPageBreak/>
        <w:t>“Art. 15. Não será permitida a aplicação de lodo de esgoto ou produto derivado:</w:t>
      </w:r>
    </w:p>
    <w:p w:rsidR="00A87269" w:rsidRPr="00DF4A2F" w:rsidRDefault="00A87269" w:rsidP="00A87269">
      <w:pPr>
        <w:rPr>
          <w:rFonts w:cs="Arial"/>
          <w:i/>
          <w:sz w:val="18"/>
        </w:rPr>
      </w:pPr>
      <w:r w:rsidRPr="00DF4A2F">
        <w:rPr>
          <w:rFonts w:cs="Arial"/>
          <w:i/>
          <w:sz w:val="18"/>
        </w:rPr>
        <w:t>I - em unidades de conservação, com exceção das Áreas de Proteção Ambiental -APA;</w:t>
      </w:r>
    </w:p>
    <w:p w:rsidR="00A87269" w:rsidRPr="00DF4A2F" w:rsidRDefault="00A87269" w:rsidP="00A87269">
      <w:pPr>
        <w:rPr>
          <w:rFonts w:cs="Arial"/>
          <w:i/>
          <w:sz w:val="18"/>
        </w:rPr>
      </w:pPr>
      <w:r w:rsidRPr="00DF4A2F">
        <w:rPr>
          <w:rFonts w:cs="Arial"/>
          <w:i/>
          <w:sz w:val="18"/>
        </w:rPr>
        <w:t>II - em Área de Preservação Permanente - APP;</w:t>
      </w:r>
    </w:p>
    <w:p w:rsidR="00A87269" w:rsidRPr="00DF4A2F" w:rsidRDefault="00A87269" w:rsidP="00A87269">
      <w:pPr>
        <w:rPr>
          <w:rFonts w:cs="Arial"/>
          <w:i/>
          <w:sz w:val="18"/>
        </w:rPr>
      </w:pPr>
      <w:r w:rsidRPr="00DF4A2F">
        <w:rPr>
          <w:rFonts w:cs="Arial"/>
          <w:i/>
          <w:sz w:val="18"/>
        </w:rPr>
        <w:t>III - em Áreas de Proteção aos Mananciais - APMs definidas por legislações estaduais e municipais e em outras áreas de captação de água para abastecimento público, a critério do órgão ambiental competente;</w:t>
      </w:r>
    </w:p>
    <w:p w:rsidR="00A87269" w:rsidRPr="00DF4A2F" w:rsidRDefault="00A87269" w:rsidP="00A87269">
      <w:pPr>
        <w:rPr>
          <w:rFonts w:cs="Arial"/>
          <w:i/>
          <w:sz w:val="18"/>
        </w:rPr>
      </w:pPr>
      <w:r w:rsidRPr="00DF4A2F">
        <w:rPr>
          <w:rFonts w:cs="Arial"/>
          <w:i/>
          <w:sz w:val="18"/>
        </w:rPr>
        <w:t>IV - no interior da Zona de Transporte para fontes de águas minerais, balneários e estâncias de águas minerais e potáveis de mesa, definidos na Portaria DNPM n 231, de 1998;</w:t>
      </w:r>
    </w:p>
    <w:p w:rsidR="00A87269" w:rsidRPr="00DF4A2F" w:rsidRDefault="00A87269" w:rsidP="00A87269">
      <w:pPr>
        <w:rPr>
          <w:rFonts w:cs="Arial"/>
          <w:i/>
          <w:sz w:val="18"/>
        </w:rPr>
      </w:pPr>
      <w:r w:rsidRPr="00DF4A2F">
        <w:rPr>
          <w:rFonts w:cs="Arial"/>
          <w:i/>
          <w:sz w:val="18"/>
        </w:rPr>
        <w:t>V - num raio mínimo de 100 m de poços rasos e residências, podendo este limite ser ampliado para garantir que não ocorram incômodos à vizinhança;</w:t>
      </w:r>
    </w:p>
    <w:p w:rsidR="00A87269" w:rsidRPr="00DF4A2F" w:rsidRDefault="00A87269" w:rsidP="00A87269">
      <w:pPr>
        <w:rPr>
          <w:rFonts w:cs="Arial"/>
          <w:i/>
          <w:sz w:val="18"/>
        </w:rPr>
      </w:pPr>
      <w:r w:rsidRPr="00DF4A2F">
        <w:rPr>
          <w:rFonts w:cs="Arial"/>
          <w:i/>
          <w:sz w:val="18"/>
        </w:rPr>
        <w:t>VI - numa distância mínima de 15 (quinze) metros de vias de domínio público e drenos interceptadores e divisores de águas superficiais de jusante e de trincheiras drenantes de águas subterrâneas e superficiais;</w:t>
      </w:r>
    </w:p>
    <w:p w:rsidR="00A87269" w:rsidRPr="00DF4A2F" w:rsidRDefault="00A87269" w:rsidP="00A87269">
      <w:pPr>
        <w:rPr>
          <w:rFonts w:cs="Arial"/>
          <w:i/>
          <w:sz w:val="18"/>
        </w:rPr>
      </w:pPr>
      <w:r w:rsidRPr="00DF4A2F">
        <w:rPr>
          <w:rFonts w:cs="Arial"/>
          <w:i/>
          <w:sz w:val="18"/>
        </w:rPr>
        <w:t>VII - em área agrícola cuja declividade das parcelas ultrapasse:</w:t>
      </w:r>
    </w:p>
    <w:p w:rsidR="00A87269" w:rsidRPr="00DF4A2F" w:rsidRDefault="00A87269" w:rsidP="00A87269">
      <w:pPr>
        <w:rPr>
          <w:rFonts w:cs="Arial"/>
          <w:i/>
          <w:sz w:val="18"/>
        </w:rPr>
      </w:pPr>
      <w:r w:rsidRPr="00DF4A2F">
        <w:rPr>
          <w:rFonts w:cs="Arial"/>
          <w:i/>
          <w:sz w:val="18"/>
        </w:rPr>
        <w:t>a) 10% no caso de aplicação superficial sem incorporação;</w:t>
      </w:r>
    </w:p>
    <w:p w:rsidR="00A87269" w:rsidRPr="00DF4A2F" w:rsidRDefault="00A87269" w:rsidP="00A87269">
      <w:pPr>
        <w:rPr>
          <w:rFonts w:cs="Arial"/>
          <w:i/>
          <w:sz w:val="18"/>
        </w:rPr>
      </w:pPr>
      <w:r w:rsidRPr="00DF4A2F">
        <w:rPr>
          <w:rFonts w:cs="Arial"/>
          <w:i/>
          <w:sz w:val="18"/>
        </w:rPr>
        <w:t>b) 15% no caso de aplicação superficial com incorporação;</w:t>
      </w:r>
    </w:p>
    <w:p w:rsidR="00A87269" w:rsidRPr="00DF4A2F" w:rsidRDefault="00A87269" w:rsidP="00A87269">
      <w:pPr>
        <w:rPr>
          <w:rFonts w:cs="Arial"/>
          <w:i/>
          <w:sz w:val="18"/>
        </w:rPr>
      </w:pPr>
      <w:r w:rsidRPr="00DF4A2F">
        <w:rPr>
          <w:rFonts w:cs="Arial"/>
          <w:i/>
          <w:sz w:val="18"/>
        </w:rPr>
        <w:lastRenderedPageBreak/>
        <w:t>c) 18% no caso de aplicação subsuperficial e em sulcos, e no caso de aplicação superficial sem incorporação em áreas para produção florestal;</w:t>
      </w:r>
    </w:p>
    <w:p w:rsidR="00A87269" w:rsidRPr="00DF4A2F" w:rsidRDefault="00A87269" w:rsidP="00A87269">
      <w:pPr>
        <w:rPr>
          <w:rFonts w:cs="Arial"/>
          <w:i/>
          <w:sz w:val="18"/>
        </w:rPr>
      </w:pPr>
      <w:r w:rsidRPr="00DF4A2F">
        <w:rPr>
          <w:rFonts w:cs="Arial"/>
          <w:i/>
          <w:sz w:val="18"/>
        </w:rPr>
        <w:t>d) 25% no caso de aplicação em covas;</w:t>
      </w:r>
    </w:p>
    <w:p w:rsidR="00A87269" w:rsidRPr="00DF4A2F" w:rsidRDefault="00A87269" w:rsidP="00A87269">
      <w:pPr>
        <w:rPr>
          <w:rFonts w:cs="Arial"/>
          <w:i/>
          <w:sz w:val="18"/>
        </w:rPr>
      </w:pPr>
      <w:r w:rsidRPr="00DF4A2F">
        <w:rPr>
          <w:rFonts w:cs="Arial"/>
          <w:i/>
          <w:sz w:val="18"/>
        </w:rPr>
        <w:t>VIII - em parcelas com solos com menos de 50 cm de espessura até o horizonte C;</w:t>
      </w:r>
    </w:p>
    <w:p w:rsidR="00A87269" w:rsidRPr="00DF4A2F" w:rsidRDefault="00A87269" w:rsidP="00A87269">
      <w:pPr>
        <w:rPr>
          <w:rFonts w:cs="Arial"/>
          <w:i/>
          <w:sz w:val="18"/>
        </w:rPr>
      </w:pPr>
      <w:r w:rsidRPr="00DF4A2F">
        <w:rPr>
          <w:rFonts w:cs="Arial"/>
          <w:i/>
          <w:sz w:val="18"/>
        </w:rPr>
        <w:t>IX - em áreas onde a profundidade do nível do aqüífero freático seja inferior a 1,5 m na cota mais baixa do terreno; e</w:t>
      </w:r>
    </w:p>
    <w:p w:rsidR="00A87269" w:rsidRPr="00DF4A2F" w:rsidRDefault="00A87269" w:rsidP="00A87269">
      <w:pPr>
        <w:rPr>
          <w:rFonts w:cs="Arial"/>
          <w:i/>
          <w:sz w:val="18"/>
        </w:rPr>
      </w:pPr>
      <w:r w:rsidRPr="00DF4A2F">
        <w:rPr>
          <w:rFonts w:cs="Arial"/>
          <w:i/>
          <w:sz w:val="18"/>
        </w:rPr>
        <w:t>X - em áreas agrícolas definidas como não adequadas por decisão motivada dos órgãos ambientais e de agricultura competentes.</w:t>
      </w:r>
    </w:p>
    <w:p w:rsidR="00A87269" w:rsidRPr="00DF4A2F" w:rsidRDefault="00A87269" w:rsidP="00A87269">
      <w:pPr>
        <w:rPr>
          <w:rFonts w:cs="Arial"/>
          <w:i/>
          <w:sz w:val="18"/>
        </w:rPr>
      </w:pPr>
      <w:r w:rsidRPr="00DF4A2F">
        <w:rPr>
          <w:rFonts w:cs="Arial"/>
          <w:i/>
          <w:sz w:val="18"/>
        </w:rPr>
        <w:t>§ 1</w:t>
      </w:r>
      <w:r w:rsidR="002B5AAE">
        <w:rPr>
          <w:rFonts w:cs="Arial"/>
          <w:i/>
          <w:sz w:val="18"/>
        </w:rPr>
        <w:t>º</w:t>
      </w:r>
      <w:r w:rsidRPr="00DF4A2F">
        <w:rPr>
          <w:rFonts w:cs="Arial"/>
          <w:i/>
          <w:sz w:val="18"/>
        </w:rPr>
        <w:t xml:space="preserve"> O lodo de esgoto ou produto derivado poderão ser utilizados na zona de amortecimento de unidades de conservação, desde que sejam respeitados as restrições e os cuidados de aplicação previstos nesta Resolução, bem como restrições previstas no plano de manejo, mediante prévia autorização do órgão responsável pela administração da unidade de conservação.</w:t>
      </w:r>
    </w:p>
    <w:p w:rsidR="00A87269" w:rsidRPr="00DF4A2F" w:rsidRDefault="00A87269" w:rsidP="00A87269">
      <w:pPr>
        <w:rPr>
          <w:rFonts w:cs="Arial"/>
        </w:rPr>
        <w:sectPr w:rsidR="00A87269" w:rsidRPr="00DF4A2F" w:rsidSect="00F94A69">
          <w:footerReference w:type="default" r:id="rId50"/>
          <w:pgSz w:w="11906" w:h="16838"/>
          <w:pgMar w:top="1134" w:right="1134" w:bottom="1134" w:left="1418" w:header="708" w:footer="708" w:gutter="0"/>
          <w:cols w:num="2" w:space="708"/>
          <w:docGrid w:linePitch="360"/>
        </w:sectPr>
      </w:pPr>
      <w:r w:rsidRPr="00DF4A2F">
        <w:rPr>
          <w:rFonts w:cs="Arial"/>
          <w:i/>
          <w:sz w:val="18"/>
        </w:rPr>
        <w:t>§ 2</w:t>
      </w:r>
      <w:r w:rsidR="002B5AAE">
        <w:rPr>
          <w:rFonts w:cs="Arial"/>
          <w:i/>
          <w:sz w:val="18"/>
        </w:rPr>
        <w:t>º</w:t>
      </w:r>
      <w:r w:rsidRPr="00DF4A2F">
        <w:rPr>
          <w:rFonts w:cs="Arial"/>
          <w:i/>
          <w:sz w:val="18"/>
        </w:rPr>
        <w:t xml:space="preserve"> No caso da identificação de qualquer efeito adverso decorrente da aplicação de lodos de esgoto ou produto derivado realizada em conformidade com esta Resolução, e com vistas a proteger a saúde humana e o ambiente, as autoridades competentes deverão estabelecer, imediatamente após a mencionada identificação, requisitos complementares aos padrões e critérios insertos nesta Resolução”.</w:t>
      </w:r>
    </w:p>
    <w:p w:rsidR="002828C8" w:rsidRDefault="002828C8" w:rsidP="002828C8">
      <w:bookmarkStart w:id="434" w:name="_Ref483559890"/>
      <w:bookmarkStart w:id="435" w:name="_Toc488825051"/>
      <w:bookmarkStart w:id="436" w:name="_Toc493151588"/>
    </w:p>
    <w:p w:rsidR="00A87269" w:rsidRPr="00DF4A2F" w:rsidRDefault="00A87269" w:rsidP="00A87269">
      <w:pPr>
        <w:pStyle w:val="Legenda"/>
        <w:rPr>
          <w:lang w:val="pt-BR"/>
        </w:rPr>
      </w:pPr>
      <w:bookmarkStart w:id="437" w:name="_Ref497468183"/>
      <w:bookmarkStart w:id="438" w:name="_Toc497469159"/>
      <w:r w:rsidRPr="00DF4A2F">
        <w:t xml:space="preserve">Quadro </w:t>
      </w:r>
      <w:r w:rsidR="00D71C43">
        <w:fldChar w:fldCharType="begin"/>
      </w:r>
      <w:r w:rsidR="00D71C43">
        <w:instrText xml:space="preserve"> SEQ Quadro \* ARABIC </w:instrText>
      </w:r>
      <w:r w:rsidR="00D71C43">
        <w:fldChar w:fldCharType="separate"/>
      </w:r>
      <w:r w:rsidR="004D1D76">
        <w:rPr>
          <w:noProof/>
        </w:rPr>
        <w:t>38</w:t>
      </w:r>
      <w:r w:rsidR="00D71C43">
        <w:rPr>
          <w:noProof/>
        </w:rPr>
        <w:fldChar w:fldCharType="end"/>
      </w:r>
      <w:bookmarkEnd w:id="434"/>
      <w:bookmarkEnd w:id="437"/>
      <w:r w:rsidRPr="00DF4A2F">
        <w:t xml:space="preserve"> </w:t>
      </w:r>
      <w:r w:rsidRPr="00DF4A2F">
        <w:rPr>
          <w:lang w:val="pt-BR"/>
        </w:rPr>
        <w:t>-</w:t>
      </w:r>
      <w:r w:rsidRPr="00DF4A2F">
        <w:t xml:space="preserve"> Resíduos dos Serviços Públicos de Saneamento Básico – Legislação e Normas</w:t>
      </w:r>
      <w:bookmarkEnd w:id="435"/>
      <w:bookmarkEnd w:id="436"/>
      <w:bookmarkEnd w:id="438"/>
    </w:p>
    <w:tbl>
      <w:tblPr>
        <w:tblpPr w:leftFromText="141" w:rightFromText="141" w:vertAnchor="text" w:horzAnchor="margin" w:tblpXSpec="center" w:tblpY="108"/>
        <w:tblW w:w="0" w:type="auto"/>
        <w:tblBorders>
          <w:top w:val="single" w:sz="8" w:space="0" w:color="4F81BD"/>
          <w:bottom w:val="single" w:sz="8" w:space="0" w:color="4F81BD"/>
        </w:tblBorders>
        <w:tblLook w:val="04A0" w:firstRow="1" w:lastRow="0" w:firstColumn="1" w:lastColumn="0" w:noHBand="0" w:noVBand="1"/>
      </w:tblPr>
      <w:tblGrid>
        <w:gridCol w:w="9570"/>
      </w:tblGrid>
      <w:tr w:rsidR="00A87269" w:rsidRPr="00DF4A2F" w:rsidTr="002828C8">
        <w:trPr>
          <w:trHeight w:val="277"/>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cs="Arial"/>
                <w:b/>
                <w:sz w:val="20"/>
                <w:szCs w:val="20"/>
                <w:u w:val="single"/>
              </w:rPr>
            </w:pPr>
            <w:r w:rsidRPr="00DF4A2F">
              <w:rPr>
                <w:rFonts w:cs="Arial"/>
                <w:b/>
                <w:sz w:val="20"/>
                <w:szCs w:val="20"/>
                <w:u w:val="single"/>
              </w:rPr>
              <w:t>Principais resoluções nacionais</w:t>
            </w:r>
          </w:p>
        </w:tc>
      </w:tr>
      <w:tr w:rsidR="00A87269" w:rsidRPr="00DF4A2F" w:rsidTr="002828C8">
        <w:trPr>
          <w:trHeight w:val="277"/>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cs="Arial"/>
                <w:sz w:val="20"/>
                <w:szCs w:val="20"/>
              </w:rPr>
            </w:pPr>
            <w:r w:rsidRPr="00DF4A2F">
              <w:rPr>
                <w:rFonts w:cs="Arial"/>
                <w:sz w:val="20"/>
                <w:szCs w:val="20"/>
              </w:rPr>
              <w:t>Resolução CONAMA nº 380, de 31 de outubro de 2006. Retifica a Resolução CONAMA nº 375/06</w:t>
            </w:r>
            <w:r>
              <w:rPr>
                <w:rFonts w:cs="Arial"/>
                <w:sz w:val="20"/>
                <w:szCs w:val="20"/>
              </w:rPr>
              <w:t>.</w:t>
            </w:r>
          </w:p>
        </w:tc>
      </w:tr>
      <w:tr w:rsidR="00A87269" w:rsidRPr="00DF4A2F" w:rsidTr="002828C8">
        <w:trPr>
          <w:trHeight w:val="277"/>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cs="Arial"/>
                <w:sz w:val="20"/>
                <w:szCs w:val="20"/>
              </w:rPr>
            </w:pPr>
            <w:r w:rsidRPr="00DF4A2F">
              <w:rPr>
                <w:rFonts w:cs="Arial"/>
                <w:sz w:val="20"/>
                <w:szCs w:val="20"/>
              </w:rPr>
              <w:t>Resolução CONAMA nº 375, de 29 de agosto de 2006. Define critérios e procedimentos para o uso agrícola de lodos de esgoto gerados em estações de tratamento de esgoto sanitário e seus produtos derivados, e dá outras providências. Retificada pela Resolução CONAMA nº 380/06.</w:t>
            </w:r>
          </w:p>
        </w:tc>
      </w:tr>
      <w:tr w:rsidR="00A87269" w:rsidRPr="00DF4A2F" w:rsidTr="002828C8">
        <w:trPr>
          <w:trHeight w:val="277"/>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cs="Arial"/>
                <w:b/>
                <w:sz w:val="20"/>
                <w:szCs w:val="20"/>
                <w:u w:val="single"/>
              </w:rPr>
            </w:pPr>
            <w:r w:rsidRPr="00DF4A2F">
              <w:rPr>
                <w:rFonts w:cs="Arial"/>
                <w:b/>
                <w:sz w:val="20"/>
                <w:szCs w:val="20"/>
                <w:u w:val="single"/>
              </w:rPr>
              <w:t>Normas Internacionais</w:t>
            </w:r>
          </w:p>
        </w:tc>
      </w:tr>
      <w:tr w:rsidR="00A87269" w:rsidRPr="00DF4A2F" w:rsidTr="002828C8">
        <w:trPr>
          <w:trHeight w:val="264"/>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cs="Arial"/>
                <w:sz w:val="20"/>
                <w:szCs w:val="20"/>
              </w:rPr>
            </w:pPr>
            <w:r w:rsidRPr="00DF4A2F">
              <w:rPr>
                <w:rFonts w:cs="Arial"/>
                <w:sz w:val="20"/>
                <w:szCs w:val="20"/>
              </w:rPr>
              <w:t>Environmental Protection Agency - EPA 40 CFR Part 503: Norma para o uso ou disposição de lodo de esgoto.</w:t>
            </w:r>
          </w:p>
        </w:tc>
      </w:tr>
    </w:tbl>
    <w:p w:rsidR="004D1D76" w:rsidRDefault="004D1D76" w:rsidP="004D1D76">
      <w:bookmarkStart w:id="439" w:name="_Toc488825321"/>
      <w:bookmarkStart w:id="440" w:name="_Toc493151487"/>
      <w:bookmarkStart w:id="441" w:name="_Toc497469056"/>
    </w:p>
    <w:p w:rsidR="004D1D76" w:rsidRDefault="004D1D76" w:rsidP="004D1D76"/>
    <w:p w:rsidR="004D1D76" w:rsidRDefault="004D1D76" w:rsidP="004D1D76"/>
    <w:p w:rsidR="00A87269" w:rsidRPr="00DF4A2F" w:rsidRDefault="00A87269" w:rsidP="002828C8">
      <w:pPr>
        <w:pStyle w:val="Ttulo4"/>
      </w:pPr>
      <w:r w:rsidRPr="00DF4A2F">
        <w:lastRenderedPageBreak/>
        <w:t>Resíduos dos serviços de transporte</w:t>
      </w:r>
      <w:bookmarkEnd w:id="439"/>
      <w:bookmarkEnd w:id="440"/>
      <w:bookmarkEnd w:id="441"/>
    </w:p>
    <w:p w:rsidR="00A87269" w:rsidRPr="00DF4A2F" w:rsidRDefault="00A87269" w:rsidP="004D1D76">
      <w:pPr>
        <w:pStyle w:val="Default"/>
        <w:spacing w:line="360" w:lineRule="auto"/>
        <w:ind w:firstLine="709"/>
        <w:jc w:val="both"/>
        <w:rPr>
          <w:color w:val="auto"/>
        </w:rPr>
      </w:pPr>
      <w:r w:rsidRPr="00DF4A2F">
        <w:rPr>
          <w:color w:val="auto"/>
        </w:rPr>
        <w:t>Os resíduos de serviços de transporte são aqueles “originários de portos, aeroportos, terminais alfandegários, rodoviários e ferroviários e passagens de fronteira” segundo o art. 13 da Lei n° 12.305 de 2010. Segue a normatização específica para esse tipo de resíduo (</w:t>
      </w:r>
      <w:r w:rsidRPr="00DF4A2F">
        <w:rPr>
          <w:color w:val="auto"/>
        </w:rPr>
        <w:fldChar w:fldCharType="begin"/>
      </w:r>
      <w:r w:rsidRPr="00DF4A2F">
        <w:rPr>
          <w:color w:val="auto"/>
        </w:rPr>
        <w:instrText xml:space="preserve"> REF _Ref483559969 \h  \* MERGEFORMAT </w:instrText>
      </w:r>
      <w:r w:rsidRPr="00DF4A2F">
        <w:rPr>
          <w:color w:val="auto"/>
        </w:rPr>
      </w:r>
      <w:r w:rsidRPr="00DF4A2F">
        <w:rPr>
          <w:color w:val="auto"/>
        </w:rPr>
        <w:fldChar w:fldCharType="separate"/>
      </w:r>
      <w:r w:rsidR="004D1D76" w:rsidRPr="004D1D76">
        <w:rPr>
          <w:color w:val="auto"/>
        </w:rPr>
        <w:t>Quadro 39</w:t>
      </w:r>
      <w:r w:rsidRPr="00DF4A2F">
        <w:rPr>
          <w:color w:val="auto"/>
        </w:rPr>
        <w:fldChar w:fldCharType="end"/>
      </w:r>
      <w:r w:rsidRPr="00DF4A2F">
        <w:rPr>
          <w:color w:val="auto"/>
        </w:rPr>
        <w:t xml:space="preserve">, </w:t>
      </w:r>
      <w:r w:rsidRPr="00DF4A2F">
        <w:rPr>
          <w:color w:val="auto"/>
        </w:rPr>
        <w:fldChar w:fldCharType="begin"/>
      </w:r>
      <w:r w:rsidRPr="00DF4A2F">
        <w:rPr>
          <w:color w:val="auto"/>
        </w:rPr>
        <w:instrText xml:space="preserve"> REF _Ref483559979 \h  \* MERGEFORMAT </w:instrText>
      </w:r>
      <w:r w:rsidRPr="00DF4A2F">
        <w:rPr>
          <w:color w:val="auto"/>
        </w:rPr>
      </w:r>
      <w:r w:rsidRPr="00DF4A2F">
        <w:rPr>
          <w:color w:val="auto"/>
        </w:rPr>
        <w:fldChar w:fldCharType="separate"/>
      </w:r>
      <w:r w:rsidR="004D1D76" w:rsidRPr="004D1D76">
        <w:rPr>
          <w:color w:val="auto"/>
        </w:rPr>
        <w:t>Quadro 40</w:t>
      </w:r>
      <w:r w:rsidRPr="00DF4A2F">
        <w:rPr>
          <w:color w:val="auto"/>
        </w:rPr>
        <w:fldChar w:fldCharType="end"/>
      </w:r>
      <w:r w:rsidRPr="00DF4A2F">
        <w:rPr>
          <w:color w:val="auto"/>
        </w:rPr>
        <w:t xml:space="preserve">, </w:t>
      </w:r>
      <w:r w:rsidRPr="00DF4A2F">
        <w:rPr>
          <w:color w:val="auto"/>
        </w:rPr>
        <w:fldChar w:fldCharType="begin"/>
      </w:r>
      <w:r w:rsidRPr="00DF4A2F">
        <w:rPr>
          <w:color w:val="auto"/>
        </w:rPr>
        <w:instrText xml:space="preserve"> REF _Ref483559986 \h  \* MERGEFORMAT </w:instrText>
      </w:r>
      <w:r w:rsidRPr="00DF4A2F">
        <w:rPr>
          <w:color w:val="auto"/>
        </w:rPr>
      </w:r>
      <w:r w:rsidRPr="00DF4A2F">
        <w:rPr>
          <w:color w:val="auto"/>
        </w:rPr>
        <w:fldChar w:fldCharType="separate"/>
      </w:r>
      <w:r w:rsidR="004D1D76" w:rsidRPr="004D1D76">
        <w:rPr>
          <w:color w:val="auto"/>
        </w:rPr>
        <w:t>Quadro 41</w:t>
      </w:r>
      <w:r w:rsidRPr="00DF4A2F">
        <w:rPr>
          <w:color w:val="auto"/>
        </w:rPr>
        <w:fldChar w:fldCharType="end"/>
      </w:r>
      <w:r w:rsidRPr="00DF4A2F">
        <w:rPr>
          <w:color w:val="auto"/>
        </w:rPr>
        <w:t xml:space="preserve">, </w:t>
      </w:r>
      <w:r w:rsidR="004D1D76">
        <w:rPr>
          <w:color w:val="auto"/>
        </w:rPr>
        <w:fldChar w:fldCharType="begin"/>
      </w:r>
      <w:r w:rsidR="004D1D76">
        <w:rPr>
          <w:color w:val="auto"/>
        </w:rPr>
        <w:instrText xml:space="preserve"> REF _Ref497469219 \h </w:instrText>
      </w:r>
      <w:r w:rsidR="004D1D76">
        <w:rPr>
          <w:color w:val="auto"/>
        </w:rPr>
      </w:r>
      <w:r w:rsidR="004D1D76">
        <w:rPr>
          <w:color w:val="auto"/>
        </w:rPr>
        <w:instrText xml:space="preserve"> \* MERGEFORMAT </w:instrText>
      </w:r>
      <w:r w:rsidR="004D1D76">
        <w:rPr>
          <w:color w:val="auto"/>
        </w:rPr>
        <w:fldChar w:fldCharType="separate"/>
      </w:r>
      <w:r w:rsidR="004D1D76" w:rsidRPr="004D1D76">
        <w:rPr>
          <w:color w:val="auto"/>
        </w:rPr>
        <w:t>Quadro 42</w:t>
      </w:r>
      <w:r w:rsidR="004D1D76">
        <w:rPr>
          <w:color w:val="auto"/>
        </w:rPr>
        <w:fldChar w:fldCharType="end"/>
      </w:r>
      <w:r w:rsidR="004D1D76">
        <w:rPr>
          <w:color w:val="auto"/>
        </w:rPr>
        <w:t xml:space="preserve"> </w:t>
      </w:r>
      <w:r w:rsidRPr="00DF4A2F">
        <w:rPr>
          <w:color w:val="auto"/>
        </w:rPr>
        <w:t xml:space="preserve">e </w:t>
      </w:r>
      <w:r w:rsidRPr="00DF4A2F">
        <w:rPr>
          <w:color w:val="auto"/>
        </w:rPr>
        <w:fldChar w:fldCharType="begin"/>
      </w:r>
      <w:r w:rsidRPr="00DF4A2F">
        <w:rPr>
          <w:color w:val="auto"/>
        </w:rPr>
        <w:instrText xml:space="preserve"> REF _Ref483560010 \h  \* MERGEFORMAT </w:instrText>
      </w:r>
      <w:r w:rsidRPr="00DF4A2F">
        <w:rPr>
          <w:color w:val="auto"/>
        </w:rPr>
      </w:r>
      <w:r w:rsidRPr="00DF4A2F">
        <w:rPr>
          <w:color w:val="auto"/>
        </w:rPr>
        <w:fldChar w:fldCharType="separate"/>
      </w:r>
      <w:r w:rsidR="004D1D76" w:rsidRPr="004D1D76">
        <w:rPr>
          <w:color w:val="auto"/>
        </w:rPr>
        <w:t>Quadro 43</w:t>
      </w:r>
      <w:r w:rsidRPr="00DF4A2F">
        <w:rPr>
          <w:color w:val="auto"/>
        </w:rPr>
        <w:fldChar w:fldCharType="end"/>
      </w:r>
      <w:r w:rsidRPr="00DF4A2F">
        <w:rPr>
          <w:color w:val="auto"/>
        </w:rPr>
        <w:t>).</w:t>
      </w:r>
      <w:r>
        <w:rPr>
          <w:color w:val="auto"/>
        </w:rPr>
        <w:t xml:space="preserve"> A obrigação em operacionalizar atender às disposições normativas da gestão dos resíduos sólidos mencionados adiante recai sobre o responsável pelo estabelecimento onde eles foram gerados, porém é sempre compartilhada pela Prefeitura Municipal local.  </w:t>
      </w:r>
    </w:p>
    <w:p w:rsidR="00A87269" w:rsidRPr="00DF4A2F" w:rsidRDefault="00A87269" w:rsidP="00A87269">
      <w:pPr>
        <w:pStyle w:val="Legenda"/>
      </w:pPr>
      <w:bookmarkStart w:id="442" w:name="_Ref483559969"/>
      <w:bookmarkStart w:id="443" w:name="_Toc488825052"/>
      <w:bookmarkStart w:id="444" w:name="_Toc493151589"/>
      <w:bookmarkStart w:id="445" w:name="_Toc497469160"/>
      <w:r w:rsidRPr="00DF4A2F">
        <w:t xml:space="preserve">Quadro </w:t>
      </w:r>
      <w:r w:rsidR="00D71C43">
        <w:fldChar w:fldCharType="begin"/>
      </w:r>
      <w:r w:rsidR="00D71C43">
        <w:instrText xml:space="preserve"> SEQ Quadro \* ARABIC </w:instrText>
      </w:r>
      <w:r w:rsidR="00D71C43">
        <w:fldChar w:fldCharType="separate"/>
      </w:r>
      <w:r w:rsidR="004D1D76">
        <w:rPr>
          <w:noProof/>
        </w:rPr>
        <w:t>39</w:t>
      </w:r>
      <w:r w:rsidR="00D71C43">
        <w:rPr>
          <w:noProof/>
        </w:rPr>
        <w:fldChar w:fldCharType="end"/>
      </w:r>
      <w:bookmarkEnd w:id="442"/>
      <w:r w:rsidRPr="00DF4A2F">
        <w:t xml:space="preserve"> </w:t>
      </w:r>
      <w:r w:rsidRPr="00DF4A2F">
        <w:rPr>
          <w:lang w:val="pt-BR"/>
        </w:rPr>
        <w:t>-</w:t>
      </w:r>
      <w:r w:rsidRPr="00DF4A2F">
        <w:t xml:space="preserve"> Resíduos dos Serviços de Transporte – Classificação.</w:t>
      </w:r>
      <w:bookmarkEnd w:id="443"/>
      <w:bookmarkEnd w:id="444"/>
      <w:bookmarkEnd w:id="445"/>
    </w:p>
    <w:tbl>
      <w:tblPr>
        <w:tblW w:w="9624" w:type="dxa"/>
        <w:jc w:val="center"/>
        <w:tblBorders>
          <w:top w:val="single" w:sz="8" w:space="0" w:color="4F81BD"/>
          <w:bottom w:val="single" w:sz="8" w:space="0" w:color="4F81BD"/>
        </w:tblBorders>
        <w:tblLook w:val="04A0" w:firstRow="1" w:lastRow="0" w:firstColumn="1" w:lastColumn="0" w:noHBand="0" w:noVBand="1"/>
      </w:tblPr>
      <w:tblGrid>
        <w:gridCol w:w="9624"/>
      </w:tblGrid>
      <w:tr w:rsidR="00A87269" w:rsidRPr="00DF4A2F" w:rsidTr="00510FF9">
        <w:trPr>
          <w:trHeight w:val="236"/>
          <w:tblHeader/>
          <w:jc w:val="center"/>
        </w:trPr>
        <w:tc>
          <w:tcPr>
            <w:tcW w:w="9624"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contextualSpacing/>
              <w:rPr>
                <w:rFonts w:cs="Arial"/>
                <w:b/>
                <w:sz w:val="20"/>
                <w:szCs w:val="20"/>
                <w:lang w:eastAsia="pt-BR"/>
              </w:rPr>
            </w:pPr>
            <w:r w:rsidRPr="00DF4A2F">
              <w:rPr>
                <w:rFonts w:cs="Arial"/>
                <w:b/>
                <w:sz w:val="20"/>
                <w:szCs w:val="20"/>
                <w:lang w:eastAsia="pt-BR"/>
              </w:rPr>
              <w:t>Classificação segundo a Resolução CONAMA n° 05 de 1993</w:t>
            </w:r>
          </w:p>
        </w:tc>
      </w:tr>
      <w:tr w:rsidR="00A87269" w:rsidRPr="00DF4A2F" w:rsidTr="00510FF9">
        <w:trPr>
          <w:trHeight w:val="485"/>
          <w:jc w:val="center"/>
        </w:trPr>
        <w:tc>
          <w:tcPr>
            <w:tcW w:w="9624"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contextualSpacing/>
              <w:rPr>
                <w:rFonts w:cs="Arial"/>
                <w:sz w:val="20"/>
                <w:szCs w:val="20"/>
                <w:lang w:eastAsia="pt-BR"/>
              </w:rPr>
            </w:pPr>
            <w:r w:rsidRPr="00DF4A2F">
              <w:rPr>
                <w:rFonts w:cs="Arial"/>
                <w:sz w:val="20"/>
                <w:szCs w:val="20"/>
                <w:lang w:eastAsia="pt-BR"/>
              </w:rPr>
              <w:t>Grupo A: Resíduos que apresentam risco potencial à saúde pública e ao meio ambiente devido à presença de agentes biológicos</w:t>
            </w:r>
            <w:r>
              <w:rPr>
                <w:rFonts w:cs="Arial"/>
                <w:sz w:val="20"/>
                <w:szCs w:val="20"/>
                <w:lang w:eastAsia="pt-BR"/>
              </w:rPr>
              <w:t>.</w:t>
            </w:r>
          </w:p>
        </w:tc>
      </w:tr>
      <w:tr w:rsidR="00A87269" w:rsidRPr="00DF4A2F" w:rsidTr="00510FF9">
        <w:trPr>
          <w:trHeight w:val="2345"/>
          <w:jc w:val="center"/>
        </w:trPr>
        <w:tc>
          <w:tcPr>
            <w:tcW w:w="9624"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contextualSpacing/>
              <w:rPr>
                <w:rFonts w:eastAsia="MS Mincho" w:cs="Arial"/>
                <w:sz w:val="20"/>
                <w:szCs w:val="20"/>
                <w:lang w:eastAsia="pt-BR"/>
              </w:rPr>
            </w:pPr>
            <w:r w:rsidRPr="00DF4A2F">
              <w:rPr>
                <w:rFonts w:cs="Arial"/>
                <w:sz w:val="20"/>
                <w:szCs w:val="20"/>
                <w:lang w:eastAsia="pt-BR"/>
              </w:rPr>
              <w:t>Enquadram-se neste grupo, entre outros: sangue e hemoderivados; animais usados em experimentação, bem como os materiais que tenham entrado em contato com os mesmos; excreções, secreções e líquidos orgânicos; meios de cultura; tecidos, órgãos, fetos e peças anatômicas; filtros de gases aspirados de área contaminada; resíduos advindos de área de isolamento; restos alimentares de unidade de isolamento; resíduos de laboratórios de análises clínicas; resíduos de unidades de atendimento ambulatorial; resíduos de sanitários de unidade de internação e de enfermaria e animais mortos a bordo dos meios de transporte. Além disso, incluem-se, entre outros, os objetos perfurantes ou cortantes, capazes de causar punctura ou corte, tais como lâminas de barbear, bisturi, agulhas, escalpes, vidros quebrados, etc</w:t>
            </w:r>
            <w:r>
              <w:rPr>
                <w:rFonts w:cs="Arial"/>
                <w:sz w:val="20"/>
                <w:szCs w:val="20"/>
                <w:lang w:eastAsia="pt-BR"/>
              </w:rPr>
              <w:t>.</w:t>
            </w:r>
            <w:r w:rsidRPr="00DF4A2F">
              <w:rPr>
                <w:rFonts w:cs="Arial"/>
                <w:sz w:val="20"/>
                <w:szCs w:val="20"/>
                <w:lang w:eastAsia="pt-BR"/>
              </w:rPr>
              <w:t>, provenientes de estabelecimentos prestadores de serviços de saúde.</w:t>
            </w:r>
          </w:p>
        </w:tc>
      </w:tr>
      <w:tr w:rsidR="00A87269" w:rsidRPr="00DF4A2F" w:rsidTr="00510FF9">
        <w:trPr>
          <w:trHeight w:val="485"/>
          <w:jc w:val="center"/>
        </w:trPr>
        <w:tc>
          <w:tcPr>
            <w:tcW w:w="9624"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MS Mincho" w:cs="Arial"/>
                <w:sz w:val="20"/>
                <w:szCs w:val="20"/>
              </w:rPr>
            </w:pPr>
            <w:r w:rsidRPr="00DF4A2F">
              <w:rPr>
                <w:rFonts w:cs="Arial"/>
                <w:sz w:val="20"/>
                <w:szCs w:val="20"/>
              </w:rPr>
              <w:t>Grupo B: Resíduos que apresentam risco potencial à saúde pública e ao meio ambiente devido às suas características químicas</w:t>
            </w:r>
            <w:r>
              <w:rPr>
                <w:rFonts w:cs="Arial"/>
                <w:sz w:val="20"/>
                <w:szCs w:val="20"/>
              </w:rPr>
              <w:t>.</w:t>
            </w:r>
          </w:p>
        </w:tc>
      </w:tr>
      <w:tr w:rsidR="00A87269" w:rsidRPr="00DF4A2F" w:rsidTr="00510FF9">
        <w:trPr>
          <w:trHeight w:val="944"/>
          <w:jc w:val="center"/>
        </w:trPr>
        <w:tc>
          <w:tcPr>
            <w:tcW w:w="9624"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rPr>
            </w:pPr>
            <w:r w:rsidRPr="00DF4A2F">
              <w:rPr>
                <w:rFonts w:cs="Arial"/>
                <w:sz w:val="20"/>
                <w:szCs w:val="20"/>
              </w:rPr>
              <w:t xml:space="preserve">Enquadram-se neste grupo, entre outros: drogas quimioterápicas e produtos por elas contaminados; resíduos farmacêuticos (medicamentos vencidos, contaminados, interditados ou não utilizados); e demais produtos considerados perigosos, conforme classiﬁcação da NBR 10.004 da ABNT (tóxicos, corrosivos, inﬂamáveis e reativos). </w:t>
            </w:r>
          </w:p>
        </w:tc>
      </w:tr>
      <w:tr w:rsidR="00A87269" w:rsidRPr="00DF4A2F" w:rsidTr="00510FF9">
        <w:trPr>
          <w:trHeight w:val="708"/>
          <w:jc w:val="center"/>
        </w:trPr>
        <w:tc>
          <w:tcPr>
            <w:tcW w:w="9624"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MS Mincho" w:cs="Arial"/>
                <w:sz w:val="20"/>
                <w:szCs w:val="20"/>
              </w:rPr>
            </w:pPr>
            <w:r w:rsidRPr="00DF4A2F">
              <w:rPr>
                <w:rFonts w:cs="Arial"/>
                <w:sz w:val="20"/>
                <w:szCs w:val="20"/>
              </w:rPr>
              <w:t>Grupo C: Rejeitos radioativos: enquadram-se neste grupo os materiais radioativos ou contaminados com radionuclídeos, provenientes de laboratórios de análises clínicas, serviços de medicina nuclear e radioterapia, segundo Resolução CNEN 6.05.</w:t>
            </w:r>
          </w:p>
        </w:tc>
      </w:tr>
      <w:tr w:rsidR="00A87269" w:rsidRPr="00DF4A2F" w:rsidTr="00510FF9">
        <w:trPr>
          <w:trHeight w:val="485"/>
          <w:jc w:val="center"/>
        </w:trPr>
        <w:tc>
          <w:tcPr>
            <w:tcW w:w="9624"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rPr>
            </w:pPr>
            <w:r w:rsidRPr="00DF4A2F">
              <w:rPr>
                <w:rFonts w:cs="Arial"/>
                <w:sz w:val="20"/>
                <w:szCs w:val="20"/>
              </w:rPr>
              <w:t>Grupo D: Resíduos comuns são todos os demais que não se enquadram nos grupos descritos anteriormente.</w:t>
            </w:r>
          </w:p>
        </w:tc>
      </w:tr>
    </w:tbl>
    <w:p w:rsidR="00A87269" w:rsidRPr="00DF4A2F" w:rsidRDefault="00A87269" w:rsidP="00A87269">
      <w:pPr>
        <w:pStyle w:val="Legenda"/>
      </w:pPr>
      <w:bookmarkStart w:id="446" w:name="_Ref483559979"/>
      <w:bookmarkStart w:id="447" w:name="_Toc488825053"/>
      <w:bookmarkStart w:id="448" w:name="_Toc493151590"/>
      <w:bookmarkStart w:id="449" w:name="_Toc497469161"/>
      <w:r w:rsidRPr="00DF4A2F">
        <w:t xml:space="preserve">Quadro </w:t>
      </w:r>
      <w:r w:rsidR="00D71C43">
        <w:fldChar w:fldCharType="begin"/>
      </w:r>
      <w:r w:rsidR="00D71C43">
        <w:instrText xml:space="preserve"> SEQ Quadro \* ARABIC </w:instrText>
      </w:r>
      <w:r w:rsidR="00D71C43">
        <w:fldChar w:fldCharType="separate"/>
      </w:r>
      <w:r w:rsidR="004D1D76">
        <w:rPr>
          <w:noProof/>
        </w:rPr>
        <w:t>40</w:t>
      </w:r>
      <w:r w:rsidR="00D71C43">
        <w:rPr>
          <w:noProof/>
        </w:rPr>
        <w:fldChar w:fldCharType="end"/>
      </w:r>
      <w:bookmarkEnd w:id="446"/>
      <w:r w:rsidRPr="00DF4A2F">
        <w:t xml:space="preserve"> </w:t>
      </w:r>
      <w:r w:rsidRPr="00DF4A2F">
        <w:rPr>
          <w:lang w:val="pt-BR"/>
        </w:rPr>
        <w:t>-</w:t>
      </w:r>
      <w:r w:rsidRPr="00DF4A2F">
        <w:t xml:space="preserve"> Resíduos dos Serviços de Transporte – Regras de Coleta e Transporte.</w:t>
      </w:r>
      <w:bookmarkEnd w:id="447"/>
      <w:bookmarkEnd w:id="448"/>
      <w:bookmarkEnd w:id="449"/>
    </w:p>
    <w:tbl>
      <w:tblPr>
        <w:tblW w:w="5000" w:type="pct"/>
        <w:tblBorders>
          <w:top w:val="single" w:sz="8" w:space="0" w:color="4F81BD"/>
          <w:bottom w:val="single" w:sz="8" w:space="0" w:color="4F81BD"/>
        </w:tblBorders>
        <w:tblLook w:val="04A0" w:firstRow="1" w:lastRow="0" w:firstColumn="1" w:lastColumn="0" w:noHBand="0" w:noVBand="1"/>
      </w:tblPr>
      <w:tblGrid>
        <w:gridCol w:w="9570"/>
      </w:tblGrid>
      <w:tr w:rsidR="00A87269" w:rsidRPr="00DF4A2F" w:rsidTr="00510FF9">
        <w:trPr>
          <w:trHeight w:val="274"/>
          <w:tblHeader/>
        </w:trPr>
        <w:tc>
          <w:tcPr>
            <w:tcW w:w="5000" w:type="pct"/>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contextualSpacing/>
              <w:rPr>
                <w:rFonts w:cs="Arial"/>
                <w:b/>
                <w:sz w:val="20"/>
                <w:szCs w:val="20"/>
                <w:lang w:eastAsia="pt-BR"/>
              </w:rPr>
            </w:pPr>
            <w:r w:rsidRPr="00DF4A2F">
              <w:rPr>
                <w:rFonts w:cs="Arial"/>
                <w:b/>
                <w:sz w:val="20"/>
                <w:szCs w:val="20"/>
                <w:lang w:eastAsia="pt-BR"/>
              </w:rPr>
              <w:t>Regras de coleta e transporte segundo a Resolução CONAMA n° 05 de 1993</w:t>
            </w:r>
          </w:p>
        </w:tc>
      </w:tr>
      <w:tr w:rsidR="00A87269" w:rsidRPr="00DF4A2F" w:rsidTr="00510FF9">
        <w:trPr>
          <w:trHeight w:val="274"/>
        </w:trPr>
        <w:tc>
          <w:tcPr>
            <w:tcW w:w="5000" w:type="pct"/>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contextualSpacing/>
              <w:rPr>
                <w:rFonts w:cs="Arial"/>
                <w:sz w:val="20"/>
                <w:szCs w:val="20"/>
                <w:lang w:eastAsia="pt-BR"/>
              </w:rPr>
            </w:pPr>
            <w:r w:rsidRPr="00DF4A2F">
              <w:rPr>
                <w:rFonts w:cs="Arial"/>
                <w:sz w:val="20"/>
                <w:szCs w:val="20"/>
                <w:lang w:eastAsia="pt-BR"/>
              </w:rPr>
              <w:t>Os resíduos sólidos serão acondicionados adequadamente, atendendo às normas aplicáveis da ABNT e demais disposições legais vigentes.</w:t>
            </w:r>
          </w:p>
        </w:tc>
      </w:tr>
      <w:tr w:rsidR="00A87269" w:rsidRPr="00DF4A2F" w:rsidTr="00510FF9">
        <w:trPr>
          <w:trHeight w:val="274"/>
        </w:trPr>
        <w:tc>
          <w:tcPr>
            <w:tcW w:w="5000" w:type="pct"/>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contextualSpacing/>
              <w:rPr>
                <w:rFonts w:eastAsia="MS Mincho" w:cs="Arial"/>
                <w:sz w:val="20"/>
                <w:szCs w:val="20"/>
                <w:lang w:eastAsia="pt-BR"/>
              </w:rPr>
            </w:pPr>
            <w:r w:rsidRPr="00DF4A2F">
              <w:rPr>
                <w:rFonts w:cs="Arial"/>
                <w:sz w:val="20"/>
                <w:szCs w:val="20"/>
                <w:lang w:eastAsia="pt-BR"/>
              </w:rPr>
              <w:t>Os resíduos sólidos pertencentes ao grupo A serão acondicionados em sacos plásticos com a simbologia de substância infectante.</w:t>
            </w:r>
          </w:p>
        </w:tc>
      </w:tr>
      <w:tr w:rsidR="00A87269" w:rsidRPr="00DF4A2F" w:rsidTr="00510FF9">
        <w:trPr>
          <w:trHeight w:val="274"/>
        </w:trPr>
        <w:tc>
          <w:tcPr>
            <w:tcW w:w="5000" w:type="pct"/>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contextualSpacing/>
              <w:rPr>
                <w:rFonts w:eastAsia="MS Mincho" w:cs="Arial"/>
                <w:sz w:val="20"/>
                <w:szCs w:val="20"/>
                <w:lang w:eastAsia="pt-BR"/>
              </w:rPr>
            </w:pPr>
            <w:r w:rsidRPr="00DF4A2F">
              <w:rPr>
                <w:rFonts w:cs="Arial"/>
                <w:sz w:val="20"/>
                <w:szCs w:val="20"/>
                <w:lang w:eastAsia="pt-BR"/>
              </w:rPr>
              <w:t>Havendo, entre os resíduos mencionados no parágrafo anterior, outros perfurantes ou cortantes, estes serão acondicionados previamente em recipiente rígido, estanque, vedado e identificado pela simbologia de substância infectante.</w:t>
            </w:r>
          </w:p>
        </w:tc>
      </w:tr>
      <w:tr w:rsidR="00A87269" w:rsidRPr="00DF4A2F" w:rsidTr="00510FF9">
        <w:trPr>
          <w:trHeight w:val="274"/>
        </w:trPr>
        <w:tc>
          <w:tcPr>
            <w:tcW w:w="5000" w:type="pct"/>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contextualSpacing/>
              <w:rPr>
                <w:rFonts w:eastAsia="MS Mincho" w:cs="Arial"/>
                <w:sz w:val="20"/>
                <w:szCs w:val="20"/>
                <w:lang w:eastAsia="pt-BR"/>
              </w:rPr>
            </w:pPr>
            <w:r w:rsidRPr="00DF4A2F">
              <w:rPr>
                <w:rFonts w:cs="Arial"/>
                <w:sz w:val="20"/>
                <w:szCs w:val="20"/>
                <w:lang w:eastAsia="pt-BR"/>
              </w:rPr>
              <w:t xml:space="preserve">O transporte dos resíduos sólidos gerados nos estabelecimentos (portos, aeroportos e terminais rodoviários e ferroviários) será feito em veículos apropriados, compatíveis com as características dos </w:t>
            </w:r>
            <w:r w:rsidRPr="00DF4A2F">
              <w:rPr>
                <w:rFonts w:cs="Arial"/>
                <w:sz w:val="20"/>
                <w:szCs w:val="20"/>
                <w:lang w:eastAsia="pt-BR"/>
              </w:rPr>
              <w:lastRenderedPageBreak/>
              <w:t>resíduos, atendendo às condicionantes de proteção ao meio ambiente e à saúde pública.</w:t>
            </w:r>
          </w:p>
        </w:tc>
      </w:tr>
      <w:tr w:rsidR="00A87269" w:rsidRPr="00DF4A2F" w:rsidTr="00510FF9">
        <w:trPr>
          <w:trHeight w:val="274"/>
        </w:trPr>
        <w:tc>
          <w:tcPr>
            <w:tcW w:w="5000" w:type="pct"/>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contextualSpacing/>
              <w:rPr>
                <w:rFonts w:eastAsia="MS Mincho" w:cs="Arial"/>
                <w:sz w:val="20"/>
                <w:szCs w:val="20"/>
                <w:lang w:eastAsia="pt-BR"/>
              </w:rPr>
            </w:pPr>
            <w:r w:rsidRPr="00DF4A2F">
              <w:rPr>
                <w:rFonts w:cs="Arial"/>
                <w:sz w:val="20"/>
                <w:szCs w:val="20"/>
                <w:lang w:eastAsia="pt-BR"/>
              </w:rPr>
              <w:lastRenderedPageBreak/>
              <w:t>Caberá aos estabelecimentos o gerenciamento de seus resíduos sólidos, desde a geração até a disposição final, de forma a atender aos requisitos ambientais e de saúde pública.</w:t>
            </w:r>
          </w:p>
        </w:tc>
      </w:tr>
      <w:tr w:rsidR="00A87269" w:rsidRPr="00DF4A2F" w:rsidTr="00510FF9">
        <w:trPr>
          <w:trHeight w:val="274"/>
        </w:trPr>
        <w:tc>
          <w:tcPr>
            <w:tcW w:w="5000" w:type="pct"/>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contextualSpacing/>
              <w:rPr>
                <w:rFonts w:eastAsia="MS Mincho" w:cs="Arial"/>
                <w:sz w:val="20"/>
                <w:szCs w:val="20"/>
                <w:lang w:eastAsia="pt-BR"/>
              </w:rPr>
            </w:pPr>
            <w:r w:rsidRPr="00DF4A2F">
              <w:rPr>
                <w:rFonts w:cs="Arial"/>
                <w:sz w:val="20"/>
                <w:szCs w:val="20"/>
                <w:lang w:eastAsia="pt-BR"/>
              </w:rPr>
              <w:t>Estes estabelecimentos deverão ter um responsável técnico, devidamente registrado em conselho profissional, para o correto gerenciamento dos resíduos sólidos gerados em decorrência de suas atividades.</w:t>
            </w:r>
          </w:p>
        </w:tc>
      </w:tr>
    </w:tbl>
    <w:p w:rsidR="00A87269" w:rsidRPr="00DF4A2F" w:rsidRDefault="00A87269" w:rsidP="00A87269">
      <w:pPr>
        <w:pStyle w:val="Legenda"/>
      </w:pPr>
      <w:bookmarkStart w:id="450" w:name="_Ref483559986"/>
      <w:bookmarkStart w:id="451" w:name="_Toc488825054"/>
      <w:bookmarkStart w:id="452" w:name="_Toc493151591"/>
      <w:bookmarkStart w:id="453" w:name="_Toc497469162"/>
      <w:r w:rsidRPr="00DF4A2F">
        <w:t xml:space="preserve">Quadro </w:t>
      </w:r>
      <w:r w:rsidR="00D71C43">
        <w:fldChar w:fldCharType="begin"/>
      </w:r>
      <w:r w:rsidR="00D71C43">
        <w:instrText xml:space="preserve"> SEQ Quadro \* ARABIC </w:instrText>
      </w:r>
      <w:r w:rsidR="00D71C43">
        <w:fldChar w:fldCharType="separate"/>
      </w:r>
      <w:r w:rsidR="004D1D76">
        <w:rPr>
          <w:noProof/>
        </w:rPr>
        <w:t>41</w:t>
      </w:r>
      <w:r w:rsidR="00D71C43">
        <w:rPr>
          <w:noProof/>
        </w:rPr>
        <w:fldChar w:fldCharType="end"/>
      </w:r>
      <w:bookmarkEnd w:id="450"/>
      <w:r w:rsidRPr="00DF4A2F">
        <w:t xml:space="preserve"> </w:t>
      </w:r>
      <w:r w:rsidRPr="00DF4A2F">
        <w:rPr>
          <w:lang w:val="pt-BR"/>
        </w:rPr>
        <w:t>-</w:t>
      </w:r>
      <w:r w:rsidRPr="00DF4A2F">
        <w:t xml:space="preserve"> Resíduos dos Serviços de Transporte – Regras de Tratamento e Disposição Final</w:t>
      </w:r>
      <w:bookmarkEnd w:id="451"/>
      <w:bookmarkEnd w:id="452"/>
      <w:bookmarkEnd w:id="453"/>
    </w:p>
    <w:tbl>
      <w:tblPr>
        <w:tblW w:w="5000" w:type="pct"/>
        <w:tblBorders>
          <w:top w:val="single" w:sz="8" w:space="0" w:color="4F81BD"/>
          <w:bottom w:val="single" w:sz="8" w:space="0" w:color="4F81BD"/>
        </w:tblBorders>
        <w:tblLook w:val="04A0" w:firstRow="1" w:lastRow="0" w:firstColumn="1" w:lastColumn="0" w:noHBand="0" w:noVBand="1"/>
      </w:tblPr>
      <w:tblGrid>
        <w:gridCol w:w="9570"/>
      </w:tblGrid>
      <w:tr w:rsidR="00A87269" w:rsidRPr="00DF4A2F" w:rsidTr="00510FF9">
        <w:trPr>
          <w:trHeight w:val="274"/>
          <w:tblHeader/>
        </w:trPr>
        <w:tc>
          <w:tcPr>
            <w:tcW w:w="5000" w:type="pct"/>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contextualSpacing/>
              <w:rPr>
                <w:rFonts w:cs="Arial"/>
                <w:b/>
                <w:sz w:val="20"/>
                <w:szCs w:val="20"/>
                <w:lang w:eastAsia="pt-BR"/>
              </w:rPr>
            </w:pPr>
            <w:r w:rsidRPr="00DF4A2F">
              <w:rPr>
                <w:rFonts w:cs="Arial"/>
                <w:b/>
                <w:sz w:val="20"/>
                <w:szCs w:val="20"/>
                <w:lang w:eastAsia="pt-BR"/>
              </w:rPr>
              <w:t>Regras de tratamento e disposição final segundo a Resolução CONAMA n° 05 de 1993</w:t>
            </w:r>
          </w:p>
        </w:tc>
      </w:tr>
      <w:tr w:rsidR="00A87269" w:rsidRPr="00DF4A2F" w:rsidTr="00510FF9">
        <w:trPr>
          <w:trHeight w:val="274"/>
        </w:trPr>
        <w:tc>
          <w:tcPr>
            <w:tcW w:w="5000" w:type="pct"/>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contextualSpacing/>
              <w:rPr>
                <w:rFonts w:cs="Arial"/>
                <w:sz w:val="20"/>
                <w:szCs w:val="20"/>
                <w:lang w:eastAsia="pt-BR"/>
              </w:rPr>
            </w:pPr>
            <w:r w:rsidRPr="00DF4A2F">
              <w:rPr>
                <w:rFonts w:cs="Arial"/>
                <w:sz w:val="20"/>
                <w:szCs w:val="20"/>
                <w:lang w:eastAsia="pt-BR"/>
              </w:rPr>
              <w:t>Recomenda-se a esterilização a vapor ou a incineração como tratamento dos resíduos sólidos pertencentes ao grupo A, ressalvadas as condições particulares de emprego e operação de cada tecnologia.</w:t>
            </w:r>
          </w:p>
        </w:tc>
      </w:tr>
      <w:tr w:rsidR="00A87269" w:rsidRPr="00DF4A2F" w:rsidTr="00510FF9">
        <w:trPr>
          <w:trHeight w:val="274"/>
        </w:trPr>
        <w:tc>
          <w:tcPr>
            <w:tcW w:w="5000" w:type="pct"/>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contextualSpacing/>
              <w:rPr>
                <w:rFonts w:eastAsia="MS Mincho" w:cs="Arial"/>
                <w:sz w:val="20"/>
                <w:szCs w:val="20"/>
                <w:lang w:eastAsia="pt-BR"/>
              </w:rPr>
            </w:pPr>
            <w:r w:rsidRPr="00DF4A2F">
              <w:rPr>
                <w:rFonts w:cs="Arial"/>
                <w:sz w:val="20"/>
                <w:szCs w:val="20"/>
                <w:lang w:eastAsia="pt-BR"/>
              </w:rPr>
              <w:t>Os resíduos sólidos pertencentes ao grupo A não poderão ser dispostos no meio ambiente sem tratamento prévio que assegure: a eliminação das características de periculosidade do resíduo; a preservação dos recursos naturais; e o atendimento aos padrões de qualidade ambiental e de saúde pública.</w:t>
            </w:r>
          </w:p>
        </w:tc>
      </w:tr>
      <w:tr w:rsidR="00A87269" w:rsidRPr="00DF4A2F" w:rsidTr="00510FF9">
        <w:trPr>
          <w:trHeight w:val="274"/>
        </w:trPr>
        <w:tc>
          <w:tcPr>
            <w:tcW w:w="5000" w:type="pct"/>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contextualSpacing/>
              <w:rPr>
                <w:rFonts w:eastAsia="MS Mincho" w:cs="Arial"/>
                <w:sz w:val="20"/>
                <w:szCs w:val="20"/>
                <w:lang w:eastAsia="pt-BR"/>
              </w:rPr>
            </w:pPr>
            <w:r w:rsidRPr="00DF4A2F">
              <w:rPr>
                <w:rFonts w:cs="Arial"/>
                <w:sz w:val="20"/>
                <w:szCs w:val="20"/>
                <w:lang w:eastAsia="pt-BR"/>
              </w:rPr>
              <w:t>Após tratamento, os resíduos sólidos pertencentes ao grupo A serão considerados “resíduos comuns” (grupo D), para fins de disposição final, porém os mesmos não poderão ser reciclados.</w:t>
            </w:r>
          </w:p>
        </w:tc>
      </w:tr>
      <w:tr w:rsidR="00A87269" w:rsidRPr="00DF4A2F" w:rsidTr="00510FF9">
        <w:trPr>
          <w:trHeight w:val="274"/>
        </w:trPr>
        <w:tc>
          <w:tcPr>
            <w:tcW w:w="5000" w:type="pct"/>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contextualSpacing/>
              <w:rPr>
                <w:rFonts w:eastAsia="MS Mincho" w:cs="Arial"/>
                <w:sz w:val="20"/>
                <w:szCs w:val="20"/>
                <w:lang w:eastAsia="pt-BR"/>
              </w:rPr>
            </w:pPr>
            <w:r w:rsidRPr="00DF4A2F">
              <w:rPr>
                <w:rFonts w:cs="Arial"/>
                <w:sz w:val="20"/>
                <w:szCs w:val="20"/>
                <w:lang w:eastAsia="pt-BR"/>
              </w:rPr>
              <w:t>Aterros sanitários implantados e operados conforme normas técnicas vigentes deverão ter previstos em seus licenciamentos ambientais sistemas específicos que possibilitem a disposição de resíduos sólidos pertencentes ao grupo A.</w:t>
            </w:r>
          </w:p>
        </w:tc>
      </w:tr>
      <w:tr w:rsidR="00A87269" w:rsidRPr="00DF4A2F" w:rsidTr="00510FF9">
        <w:trPr>
          <w:trHeight w:val="274"/>
        </w:trPr>
        <w:tc>
          <w:tcPr>
            <w:tcW w:w="5000" w:type="pct"/>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contextualSpacing/>
              <w:rPr>
                <w:rFonts w:eastAsia="MS Mincho" w:cs="Arial"/>
                <w:sz w:val="20"/>
                <w:szCs w:val="20"/>
                <w:lang w:eastAsia="pt-BR"/>
              </w:rPr>
            </w:pPr>
            <w:r w:rsidRPr="00DF4A2F">
              <w:rPr>
                <w:rFonts w:cs="Arial"/>
                <w:sz w:val="20"/>
                <w:szCs w:val="20"/>
                <w:lang w:eastAsia="pt-BR"/>
              </w:rPr>
              <w:t>Os resíduos sólidos classificados como grupo B deverão ser submetidos a tratamento e disposição final específicos, de acordo com as características de toxicidade, inflamabilidade, corrosividade e reatividade, segundo exigências do órgão ambiental competente.</w:t>
            </w:r>
          </w:p>
        </w:tc>
      </w:tr>
      <w:tr w:rsidR="00A87269" w:rsidRPr="00DF4A2F" w:rsidTr="00510FF9">
        <w:trPr>
          <w:trHeight w:val="274"/>
        </w:trPr>
        <w:tc>
          <w:tcPr>
            <w:tcW w:w="5000" w:type="pct"/>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contextualSpacing/>
              <w:rPr>
                <w:rFonts w:eastAsia="MS Mincho" w:cs="Arial"/>
                <w:sz w:val="20"/>
                <w:szCs w:val="20"/>
                <w:lang w:eastAsia="pt-BR"/>
              </w:rPr>
            </w:pPr>
            <w:r w:rsidRPr="00DF4A2F">
              <w:rPr>
                <w:rFonts w:cs="Arial"/>
                <w:sz w:val="20"/>
                <w:szCs w:val="20"/>
              </w:rPr>
              <w:t>Os resíduos sólidos classificados como grupo C ou rejeitos radioativos obedecerão às exigências definidas pela Comissão Nacional de Energia Nuclear – CNEN</w:t>
            </w:r>
            <w:r>
              <w:rPr>
                <w:rFonts w:cs="Arial"/>
                <w:sz w:val="20"/>
                <w:szCs w:val="20"/>
              </w:rPr>
              <w:t>.</w:t>
            </w:r>
          </w:p>
        </w:tc>
      </w:tr>
      <w:tr w:rsidR="00A87269" w:rsidRPr="00DF4A2F" w:rsidTr="00510FF9">
        <w:trPr>
          <w:trHeight w:val="274"/>
        </w:trPr>
        <w:tc>
          <w:tcPr>
            <w:tcW w:w="5000" w:type="pct"/>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contextualSpacing/>
              <w:rPr>
                <w:rFonts w:eastAsia="MS Mincho" w:cs="Arial"/>
                <w:sz w:val="20"/>
                <w:szCs w:val="20"/>
                <w:lang w:eastAsia="pt-BR"/>
              </w:rPr>
            </w:pPr>
            <w:r w:rsidRPr="00DF4A2F">
              <w:rPr>
                <w:rFonts w:cs="Arial"/>
                <w:sz w:val="20"/>
                <w:szCs w:val="20"/>
              </w:rPr>
              <w:t>Os resíduos sólidos classificados como grupo D deverão ser coletados pelo órgão municipal de limpeza urbana e receberão tratamento e disposição final semelhante aos determinados para os resíduos domiciliares, desde que resguardadas as condições de proteção ao meio ambiente e à saúde pública.</w:t>
            </w:r>
          </w:p>
        </w:tc>
      </w:tr>
      <w:tr w:rsidR="00A87269" w:rsidRPr="00DF4A2F" w:rsidTr="00510FF9">
        <w:trPr>
          <w:trHeight w:val="274"/>
        </w:trPr>
        <w:tc>
          <w:tcPr>
            <w:tcW w:w="5000" w:type="pct"/>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contextualSpacing/>
              <w:rPr>
                <w:rFonts w:eastAsia="MS Mincho" w:cs="Arial"/>
                <w:sz w:val="20"/>
                <w:szCs w:val="20"/>
                <w:lang w:eastAsia="pt-BR"/>
              </w:rPr>
            </w:pPr>
            <w:r w:rsidRPr="00DF4A2F">
              <w:rPr>
                <w:rFonts w:cs="Arial"/>
                <w:sz w:val="20"/>
                <w:szCs w:val="20"/>
                <w:lang w:eastAsia="pt-BR"/>
              </w:rPr>
              <w:t>Quando não assegurada a devida segregação dos resíduos sólidos, estes serão considerados, na sua totalidade, como pertencentes ao grupo A, salvo os resíduos sólidos pertencentes aos grupos B e C que, por suas peculiaridades, deverão ser sempre separados dos resíduos com outras qualificações.</w:t>
            </w:r>
          </w:p>
        </w:tc>
      </w:tr>
      <w:tr w:rsidR="00A87269" w:rsidRPr="00DF4A2F" w:rsidTr="00510FF9">
        <w:trPr>
          <w:trHeight w:val="274"/>
        </w:trPr>
        <w:tc>
          <w:tcPr>
            <w:tcW w:w="5000" w:type="pct"/>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contextualSpacing/>
              <w:rPr>
                <w:rFonts w:eastAsia="MS Mincho" w:cs="Arial"/>
                <w:sz w:val="20"/>
                <w:szCs w:val="20"/>
                <w:lang w:eastAsia="pt-BR"/>
              </w:rPr>
            </w:pPr>
            <w:r w:rsidRPr="00DF4A2F">
              <w:rPr>
                <w:rFonts w:cs="Arial"/>
                <w:sz w:val="20"/>
                <w:szCs w:val="20"/>
                <w:lang w:eastAsia="pt-BR"/>
              </w:rPr>
              <w:t>Os resíduos comuns ou grupo D</w:t>
            </w:r>
            <w:r w:rsidR="00E82DE6">
              <w:rPr>
                <w:rFonts w:cs="Arial"/>
                <w:sz w:val="20"/>
                <w:szCs w:val="20"/>
                <w:lang w:eastAsia="pt-BR"/>
              </w:rPr>
              <w:t>,</w:t>
            </w:r>
            <w:r w:rsidRPr="00DF4A2F">
              <w:rPr>
                <w:rFonts w:cs="Arial"/>
                <w:sz w:val="20"/>
                <w:szCs w:val="20"/>
                <w:lang w:eastAsia="pt-BR"/>
              </w:rPr>
              <w:t xml:space="preserve"> gerados nos estabelecimentos provenientes de áreas endêmicas definidas pelas autoridades de saúde pública competentes, serão considerados, com vistas ao manejo e tratamento, como pertencentes ao grupo A.</w:t>
            </w:r>
          </w:p>
        </w:tc>
      </w:tr>
      <w:tr w:rsidR="00A87269" w:rsidRPr="00DF4A2F" w:rsidTr="00510FF9">
        <w:trPr>
          <w:trHeight w:val="274"/>
        </w:trPr>
        <w:tc>
          <w:tcPr>
            <w:tcW w:w="5000" w:type="pct"/>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contextualSpacing/>
              <w:rPr>
                <w:rFonts w:eastAsia="MS Mincho" w:cs="Arial"/>
                <w:sz w:val="20"/>
                <w:szCs w:val="20"/>
                <w:lang w:eastAsia="pt-BR"/>
              </w:rPr>
            </w:pPr>
            <w:r w:rsidRPr="00DF4A2F">
              <w:rPr>
                <w:rFonts w:cs="Arial"/>
                <w:sz w:val="20"/>
                <w:szCs w:val="20"/>
                <w:lang w:eastAsia="pt-BR"/>
              </w:rPr>
              <w:t>O tratamento e a disposição final dos resíduos gerados serão controlados e fiscalizados pelos órgãos de meio ambiente, de saúde pública e de vigilância sanitária competentes, de acordo com a legislação vigente.</w:t>
            </w:r>
          </w:p>
        </w:tc>
      </w:tr>
    </w:tbl>
    <w:p w:rsidR="00A87269" w:rsidRPr="00DF4A2F" w:rsidRDefault="00A87269" w:rsidP="00A87269">
      <w:pPr>
        <w:pStyle w:val="Legenda"/>
      </w:pPr>
      <w:bookmarkStart w:id="454" w:name="_Ref483559991"/>
      <w:bookmarkStart w:id="455" w:name="_Toc488825055"/>
      <w:bookmarkStart w:id="456" w:name="_Toc493151592"/>
      <w:bookmarkStart w:id="457" w:name="_Toc497469163"/>
      <w:bookmarkStart w:id="458" w:name="_Ref497469219"/>
      <w:r w:rsidRPr="00DF4A2F">
        <w:t xml:space="preserve">Quadro </w:t>
      </w:r>
      <w:r w:rsidR="00D71C43">
        <w:fldChar w:fldCharType="begin"/>
      </w:r>
      <w:r w:rsidR="00D71C43">
        <w:instrText xml:space="preserve"> SEQ Quadro \* ARABIC </w:instrText>
      </w:r>
      <w:r w:rsidR="00D71C43">
        <w:fldChar w:fldCharType="separate"/>
      </w:r>
      <w:r w:rsidR="004D1D76">
        <w:rPr>
          <w:noProof/>
        </w:rPr>
        <w:t>42</w:t>
      </w:r>
      <w:r w:rsidR="00D71C43">
        <w:rPr>
          <w:noProof/>
        </w:rPr>
        <w:fldChar w:fldCharType="end"/>
      </w:r>
      <w:bookmarkEnd w:id="454"/>
      <w:bookmarkEnd w:id="458"/>
      <w:r w:rsidRPr="00DF4A2F">
        <w:t xml:space="preserve"> </w:t>
      </w:r>
      <w:r w:rsidRPr="00DF4A2F">
        <w:rPr>
          <w:lang w:val="pt-BR"/>
        </w:rPr>
        <w:t>-</w:t>
      </w:r>
      <w:r w:rsidRPr="00DF4A2F">
        <w:t xml:space="preserve"> Resíduos dos Serviços de Transporte – Regras de Licenciamento</w:t>
      </w:r>
      <w:bookmarkEnd w:id="455"/>
      <w:bookmarkEnd w:id="456"/>
      <w:bookmarkEnd w:id="457"/>
      <w:r w:rsidRPr="00DF4A2F">
        <w:t xml:space="preserve"> </w:t>
      </w:r>
    </w:p>
    <w:tbl>
      <w:tblPr>
        <w:tblW w:w="5000" w:type="pct"/>
        <w:tblBorders>
          <w:top w:val="single" w:sz="8" w:space="0" w:color="4F81BD"/>
          <w:bottom w:val="single" w:sz="8" w:space="0" w:color="4F81BD"/>
        </w:tblBorders>
        <w:tblLook w:val="04A0" w:firstRow="1" w:lastRow="0" w:firstColumn="1" w:lastColumn="0" w:noHBand="0" w:noVBand="1"/>
      </w:tblPr>
      <w:tblGrid>
        <w:gridCol w:w="9570"/>
      </w:tblGrid>
      <w:tr w:rsidR="00A87269" w:rsidRPr="00DF4A2F" w:rsidTr="00510FF9">
        <w:trPr>
          <w:trHeight w:val="274"/>
          <w:tblHeader/>
        </w:trPr>
        <w:tc>
          <w:tcPr>
            <w:tcW w:w="5000" w:type="pct"/>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contextualSpacing/>
              <w:rPr>
                <w:rFonts w:cs="Arial"/>
                <w:b/>
                <w:sz w:val="20"/>
                <w:szCs w:val="20"/>
                <w:lang w:eastAsia="pt-BR"/>
              </w:rPr>
            </w:pPr>
            <w:r w:rsidRPr="00DF4A2F">
              <w:rPr>
                <w:rFonts w:cs="Arial"/>
                <w:b/>
                <w:sz w:val="20"/>
                <w:szCs w:val="20"/>
                <w:lang w:eastAsia="pt-BR"/>
              </w:rPr>
              <w:t>Regras de Licenciamento segundo a Resolução CONAMA n° 05 de 1993</w:t>
            </w:r>
          </w:p>
        </w:tc>
      </w:tr>
      <w:tr w:rsidR="00A87269" w:rsidRPr="00DF4A2F" w:rsidTr="00510FF9">
        <w:trPr>
          <w:trHeight w:val="274"/>
        </w:trPr>
        <w:tc>
          <w:tcPr>
            <w:tcW w:w="5000" w:type="pct"/>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contextualSpacing/>
              <w:rPr>
                <w:rFonts w:cs="Arial"/>
                <w:sz w:val="20"/>
                <w:szCs w:val="20"/>
                <w:lang w:eastAsia="pt-BR"/>
              </w:rPr>
            </w:pPr>
            <w:r w:rsidRPr="00DF4A2F">
              <w:rPr>
                <w:rFonts w:cs="Arial"/>
                <w:sz w:val="20"/>
                <w:szCs w:val="20"/>
                <w:lang w:eastAsia="pt-BR"/>
              </w:rPr>
              <w:t>A administração dos estabelecimentos, em operação ou a serem implantados, deverá apresentar o Plano de Gerenciamento de Resíduos Sólidos, a ser submetido à aprovação pelos órgãos de meio ambiente e de saúde, dentro de suas respectivas esferas de competência, de acordo com a legislação vigente.</w:t>
            </w:r>
          </w:p>
        </w:tc>
      </w:tr>
      <w:tr w:rsidR="00A87269" w:rsidRPr="00DF4A2F" w:rsidTr="00510FF9">
        <w:trPr>
          <w:trHeight w:val="260"/>
        </w:trPr>
        <w:tc>
          <w:tcPr>
            <w:tcW w:w="5000" w:type="pct"/>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contextualSpacing/>
              <w:rPr>
                <w:rFonts w:eastAsia="MS Mincho" w:cs="Arial"/>
                <w:sz w:val="20"/>
                <w:szCs w:val="20"/>
                <w:lang w:eastAsia="pt-BR"/>
              </w:rPr>
            </w:pPr>
            <w:r w:rsidRPr="00DF4A2F">
              <w:rPr>
                <w:rFonts w:cs="Arial"/>
                <w:sz w:val="20"/>
                <w:szCs w:val="20"/>
                <w:lang w:eastAsia="pt-BR"/>
              </w:rPr>
              <w:t>Na elaboração do Plano de Gerenciamento de Resíduos Sólidos, devem ser considerados princípios que conduzam à reciclagem, bem como a soluções integradas ou consorciadas, para os sistemas de tratamento e disposição final, de acordo com as diretrizes estabelecidas pelos órgãos de meio ambiente e de saúde competentes.</w:t>
            </w:r>
          </w:p>
        </w:tc>
      </w:tr>
      <w:tr w:rsidR="00A87269" w:rsidRPr="00DF4A2F" w:rsidTr="00510FF9">
        <w:trPr>
          <w:trHeight w:val="274"/>
        </w:trPr>
        <w:tc>
          <w:tcPr>
            <w:tcW w:w="5000" w:type="pct"/>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contextualSpacing/>
              <w:rPr>
                <w:rFonts w:eastAsia="MS Mincho" w:cs="Arial"/>
                <w:sz w:val="20"/>
                <w:szCs w:val="20"/>
                <w:lang w:eastAsia="pt-BR"/>
              </w:rPr>
            </w:pPr>
            <w:r w:rsidRPr="00DF4A2F">
              <w:rPr>
                <w:rFonts w:cs="Arial"/>
                <w:sz w:val="20"/>
                <w:szCs w:val="20"/>
                <w:lang w:eastAsia="pt-BR"/>
              </w:rPr>
              <w:t>A implantação de sistemas de tratamento e disposição final de resíduos sólidos fica condicionada ao licenciamento, pelo órgão ambiental competente em conformidade com as normas em vigor.</w:t>
            </w:r>
          </w:p>
        </w:tc>
      </w:tr>
    </w:tbl>
    <w:p w:rsidR="00A87269" w:rsidRPr="00DF4A2F" w:rsidRDefault="00A87269" w:rsidP="00A87269">
      <w:pPr>
        <w:rPr>
          <w:rFonts w:cs="Arial"/>
        </w:rPr>
      </w:pPr>
    </w:p>
    <w:p w:rsidR="00A87269" w:rsidRPr="00DF4A2F" w:rsidRDefault="00A87269" w:rsidP="00A87269">
      <w:pPr>
        <w:pStyle w:val="Legenda"/>
      </w:pPr>
      <w:bookmarkStart w:id="459" w:name="_Ref483560010"/>
      <w:bookmarkStart w:id="460" w:name="_Toc488825056"/>
      <w:bookmarkStart w:id="461" w:name="_Toc493151593"/>
      <w:bookmarkStart w:id="462" w:name="_Toc497469164"/>
      <w:r w:rsidRPr="00DF4A2F">
        <w:lastRenderedPageBreak/>
        <w:t xml:space="preserve">Quadro </w:t>
      </w:r>
      <w:r w:rsidR="00D71C43">
        <w:fldChar w:fldCharType="begin"/>
      </w:r>
      <w:r w:rsidR="00D71C43">
        <w:instrText xml:space="preserve"> SEQ Quadro \* ARABIC </w:instrText>
      </w:r>
      <w:r w:rsidR="00D71C43">
        <w:fldChar w:fldCharType="separate"/>
      </w:r>
      <w:r w:rsidR="004D1D76">
        <w:rPr>
          <w:noProof/>
        </w:rPr>
        <w:t>43</w:t>
      </w:r>
      <w:r w:rsidR="00D71C43">
        <w:rPr>
          <w:noProof/>
        </w:rPr>
        <w:fldChar w:fldCharType="end"/>
      </w:r>
      <w:bookmarkEnd w:id="459"/>
      <w:r w:rsidRPr="00DF4A2F">
        <w:t xml:space="preserve"> - Resíduos dos Serviços de Transporte – Legislação e Normas</w:t>
      </w:r>
      <w:bookmarkEnd w:id="460"/>
      <w:bookmarkEnd w:id="461"/>
      <w:bookmarkEnd w:id="462"/>
    </w:p>
    <w:tbl>
      <w:tblPr>
        <w:tblW w:w="9131" w:type="dxa"/>
        <w:jc w:val="center"/>
        <w:tblBorders>
          <w:top w:val="single" w:sz="8" w:space="0" w:color="4F81BD"/>
          <w:bottom w:val="single" w:sz="8" w:space="0" w:color="4F81BD"/>
        </w:tblBorders>
        <w:tblLook w:val="04A0" w:firstRow="1" w:lastRow="0" w:firstColumn="1" w:lastColumn="0" w:noHBand="0" w:noVBand="1"/>
      </w:tblPr>
      <w:tblGrid>
        <w:gridCol w:w="9131"/>
      </w:tblGrid>
      <w:tr w:rsidR="00A87269" w:rsidRPr="00DF4A2F" w:rsidTr="00510FF9">
        <w:trPr>
          <w:trHeight w:val="268"/>
          <w:tblHeader/>
          <w:jc w:val="center"/>
        </w:trPr>
        <w:tc>
          <w:tcPr>
            <w:tcW w:w="9131"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contextualSpacing/>
              <w:rPr>
                <w:rFonts w:cs="Arial"/>
                <w:b/>
                <w:sz w:val="20"/>
                <w:szCs w:val="20"/>
                <w:u w:val="single"/>
              </w:rPr>
            </w:pPr>
            <w:r w:rsidRPr="00DF4A2F">
              <w:rPr>
                <w:rFonts w:cs="Arial"/>
                <w:b/>
                <w:sz w:val="20"/>
                <w:szCs w:val="20"/>
                <w:u w:val="single"/>
                <w:lang w:eastAsia="pt-BR"/>
              </w:rPr>
              <w:t>Principais resoluções nacionais</w:t>
            </w:r>
          </w:p>
        </w:tc>
      </w:tr>
      <w:tr w:rsidR="00A87269" w:rsidRPr="00DF4A2F" w:rsidTr="00510FF9">
        <w:trPr>
          <w:trHeight w:val="268"/>
          <w:jc w:val="center"/>
        </w:trPr>
        <w:tc>
          <w:tcPr>
            <w:tcW w:w="9131"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contextualSpacing/>
              <w:rPr>
                <w:rFonts w:cs="Arial"/>
                <w:sz w:val="20"/>
                <w:szCs w:val="20"/>
                <w:lang w:eastAsia="pt-BR"/>
              </w:rPr>
            </w:pPr>
            <w:r w:rsidRPr="00DF4A2F">
              <w:rPr>
                <w:rFonts w:cs="Arial"/>
                <w:sz w:val="20"/>
                <w:szCs w:val="20"/>
                <w:lang w:eastAsia="pt-BR"/>
              </w:rPr>
              <w:t>Resolução CONAMA nº 05, de 05 de agosto de 1993. Dispõe sobre o gerenciamento de resíduos sólidos gerados nos portos, aeroportos, terminais ferroviários e estabelecimentos prestadores de serviços de saúde. Revogadas as disposições que tratam de resíduos sólidos oriundos de serviços de saúde pela Resolução CONAMA nº 358/05.</w:t>
            </w:r>
          </w:p>
        </w:tc>
      </w:tr>
      <w:tr w:rsidR="00A87269" w:rsidRPr="00DF4A2F" w:rsidTr="00510FF9">
        <w:trPr>
          <w:trHeight w:val="268"/>
          <w:jc w:val="center"/>
        </w:trPr>
        <w:tc>
          <w:tcPr>
            <w:tcW w:w="9131"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contextualSpacing/>
              <w:rPr>
                <w:rFonts w:cs="Arial"/>
                <w:sz w:val="20"/>
                <w:szCs w:val="20"/>
                <w:lang w:eastAsia="pt-BR"/>
              </w:rPr>
            </w:pPr>
            <w:r w:rsidRPr="00DF4A2F">
              <w:rPr>
                <w:rFonts w:cs="Arial"/>
                <w:sz w:val="20"/>
                <w:szCs w:val="20"/>
                <w:lang w:eastAsia="pt-BR"/>
              </w:rPr>
              <w:t>Resolução CONAMA nº 06, de 19 de setembro de 1991. Dispõe sobre tratamento de resíduos sólidos provenientes de estabelecimentos de saúde, portos e aeroportos.</w:t>
            </w:r>
          </w:p>
        </w:tc>
      </w:tr>
      <w:tr w:rsidR="00A87269" w:rsidRPr="00DF4A2F" w:rsidTr="00510FF9">
        <w:trPr>
          <w:trHeight w:val="268"/>
          <w:jc w:val="center"/>
        </w:trPr>
        <w:tc>
          <w:tcPr>
            <w:tcW w:w="9131"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contextualSpacing/>
              <w:rPr>
                <w:rFonts w:cs="Arial"/>
                <w:b/>
                <w:sz w:val="20"/>
                <w:szCs w:val="20"/>
                <w:u w:val="single"/>
              </w:rPr>
            </w:pPr>
            <w:r w:rsidRPr="00DF4A2F">
              <w:rPr>
                <w:rFonts w:cs="Arial"/>
                <w:b/>
                <w:sz w:val="20"/>
                <w:szCs w:val="20"/>
                <w:u w:val="single"/>
                <w:lang w:eastAsia="pt-BR"/>
              </w:rPr>
              <w:t>Normas técnicas</w:t>
            </w:r>
          </w:p>
        </w:tc>
      </w:tr>
      <w:tr w:rsidR="00A87269" w:rsidRPr="00DF4A2F" w:rsidTr="00510FF9">
        <w:trPr>
          <w:trHeight w:val="255"/>
          <w:jc w:val="center"/>
        </w:trPr>
        <w:tc>
          <w:tcPr>
            <w:tcW w:w="9131"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rPr>
                <w:rFonts w:cs="Arial"/>
                <w:sz w:val="20"/>
                <w:szCs w:val="20"/>
              </w:rPr>
            </w:pPr>
            <w:r w:rsidRPr="00DF4A2F">
              <w:rPr>
                <w:rFonts w:cs="Arial"/>
                <w:sz w:val="20"/>
                <w:szCs w:val="20"/>
              </w:rPr>
              <w:t xml:space="preserve">ABNT NBR 7500:2013 - </w:t>
            </w:r>
            <w:r w:rsidRPr="00DF4A2F">
              <w:rPr>
                <w:rFonts w:cs="Arial"/>
                <w:sz w:val="20"/>
                <w:szCs w:val="20"/>
                <w:lang w:val="pt-PT"/>
              </w:rPr>
              <w:t>Identificação para o transporte terrestre, manuseio, movimentação e armazenamento de produtos.</w:t>
            </w:r>
          </w:p>
        </w:tc>
      </w:tr>
      <w:tr w:rsidR="00A87269" w:rsidRPr="00DF4A2F" w:rsidTr="00510FF9">
        <w:trPr>
          <w:trHeight w:val="255"/>
          <w:jc w:val="center"/>
        </w:trPr>
        <w:tc>
          <w:tcPr>
            <w:tcW w:w="9131"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autoSpaceDE w:val="0"/>
              <w:autoSpaceDN w:val="0"/>
              <w:adjustRightInd w:val="0"/>
              <w:rPr>
                <w:rFonts w:cs="Arial"/>
                <w:sz w:val="20"/>
                <w:szCs w:val="20"/>
                <w:lang w:val="pt-PT"/>
              </w:rPr>
            </w:pPr>
            <w:r w:rsidRPr="00DF4A2F">
              <w:rPr>
                <w:rFonts w:cs="Arial"/>
                <w:sz w:val="20"/>
                <w:szCs w:val="20"/>
                <w:lang w:val="pt-PT"/>
              </w:rPr>
              <w:t xml:space="preserve">NBR 7501:2011 - Transporte terrestre de produtos perigosos </w:t>
            </w:r>
            <w:r>
              <w:rPr>
                <w:rFonts w:cs="Arial"/>
                <w:sz w:val="20"/>
                <w:szCs w:val="20"/>
                <w:lang w:val="pt-PT"/>
              </w:rPr>
              <w:t>–</w:t>
            </w:r>
            <w:r w:rsidRPr="00DF4A2F">
              <w:rPr>
                <w:rFonts w:cs="Arial"/>
                <w:sz w:val="20"/>
                <w:szCs w:val="20"/>
                <w:lang w:val="pt-PT"/>
              </w:rPr>
              <w:t xml:space="preserve"> Terminologia</w:t>
            </w:r>
            <w:r>
              <w:rPr>
                <w:rFonts w:cs="Arial"/>
                <w:sz w:val="20"/>
                <w:szCs w:val="20"/>
                <w:lang w:val="pt-PT"/>
              </w:rPr>
              <w:t>.</w:t>
            </w:r>
          </w:p>
        </w:tc>
      </w:tr>
      <w:tr w:rsidR="00A87269" w:rsidRPr="00DF4A2F" w:rsidTr="00510FF9">
        <w:trPr>
          <w:trHeight w:val="255"/>
          <w:jc w:val="center"/>
        </w:trPr>
        <w:tc>
          <w:tcPr>
            <w:tcW w:w="9131"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autoSpaceDE w:val="0"/>
              <w:autoSpaceDN w:val="0"/>
              <w:adjustRightInd w:val="0"/>
              <w:rPr>
                <w:rFonts w:cs="Arial"/>
                <w:sz w:val="20"/>
                <w:szCs w:val="20"/>
                <w:lang w:val="pt-PT"/>
              </w:rPr>
            </w:pPr>
            <w:r w:rsidRPr="00DF4A2F">
              <w:rPr>
                <w:rFonts w:cs="Arial"/>
                <w:sz w:val="20"/>
                <w:szCs w:val="20"/>
                <w:lang w:val="pt-PT"/>
              </w:rPr>
              <w:t>NBR 7503:2013 - Ficha de emergência e envelope para o transporte terrestre de produtos perigosos - Características, dimensões e preenchimento.</w:t>
            </w:r>
          </w:p>
        </w:tc>
      </w:tr>
      <w:tr w:rsidR="00A87269" w:rsidRPr="00DF4A2F" w:rsidTr="00510FF9">
        <w:trPr>
          <w:trHeight w:val="268"/>
          <w:jc w:val="center"/>
        </w:trPr>
        <w:tc>
          <w:tcPr>
            <w:tcW w:w="9131"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contextualSpacing/>
              <w:rPr>
                <w:rFonts w:cs="Arial"/>
                <w:sz w:val="20"/>
                <w:szCs w:val="20"/>
                <w:lang w:eastAsia="pt-BR"/>
              </w:rPr>
            </w:pPr>
            <w:r w:rsidRPr="00DF4A2F">
              <w:rPr>
                <w:rFonts w:cs="Arial"/>
                <w:sz w:val="20"/>
                <w:szCs w:val="20"/>
                <w:lang w:eastAsia="pt-BR"/>
              </w:rPr>
              <w:t>ABNT NBR 12235:1992 - Armazenamento de resíduos sólidos perigosos – Procedimento</w:t>
            </w:r>
            <w:r>
              <w:rPr>
                <w:rFonts w:cs="Arial"/>
                <w:sz w:val="20"/>
                <w:szCs w:val="20"/>
                <w:lang w:eastAsia="pt-BR"/>
              </w:rPr>
              <w:t>.</w:t>
            </w:r>
          </w:p>
        </w:tc>
      </w:tr>
      <w:tr w:rsidR="00A87269" w:rsidRPr="00DF4A2F" w:rsidTr="00510FF9">
        <w:trPr>
          <w:trHeight w:val="268"/>
          <w:jc w:val="center"/>
        </w:trPr>
        <w:tc>
          <w:tcPr>
            <w:tcW w:w="9131"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rPr>
                <w:rFonts w:cs="Arial"/>
                <w:sz w:val="20"/>
                <w:szCs w:val="20"/>
              </w:rPr>
            </w:pPr>
            <w:r w:rsidRPr="00DF4A2F">
              <w:rPr>
                <w:rFonts w:cs="Arial"/>
                <w:sz w:val="20"/>
                <w:szCs w:val="20"/>
              </w:rPr>
              <w:t>ABNT NBR 10.004:2004 – Resíduos sólidos: Classificação.</w:t>
            </w:r>
          </w:p>
        </w:tc>
      </w:tr>
      <w:tr w:rsidR="00A87269" w:rsidRPr="00DF4A2F" w:rsidTr="00510FF9">
        <w:trPr>
          <w:trHeight w:val="268"/>
          <w:jc w:val="center"/>
        </w:trPr>
        <w:tc>
          <w:tcPr>
            <w:tcW w:w="9131"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rPr>
                <w:rFonts w:cs="Arial"/>
                <w:sz w:val="20"/>
                <w:szCs w:val="20"/>
              </w:rPr>
            </w:pPr>
            <w:r w:rsidRPr="00DF4A2F">
              <w:rPr>
                <w:rFonts w:cs="Arial"/>
                <w:sz w:val="20"/>
                <w:szCs w:val="20"/>
              </w:rPr>
              <w:t>ABNT NBR 10.005:2004 – Procedimentos para obtenção de extrato lixiviado de resíduos sólidos.</w:t>
            </w:r>
          </w:p>
        </w:tc>
      </w:tr>
      <w:tr w:rsidR="00A87269" w:rsidRPr="00DF4A2F" w:rsidTr="00510FF9">
        <w:trPr>
          <w:trHeight w:val="268"/>
          <w:jc w:val="center"/>
        </w:trPr>
        <w:tc>
          <w:tcPr>
            <w:tcW w:w="9131"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rPr>
                <w:rFonts w:cs="Arial"/>
                <w:sz w:val="20"/>
                <w:szCs w:val="20"/>
              </w:rPr>
            </w:pPr>
            <w:r w:rsidRPr="00DF4A2F">
              <w:rPr>
                <w:rFonts w:cs="Arial"/>
                <w:sz w:val="20"/>
                <w:szCs w:val="20"/>
              </w:rPr>
              <w:t>ABNT NBR 10.006:2004 – Procedimentos para obtenção de extrato solubilizado de resíduos sólidos.</w:t>
            </w:r>
          </w:p>
        </w:tc>
      </w:tr>
      <w:tr w:rsidR="00A87269" w:rsidRPr="00DF4A2F" w:rsidTr="00510FF9">
        <w:trPr>
          <w:trHeight w:val="268"/>
          <w:jc w:val="center"/>
        </w:trPr>
        <w:tc>
          <w:tcPr>
            <w:tcW w:w="9131"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rPr>
                <w:rFonts w:cs="Arial"/>
                <w:sz w:val="20"/>
                <w:szCs w:val="20"/>
              </w:rPr>
            </w:pPr>
            <w:r w:rsidRPr="00DF4A2F">
              <w:rPr>
                <w:rFonts w:cs="Arial"/>
                <w:sz w:val="20"/>
                <w:szCs w:val="20"/>
              </w:rPr>
              <w:t>ABNT NBR 10.007:2004 – Amostragem de resíduos sólidos.</w:t>
            </w:r>
          </w:p>
        </w:tc>
      </w:tr>
    </w:tbl>
    <w:p w:rsidR="00A87269" w:rsidRPr="00DF4A2F" w:rsidRDefault="00A87269" w:rsidP="00A87269">
      <w:pPr>
        <w:rPr>
          <w:rFonts w:cs="Arial"/>
          <w:b/>
          <w:bCs/>
        </w:rPr>
      </w:pPr>
    </w:p>
    <w:p w:rsidR="00A87269" w:rsidRPr="00DF4A2F" w:rsidRDefault="00A87269" w:rsidP="002828C8">
      <w:pPr>
        <w:pStyle w:val="Ttulo4"/>
      </w:pPr>
      <w:bookmarkStart w:id="463" w:name="_Toc488825322"/>
      <w:bookmarkStart w:id="464" w:name="_Toc493151488"/>
      <w:bookmarkStart w:id="465" w:name="_Toc497469057"/>
      <w:r w:rsidRPr="00DF4A2F">
        <w:t>Resíduos dos serviços de saúde</w:t>
      </w:r>
      <w:bookmarkEnd w:id="463"/>
      <w:bookmarkEnd w:id="464"/>
      <w:bookmarkEnd w:id="465"/>
    </w:p>
    <w:p w:rsidR="00A87269" w:rsidRDefault="00A87269" w:rsidP="00A87269">
      <w:pPr>
        <w:pStyle w:val="Default"/>
        <w:spacing w:line="360" w:lineRule="auto"/>
        <w:ind w:firstLine="709"/>
        <w:jc w:val="both"/>
        <w:rPr>
          <w:color w:val="auto"/>
        </w:rPr>
      </w:pPr>
      <w:r w:rsidRPr="00DF4A2F">
        <w:rPr>
          <w:color w:val="auto"/>
        </w:rPr>
        <w:t>Os resíduos de serviços de saúde são aqueles “gerados nos serviços de saúde, conforme definido em regulamento ou em normas estabelecidas pelos órgãos do Sisnama e do SNVS”, segundo o art. 13 da Lei n° 12.305 de 2010. A seguir são apresentadas regras, legislação aplicável e orientações gerais sobre esses resíduos (</w:t>
      </w:r>
      <w:r w:rsidRPr="00DF4A2F">
        <w:rPr>
          <w:color w:val="auto"/>
        </w:rPr>
        <w:fldChar w:fldCharType="begin"/>
      </w:r>
      <w:r w:rsidRPr="00DF4A2F">
        <w:rPr>
          <w:color w:val="auto"/>
        </w:rPr>
        <w:instrText xml:space="preserve"> REF _Ref483560116 \h  \* MERGEFORMAT </w:instrText>
      </w:r>
      <w:r w:rsidRPr="00DF4A2F">
        <w:rPr>
          <w:color w:val="auto"/>
        </w:rPr>
      </w:r>
      <w:r w:rsidRPr="00DF4A2F">
        <w:rPr>
          <w:color w:val="auto"/>
        </w:rPr>
        <w:fldChar w:fldCharType="separate"/>
      </w:r>
      <w:r w:rsidR="004D1D76" w:rsidRPr="004D1D76">
        <w:rPr>
          <w:color w:val="auto"/>
        </w:rPr>
        <w:t>Quadro 44</w:t>
      </w:r>
      <w:r w:rsidRPr="00DF4A2F">
        <w:rPr>
          <w:color w:val="auto"/>
        </w:rPr>
        <w:fldChar w:fldCharType="end"/>
      </w:r>
      <w:r w:rsidRPr="00DF4A2F">
        <w:rPr>
          <w:color w:val="auto"/>
        </w:rPr>
        <w:t xml:space="preserve">, </w:t>
      </w:r>
      <w:r w:rsidRPr="00DF4A2F">
        <w:rPr>
          <w:color w:val="auto"/>
        </w:rPr>
        <w:fldChar w:fldCharType="begin"/>
      </w:r>
      <w:r w:rsidRPr="00DF4A2F">
        <w:rPr>
          <w:color w:val="auto"/>
        </w:rPr>
        <w:instrText xml:space="preserve"> REF _Ref487126554 \h  \* MERGEFORMAT </w:instrText>
      </w:r>
      <w:r w:rsidRPr="00DF4A2F">
        <w:rPr>
          <w:color w:val="auto"/>
        </w:rPr>
      </w:r>
      <w:r w:rsidRPr="00DF4A2F">
        <w:rPr>
          <w:color w:val="auto"/>
        </w:rPr>
        <w:fldChar w:fldCharType="separate"/>
      </w:r>
      <w:r w:rsidR="004D1D76" w:rsidRPr="004D1D76">
        <w:rPr>
          <w:color w:val="auto"/>
        </w:rPr>
        <w:t>Quadro 45</w:t>
      </w:r>
      <w:r w:rsidRPr="00DF4A2F">
        <w:rPr>
          <w:color w:val="auto"/>
        </w:rPr>
        <w:fldChar w:fldCharType="end"/>
      </w:r>
      <w:r w:rsidRPr="00DF4A2F">
        <w:rPr>
          <w:color w:val="auto"/>
        </w:rPr>
        <w:t xml:space="preserve">, </w:t>
      </w:r>
      <w:r>
        <w:rPr>
          <w:color w:val="auto"/>
        </w:rPr>
        <w:fldChar w:fldCharType="begin"/>
      </w:r>
      <w:r>
        <w:rPr>
          <w:color w:val="auto"/>
        </w:rPr>
        <w:instrText xml:space="preserve"> REF _Ref487551211 \h  \* MERGEFORMAT </w:instrText>
      </w:r>
      <w:r>
        <w:rPr>
          <w:color w:val="auto"/>
        </w:rPr>
      </w:r>
      <w:r>
        <w:rPr>
          <w:color w:val="auto"/>
        </w:rPr>
        <w:fldChar w:fldCharType="separate"/>
      </w:r>
      <w:r w:rsidR="004D1D76" w:rsidRPr="004D1D76">
        <w:rPr>
          <w:color w:val="auto"/>
        </w:rPr>
        <w:t>Quadro 46</w:t>
      </w:r>
      <w:r>
        <w:rPr>
          <w:color w:val="auto"/>
        </w:rPr>
        <w:fldChar w:fldCharType="end"/>
      </w:r>
      <w:r>
        <w:rPr>
          <w:color w:val="auto"/>
        </w:rPr>
        <w:t xml:space="preserve">, </w:t>
      </w:r>
      <w:r w:rsidRPr="00DF4A2F">
        <w:rPr>
          <w:color w:val="auto"/>
        </w:rPr>
        <w:fldChar w:fldCharType="begin"/>
      </w:r>
      <w:r w:rsidRPr="00DF4A2F">
        <w:rPr>
          <w:color w:val="auto"/>
        </w:rPr>
        <w:instrText xml:space="preserve"> REF _Ref483560143 \h  \* MERGEFORMAT </w:instrText>
      </w:r>
      <w:r w:rsidRPr="00DF4A2F">
        <w:rPr>
          <w:color w:val="auto"/>
        </w:rPr>
      </w:r>
      <w:r w:rsidRPr="00DF4A2F">
        <w:rPr>
          <w:color w:val="auto"/>
        </w:rPr>
        <w:fldChar w:fldCharType="separate"/>
      </w:r>
      <w:r w:rsidR="004D1D76" w:rsidRPr="004D1D76">
        <w:rPr>
          <w:color w:val="auto"/>
        </w:rPr>
        <w:t>Quadro 47</w:t>
      </w:r>
      <w:r w:rsidRPr="00DF4A2F">
        <w:rPr>
          <w:color w:val="auto"/>
        </w:rPr>
        <w:fldChar w:fldCharType="end"/>
      </w:r>
      <w:r w:rsidRPr="00DF4A2F">
        <w:rPr>
          <w:color w:val="auto"/>
        </w:rPr>
        <w:t xml:space="preserve">, </w:t>
      </w:r>
      <w:r w:rsidRPr="00DF4A2F">
        <w:rPr>
          <w:color w:val="auto"/>
        </w:rPr>
        <w:fldChar w:fldCharType="begin"/>
      </w:r>
      <w:r w:rsidRPr="00DF4A2F">
        <w:rPr>
          <w:color w:val="auto"/>
        </w:rPr>
        <w:instrText xml:space="preserve"> REF _Ref483560150 \h  \* MERGEFORMAT </w:instrText>
      </w:r>
      <w:r w:rsidRPr="00DF4A2F">
        <w:rPr>
          <w:color w:val="auto"/>
        </w:rPr>
      </w:r>
      <w:r w:rsidRPr="00DF4A2F">
        <w:rPr>
          <w:color w:val="auto"/>
        </w:rPr>
        <w:fldChar w:fldCharType="separate"/>
      </w:r>
      <w:r w:rsidR="004D1D76" w:rsidRPr="004D1D76">
        <w:rPr>
          <w:color w:val="auto"/>
        </w:rPr>
        <w:t>Quadro 48</w:t>
      </w:r>
      <w:r w:rsidRPr="00DF4A2F">
        <w:rPr>
          <w:color w:val="auto"/>
        </w:rPr>
        <w:fldChar w:fldCharType="end"/>
      </w:r>
      <w:r w:rsidRPr="00DF4A2F">
        <w:rPr>
          <w:color w:val="auto"/>
        </w:rPr>
        <w:t xml:space="preserve">, </w:t>
      </w:r>
      <w:r w:rsidRPr="00DF4A2F">
        <w:rPr>
          <w:color w:val="auto"/>
        </w:rPr>
        <w:fldChar w:fldCharType="begin"/>
      </w:r>
      <w:r w:rsidRPr="00DF4A2F">
        <w:rPr>
          <w:color w:val="auto"/>
        </w:rPr>
        <w:instrText xml:space="preserve"> REF _Ref483560157 \h  \* MERGEFORMAT </w:instrText>
      </w:r>
      <w:r w:rsidRPr="00DF4A2F">
        <w:rPr>
          <w:color w:val="auto"/>
        </w:rPr>
      </w:r>
      <w:r w:rsidRPr="00DF4A2F">
        <w:rPr>
          <w:color w:val="auto"/>
        </w:rPr>
        <w:fldChar w:fldCharType="separate"/>
      </w:r>
      <w:r w:rsidR="004D1D76" w:rsidRPr="004D1D76">
        <w:rPr>
          <w:color w:val="auto"/>
        </w:rPr>
        <w:t>Quadro 49</w:t>
      </w:r>
      <w:r w:rsidRPr="00DF4A2F">
        <w:rPr>
          <w:color w:val="auto"/>
        </w:rPr>
        <w:fldChar w:fldCharType="end"/>
      </w:r>
      <w:r w:rsidRPr="00DF4A2F">
        <w:rPr>
          <w:color w:val="auto"/>
        </w:rPr>
        <w:t xml:space="preserve">, </w:t>
      </w:r>
      <w:r w:rsidRPr="00DF4A2F">
        <w:rPr>
          <w:color w:val="auto"/>
        </w:rPr>
        <w:fldChar w:fldCharType="begin"/>
      </w:r>
      <w:r w:rsidRPr="00DF4A2F">
        <w:rPr>
          <w:color w:val="auto"/>
        </w:rPr>
        <w:instrText xml:space="preserve"> REF _Ref483560169 \h  \* MERGEFORMAT </w:instrText>
      </w:r>
      <w:r w:rsidRPr="00DF4A2F">
        <w:rPr>
          <w:color w:val="auto"/>
        </w:rPr>
      </w:r>
      <w:r w:rsidRPr="00DF4A2F">
        <w:rPr>
          <w:color w:val="auto"/>
        </w:rPr>
        <w:fldChar w:fldCharType="separate"/>
      </w:r>
      <w:r w:rsidR="004D1D76" w:rsidRPr="004D1D76">
        <w:rPr>
          <w:color w:val="auto"/>
        </w:rPr>
        <w:t>Quadro 50</w:t>
      </w:r>
      <w:r w:rsidRPr="00DF4A2F">
        <w:rPr>
          <w:color w:val="auto"/>
        </w:rPr>
        <w:fldChar w:fldCharType="end"/>
      </w:r>
      <w:r w:rsidRPr="00DF4A2F">
        <w:rPr>
          <w:color w:val="auto"/>
        </w:rPr>
        <w:t xml:space="preserve">, </w:t>
      </w:r>
      <w:r w:rsidRPr="00DF4A2F">
        <w:rPr>
          <w:color w:val="auto"/>
        </w:rPr>
        <w:fldChar w:fldCharType="begin"/>
      </w:r>
      <w:r w:rsidRPr="00DF4A2F">
        <w:rPr>
          <w:color w:val="auto"/>
        </w:rPr>
        <w:instrText xml:space="preserve"> REF _Ref483560182 \h  \* MERGEFORMAT </w:instrText>
      </w:r>
      <w:r w:rsidRPr="00DF4A2F">
        <w:rPr>
          <w:color w:val="auto"/>
        </w:rPr>
      </w:r>
      <w:r w:rsidRPr="00DF4A2F">
        <w:rPr>
          <w:color w:val="auto"/>
        </w:rPr>
        <w:fldChar w:fldCharType="separate"/>
      </w:r>
      <w:r w:rsidR="004D1D76" w:rsidRPr="004D1D76">
        <w:rPr>
          <w:color w:val="auto"/>
        </w:rPr>
        <w:t>Quadro 51</w:t>
      </w:r>
      <w:r w:rsidRPr="00DF4A2F">
        <w:rPr>
          <w:color w:val="auto"/>
        </w:rPr>
        <w:fldChar w:fldCharType="end"/>
      </w:r>
      <w:r w:rsidRPr="00DF4A2F">
        <w:rPr>
          <w:color w:val="auto"/>
        </w:rPr>
        <w:t xml:space="preserve"> e </w:t>
      </w:r>
      <w:r w:rsidRPr="00DF4A2F">
        <w:rPr>
          <w:color w:val="auto"/>
        </w:rPr>
        <w:fldChar w:fldCharType="begin"/>
      </w:r>
      <w:r w:rsidRPr="00DF4A2F">
        <w:rPr>
          <w:color w:val="auto"/>
        </w:rPr>
        <w:instrText xml:space="preserve"> REF _Ref483560191 \h  \* MERGEFORMAT </w:instrText>
      </w:r>
      <w:r w:rsidRPr="00DF4A2F">
        <w:rPr>
          <w:color w:val="auto"/>
        </w:rPr>
      </w:r>
      <w:r w:rsidRPr="00DF4A2F">
        <w:rPr>
          <w:color w:val="auto"/>
        </w:rPr>
        <w:fldChar w:fldCharType="separate"/>
      </w:r>
      <w:r w:rsidR="004D1D76" w:rsidRPr="004D1D76">
        <w:rPr>
          <w:color w:val="auto"/>
        </w:rPr>
        <w:t>Quadro 52</w:t>
      </w:r>
      <w:r w:rsidRPr="00DF4A2F">
        <w:rPr>
          <w:color w:val="auto"/>
        </w:rPr>
        <w:fldChar w:fldCharType="end"/>
      </w:r>
      <w:r w:rsidRPr="00DF4A2F">
        <w:rPr>
          <w:color w:val="auto"/>
        </w:rPr>
        <w:t>).</w:t>
      </w:r>
    </w:p>
    <w:p w:rsidR="004D1D76" w:rsidRDefault="004D1D76" w:rsidP="00A87269">
      <w:pPr>
        <w:pStyle w:val="Default"/>
        <w:spacing w:line="360" w:lineRule="auto"/>
        <w:ind w:firstLine="709"/>
        <w:jc w:val="both"/>
        <w:rPr>
          <w:color w:val="auto"/>
        </w:rPr>
      </w:pPr>
    </w:p>
    <w:p w:rsidR="004D1D76" w:rsidRDefault="004D1D76" w:rsidP="00A87269">
      <w:pPr>
        <w:pStyle w:val="Default"/>
        <w:spacing w:line="360" w:lineRule="auto"/>
        <w:ind w:firstLine="709"/>
        <w:jc w:val="both"/>
        <w:rPr>
          <w:color w:val="auto"/>
        </w:rPr>
      </w:pPr>
    </w:p>
    <w:p w:rsidR="004D1D76" w:rsidRDefault="004D1D76" w:rsidP="00A87269">
      <w:pPr>
        <w:pStyle w:val="Default"/>
        <w:spacing w:line="360" w:lineRule="auto"/>
        <w:ind w:firstLine="709"/>
        <w:jc w:val="both"/>
        <w:rPr>
          <w:color w:val="auto"/>
        </w:rPr>
      </w:pPr>
    </w:p>
    <w:p w:rsidR="004D1D76" w:rsidRDefault="004D1D76" w:rsidP="00A87269">
      <w:pPr>
        <w:pStyle w:val="Default"/>
        <w:spacing w:line="360" w:lineRule="auto"/>
        <w:ind w:firstLine="709"/>
        <w:jc w:val="both"/>
        <w:rPr>
          <w:color w:val="auto"/>
        </w:rPr>
      </w:pPr>
    </w:p>
    <w:p w:rsidR="004D1D76" w:rsidRDefault="004D1D76" w:rsidP="00A87269">
      <w:pPr>
        <w:pStyle w:val="Default"/>
        <w:spacing w:line="360" w:lineRule="auto"/>
        <w:ind w:firstLine="709"/>
        <w:jc w:val="both"/>
        <w:rPr>
          <w:color w:val="auto"/>
        </w:rPr>
      </w:pPr>
    </w:p>
    <w:p w:rsidR="00A87269" w:rsidRPr="00DF4A2F" w:rsidRDefault="00A87269" w:rsidP="00A87269">
      <w:pPr>
        <w:pStyle w:val="Legenda"/>
      </w:pPr>
      <w:bookmarkStart w:id="466" w:name="_Ref483560116"/>
      <w:bookmarkStart w:id="467" w:name="_Toc488825057"/>
      <w:bookmarkStart w:id="468" w:name="_Toc493151594"/>
      <w:bookmarkStart w:id="469" w:name="_Toc497469165"/>
      <w:r w:rsidRPr="00DF4A2F">
        <w:lastRenderedPageBreak/>
        <w:t xml:space="preserve">Quadro </w:t>
      </w:r>
      <w:r w:rsidR="00D71C43">
        <w:fldChar w:fldCharType="begin"/>
      </w:r>
      <w:r w:rsidR="00D71C43">
        <w:instrText xml:space="preserve"> SEQ Quadro \* ARABIC </w:instrText>
      </w:r>
      <w:r w:rsidR="00D71C43">
        <w:fldChar w:fldCharType="separate"/>
      </w:r>
      <w:r w:rsidR="004D1D76">
        <w:rPr>
          <w:noProof/>
        </w:rPr>
        <w:t>44</w:t>
      </w:r>
      <w:r w:rsidR="00D71C43">
        <w:rPr>
          <w:noProof/>
        </w:rPr>
        <w:fldChar w:fldCharType="end"/>
      </w:r>
      <w:bookmarkEnd w:id="466"/>
      <w:r w:rsidRPr="00DF4A2F">
        <w:t xml:space="preserve"> </w:t>
      </w:r>
      <w:r w:rsidRPr="00DF4A2F">
        <w:rPr>
          <w:lang w:val="pt-BR"/>
        </w:rPr>
        <w:t>-</w:t>
      </w:r>
      <w:r w:rsidRPr="00DF4A2F">
        <w:t xml:space="preserve"> Resíduos de Serviço de Saúde – Classificação.</w:t>
      </w:r>
      <w:bookmarkEnd w:id="467"/>
      <w:bookmarkEnd w:id="468"/>
      <w:bookmarkEnd w:id="469"/>
    </w:p>
    <w:tbl>
      <w:tblPr>
        <w:tblW w:w="8755" w:type="dxa"/>
        <w:jc w:val="center"/>
        <w:tblBorders>
          <w:top w:val="single" w:sz="8" w:space="0" w:color="4F81BD"/>
          <w:bottom w:val="single" w:sz="8" w:space="0" w:color="4F81BD"/>
        </w:tblBorders>
        <w:tblLook w:val="04A0" w:firstRow="1" w:lastRow="0" w:firstColumn="1" w:lastColumn="0" w:noHBand="0" w:noVBand="1"/>
      </w:tblPr>
      <w:tblGrid>
        <w:gridCol w:w="8755"/>
      </w:tblGrid>
      <w:tr w:rsidR="00A87269" w:rsidRPr="00DF4A2F" w:rsidTr="00510FF9">
        <w:trPr>
          <w:cantSplit/>
          <w:tblHeade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contextualSpacing/>
              <w:rPr>
                <w:rFonts w:cs="Arial"/>
                <w:b/>
                <w:sz w:val="20"/>
                <w:szCs w:val="20"/>
                <w:lang w:eastAsia="pt-BR"/>
              </w:rPr>
            </w:pPr>
            <w:r w:rsidRPr="00DF4A2F">
              <w:rPr>
                <w:rFonts w:cs="Arial"/>
                <w:b/>
                <w:sz w:val="20"/>
                <w:szCs w:val="20"/>
                <w:lang w:eastAsia="pt-BR"/>
              </w:rPr>
              <w:t>Classificação dos RSS segundo a Resolução RDC nº 306 de 2004 e a Resolução CONAMA nº 358 de 2005.</w:t>
            </w:r>
          </w:p>
        </w:tc>
      </w:tr>
      <w:tr w:rsidR="00A87269" w:rsidRPr="00DF4A2F" w:rsidTr="00510FF9">
        <w:trPr>
          <w:cantSplit/>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cs="Arial"/>
                <w:sz w:val="20"/>
                <w:szCs w:val="20"/>
              </w:rPr>
            </w:pPr>
            <w:r w:rsidRPr="00DF4A2F">
              <w:rPr>
                <w:rFonts w:cs="Arial"/>
                <w:sz w:val="20"/>
                <w:szCs w:val="20"/>
              </w:rPr>
              <w:t>Grupo A1: Culturas e estoques de microrganismos, resíduos de fabricação de produtos biológicos, exceto os hemoderivados, descarte de vacinas de microrganismos vivos ou atenuados; meios de cultura e instrumentos utilizados na transferência, inoculação ou mistura de culturas, resíduos de laboratórios de manipulação genética, resíduos resultantes da atenção à saúde de indivíduos ou animais, com suspeita ou certeza de contaminação biológica ou cujo mecanismo de transmissão seja desconhecido, bolsas de transfusões contendo sangue ou hemocomponentes rejeitados por contaminação ou por má conservação com prazo de validade vencido e aquelas oriundas de coleta incompleta, sobras de amostras de laboratório contendo sangue ou líquidos corpóreos na forma livre.</w:t>
            </w:r>
          </w:p>
        </w:tc>
      </w:tr>
      <w:tr w:rsidR="00A87269" w:rsidRPr="00DF4A2F" w:rsidTr="00510FF9">
        <w:trPr>
          <w:cantSplit/>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rPr>
            </w:pPr>
            <w:r w:rsidRPr="00DF4A2F">
              <w:rPr>
                <w:rFonts w:cs="Arial"/>
                <w:sz w:val="20"/>
                <w:szCs w:val="20"/>
              </w:rPr>
              <w:t>Grupo A2: Carcaças, peças anatômicas, vísceras e outros resíduos provenientes de animais submetidos ao processo de experimentação com inoculação de microrganismos, bem como suas forrações, e os cadáveres dos animais suspeitos de serem portadores de microrganismos de relevância epidemiológica e com risco de disseminação, que foram submetidos ou não a estudo anatomopatológico ou confirmação diagnóstica.</w:t>
            </w:r>
          </w:p>
        </w:tc>
      </w:tr>
      <w:tr w:rsidR="00A87269" w:rsidRPr="00DF4A2F" w:rsidTr="00510FF9">
        <w:trPr>
          <w:cantSplit/>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MS Mincho" w:cs="Arial"/>
                <w:sz w:val="20"/>
                <w:szCs w:val="20"/>
              </w:rPr>
            </w:pPr>
            <w:r w:rsidRPr="00DF4A2F">
              <w:rPr>
                <w:rFonts w:cs="Arial"/>
                <w:sz w:val="20"/>
                <w:szCs w:val="20"/>
              </w:rPr>
              <w:t>Grupo A3: Peças anatômicas (membros) do ser humano; produto de fecundação sem sinais vitais, com peso menor que 500 g ou estatura menor que 25 centímetros ou idade gestacional menor que 20 semanas, que não tenham valor científico ou legal e não tenha havido requisição pelo paciente ou familiares.</w:t>
            </w:r>
          </w:p>
        </w:tc>
      </w:tr>
      <w:tr w:rsidR="00A87269" w:rsidRPr="00DF4A2F" w:rsidTr="00510FF9">
        <w:trPr>
          <w:cantSplit/>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rPr>
            </w:pPr>
            <w:r w:rsidRPr="00DF4A2F">
              <w:rPr>
                <w:rFonts w:cs="Arial"/>
                <w:sz w:val="20"/>
                <w:szCs w:val="20"/>
              </w:rPr>
              <w:t>Grupo A4: Kits de linhas arteriais, endovenosas de dialisadores, quando descartados, filtros de ar e gases aspirados de área contaminada; membrana filtrante de equipamento médico-hospitalar e de pesquisa, entre outros similares, sobras de amostras de laboratório e seus recipientes contendo fezes, urina e secreções, provenientes de pacientes que não contenham e nem sejam suspeitos de conter agentes classe de risco 4, e nem apresentar relevância epidemiológica e risco de disseminação, ou microrganismo causador de doença emergente que seja epidemiologicamente importante ou cujo mecanismo de transmissão seja desconhecido ou com suspeita de contaminação com príons, resíduos de tecido adiposo proveniente de lipoaspiração, lipoescultura ou outro procedimento de cirurgia plástica que gere este tipo de resíduo, recipientes e materiais resultantes do processo de assistência à saúde que não contenha sangue ou líquidos corpóreos na forma livre, peças anatômicas (órgãos e tecidos) e outros resíduos provenientes de procedimentos cirúrgicos ou de estudos anatomopatológicos ou de confirmação diagnóstica, carcaças, peças anatômicas, vísceras e outros resíduos provenientes de animais não submetidos a processos de experimentação com inoculação de microrganismos, bem como suas forrações, bolsas transfusionais vazias ou com volume residual pós-transfusão.</w:t>
            </w:r>
          </w:p>
        </w:tc>
      </w:tr>
      <w:tr w:rsidR="00A87269" w:rsidRPr="00DF4A2F" w:rsidTr="00510FF9">
        <w:trPr>
          <w:cantSplit/>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MS Mincho" w:cs="Arial"/>
                <w:sz w:val="20"/>
                <w:szCs w:val="20"/>
              </w:rPr>
            </w:pPr>
            <w:r w:rsidRPr="00DF4A2F">
              <w:rPr>
                <w:rFonts w:cs="Arial"/>
                <w:sz w:val="20"/>
                <w:szCs w:val="20"/>
              </w:rPr>
              <w:t>Grupo A5: Órgãos, tecidos, fluídos orgânicos, materiais perfurocortantes ou escarificantes e demais materiais resultantes da atenção à saúde de indivíduos, ou animais, com suspeita ou certeza de contaminação com príons.</w:t>
            </w:r>
          </w:p>
        </w:tc>
      </w:tr>
      <w:tr w:rsidR="00A87269" w:rsidRPr="00DF4A2F" w:rsidTr="00510FF9">
        <w:trPr>
          <w:cantSplit/>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autoSpaceDE w:val="0"/>
              <w:autoSpaceDN w:val="0"/>
              <w:adjustRightInd w:val="0"/>
              <w:spacing w:line="240" w:lineRule="auto"/>
              <w:rPr>
                <w:rFonts w:eastAsia="MS Mincho" w:cs="Arial"/>
                <w:sz w:val="20"/>
                <w:szCs w:val="20"/>
              </w:rPr>
            </w:pPr>
            <w:r w:rsidRPr="00DF4A2F">
              <w:rPr>
                <w:rFonts w:cs="Arial"/>
                <w:sz w:val="20"/>
                <w:szCs w:val="20"/>
              </w:rPr>
              <w:t>Grupo B: Produtos hormonais e produtos antimicrobianos; citostáticos; antineoplásicos, imunomoduladores, antirretrovirais, quando descartados por serviços de saúde, farmácias, drogarias e distribuidoras de medicamentos ou apreendidos e os resíduos e insumos farmacêuticos dos medicamentos controlados pela Portaria 344/98 e suas atualizações, resíduos de saneantes, desinfetante, resíduos contendo metais pesados; reagentes para laboratório, inclusive os recipientes contaminados por estes, efluentes de processadores de imagem (reveladores e fixadores), efluentes dos equipamentos automatizados utilizados em análises clínicas e demais produtos considerados perigosos, conforme classificação da NBR 10.004 da ABNT (tóxicos, corrosivos, inflamáveis e reativos).</w:t>
            </w:r>
          </w:p>
        </w:tc>
      </w:tr>
      <w:tr w:rsidR="00A87269" w:rsidRPr="00DF4A2F" w:rsidTr="00510FF9">
        <w:trPr>
          <w:cantSplit/>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autoSpaceDE w:val="0"/>
              <w:autoSpaceDN w:val="0"/>
              <w:adjustRightInd w:val="0"/>
              <w:spacing w:line="240" w:lineRule="auto"/>
              <w:rPr>
                <w:rFonts w:eastAsia="MS Mincho" w:cs="Arial"/>
                <w:sz w:val="20"/>
                <w:szCs w:val="20"/>
              </w:rPr>
            </w:pPr>
            <w:r w:rsidRPr="00DF4A2F">
              <w:rPr>
                <w:rFonts w:cs="Arial"/>
                <w:sz w:val="20"/>
                <w:szCs w:val="20"/>
              </w:rPr>
              <w:lastRenderedPageBreak/>
              <w:t>Grupo C: Quaisquer materiais resultantes de atividades humanas que contenham radionuclídeos em quantidades superiores aos limites de eliminação especificados nas normas da Comissão Nacional de Energia Nuclear - CNEN e para os quais a reutilização é imprópria ou não prevista. Enquadram-se neste grupo quaisquer materiais resultantes de laboratórios de pesquisa e ensino na área de saúde, laboratórios de análises clínicas e serviços de medicina nuclear e radioterapia que contenham radionuclídeos em quantidade superior aos limites de eliminação.</w:t>
            </w:r>
          </w:p>
        </w:tc>
      </w:tr>
      <w:tr w:rsidR="00A87269" w:rsidRPr="00DF4A2F" w:rsidTr="00510FF9">
        <w:trPr>
          <w:cantSplit/>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autoSpaceDE w:val="0"/>
              <w:autoSpaceDN w:val="0"/>
              <w:adjustRightInd w:val="0"/>
              <w:spacing w:line="240" w:lineRule="auto"/>
              <w:rPr>
                <w:rFonts w:eastAsia="MS Mincho" w:cs="Arial"/>
                <w:sz w:val="20"/>
                <w:szCs w:val="20"/>
              </w:rPr>
            </w:pPr>
            <w:r w:rsidRPr="00DF4A2F">
              <w:rPr>
                <w:rFonts w:cs="Arial"/>
                <w:sz w:val="20"/>
                <w:szCs w:val="20"/>
              </w:rPr>
              <w:t xml:space="preserve">Grupo D: Papel de uso sanitário, fralda, absorventes higiênicos, peças descartáveis do vestuário, resto alimentar do paciente, material utilizado em antissepsia e hemostasia de venóclises, equipos de soro e outros similares </w:t>
            </w:r>
            <w:r w:rsidRPr="00DF4A2F">
              <w:rPr>
                <w:rFonts w:cs="Arial"/>
                <w:sz w:val="20"/>
                <w:szCs w:val="20"/>
                <w:u w:val="single"/>
              </w:rPr>
              <w:t>não</w:t>
            </w:r>
            <w:r w:rsidRPr="00DF4A2F">
              <w:rPr>
                <w:rFonts w:cs="Arial"/>
                <w:sz w:val="20"/>
                <w:szCs w:val="20"/>
              </w:rPr>
              <w:t xml:space="preserve"> classificados como Grupo A1, sobras de alimentos e do preparo de alimentos, restos alimentares do refeitório, resíduos provenientes das áreas administrativas, resíduos de varrição, flores, podas e jardins, resíduos de gesso provenientes de assistência à saúde.</w:t>
            </w:r>
          </w:p>
        </w:tc>
      </w:tr>
      <w:tr w:rsidR="00A87269" w:rsidRPr="00DF4A2F" w:rsidTr="00510FF9">
        <w:trPr>
          <w:cantSplit/>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autoSpaceDE w:val="0"/>
              <w:autoSpaceDN w:val="0"/>
              <w:adjustRightInd w:val="0"/>
              <w:spacing w:line="240" w:lineRule="auto"/>
              <w:rPr>
                <w:rFonts w:eastAsia="MS Mincho" w:cs="Arial"/>
                <w:sz w:val="20"/>
                <w:szCs w:val="20"/>
              </w:rPr>
            </w:pPr>
            <w:r w:rsidRPr="00DF4A2F">
              <w:rPr>
                <w:rFonts w:cs="Arial"/>
                <w:sz w:val="20"/>
                <w:szCs w:val="20"/>
              </w:rPr>
              <w:t>Grupo E: Materiais perfurocortantes ou escarificantes, tais como: lâminas de barbear, agulhas, escalpes, ampolas de vidro, brocas, limas endodônticas, pontas diamantadas, lâminas de bisturi, lancetas; tubos capilares; micropipetas; lâminas e lamínulas; espátulas; e todos os utensílios de vidro quebrados no laboratório (pipetas, tubos de coleta sanguínea e placas de Petri) e outros similares.</w:t>
            </w:r>
          </w:p>
        </w:tc>
      </w:tr>
    </w:tbl>
    <w:p w:rsidR="00A87269" w:rsidRPr="00DF4A2F" w:rsidRDefault="00A87269" w:rsidP="00A87269">
      <w:pPr>
        <w:pStyle w:val="Legenda"/>
      </w:pPr>
      <w:bookmarkStart w:id="470" w:name="_Ref483560122"/>
      <w:bookmarkStart w:id="471" w:name="_Ref487126554"/>
      <w:bookmarkStart w:id="472" w:name="_Toc488825058"/>
      <w:bookmarkStart w:id="473" w:name="_Toc493151595"/>
      <w:bookmarkStart w:id="474" w:name="_Toc497469166"/>
      <w:r w:rsidRPr="00DF4A2F">
        <w:t xml:space="preserve">Quadro </w:t>
      </w:r>
      <w:r w:rsidR="00D71C43">
        <w:fldChar w:fldCharType="begin"/>
      </w:r>
      <w:r w:rsidR="00D71C43">
        <w:instrText xml:space="preserve"> SEQ Quadro \* ARABIC </w:instrText>
      </w:r>
      <w:r w:rsidR="00D71C43">
        <w:fldChar w:fldCharType="separate"/>
      </w:r>
      <w:r w:rsidR="004D1D76">
        <w:rPr>
          <w:noProof/>
        </w:rPr>
        <w:t>45</w:t>
      </w:r>
      <w:r w:rsidR="00D71C43">
        <w:rPr>
          <w:noProof/>
        </w:rPr>
        <w:fldChar w:fldCharType="end"/>
      </w:r>
      <w:bookmarkEnd w:id="470"/>
      <w:bookmarkEnd w:id="471"/>
      <w:r w:rsidRPr="00DF4A2F">
        <w:t xml:space="preserve"> </w:t>
      </w:r>
      <w:r w:rsidRPr="00DF4A2F">
        <w:rPr>
          <w:lang w:val="pt-BR"/>
        </w:rPr>
        <w:t>-</w:t>
      </w:r>
      <w:r w:rsidRPr="00DF4A2F">
        <w:t xml:space="preserve"> Resíduos de Serviço de Saúde – Símbolos de Identificação</w:t>
      </w:r>
      <w:bookmarkEnd w:id="472"/>
      <w:bookmarkEnd w:id="473"/>
      <w:bookmarkEnd w:id="474"/>
    </w:p>
    <w:tbl>
      <w:tblPr>
        <w:tblW w:w="0" w:type="auto"/>
        <w:jc w:val="center"/>
        <w:tblBorders>
          <w:top w:val="single" w:sz="8" w:space="0" w:color="4F81BD"/>
          <w:bottom w:val="single" w:sz="8" w:space="0" w:color="4F81BD"/>
        </w:tblBorders>
        <w:tblLook w:val="04A0" w:firstRow="1" w:lastRow="0" w:firstColumn="1" w:lastColumn="0" w:noHBand="0" w:noVBand="1"/>
      </w:tblPr>
      <w:tblGrid>
        <w:gridCol w:w="9570"/>
      </w:tblGrid>
      <w:tr w:rsidR="00A87269" w:rsidRPr="00DF4A2F" w:rsidTr="002828C8">
        <w:trPr>
          <w:cantSplit/>
          <w:tblHeader/>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contextualSpacing/>
              <w:rPr>
                <w:rFonts w:cs="Arial"/>
                <w:b/>
                <w:sz w:val="20"/>
                <w:szCs w:val="20"/>
                <w:lang w:eastAsia="pt-BR"/>
              </w:rPr>
            </w:pPr>
            <w:r w:rsidRPr="00DF4A2F">
              <w:rPr>
                <w:rFonts w:cs="Arial"/>
                <w:b/>
                <w:sz w:val="20"/>
                <w:szCs w:val="20"/>
                <w:lang w:eastAsia="pt-BR"/>
              </w:rPr>
              <w:t>Símbolos de identificação dos RSS segundo a Resolução RDC nº 306 de 2004</w:t>
            </w:r>
          </w:p>
        </w:tc>
      </w:tr>
      <w:tr w:rsidR="00A87269" w:rsidRPr="00DF4A2F" w:rsidTr="002828C8">
        <w:trPr>
          <w:cantSplit/>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contextualSpacing/>
              <w:rPr>
                <w:rFonts w:cs="Arial"/>
                <w:sz w:val="20"/>
                <w:szCs w:val="20"/>
                <w:lang w:eastAsia="pt-BR"/>
              </w:rPr>
            </w:pPr>
            <w:r w:rsidRPr="00DF4A2F">
              <w:rPr>
                <w:rFonts w:cs="Arial"/>
                <w:sz w:val="20"/>
                <w:szCs w:val="20"/>
                <w:lang w:eastAsia="pt-BR"/>
              </w:rPr>
              <w:t>Os resíduos do Grupo A, de risco infectante</w:t>
            </w:r>
            <w:r w:rsidR="00E82DE6">
              <w:rPr>
                <w:rFonts w:cs="Arial"/>
                <w:sz w:val="20"/>
                <w:szCs w:val="20"/>
                <w:lang w:eastAsia="pt-BR"/>
              </w:rPr>
              <w:t>,</w:t>
            </w:r>
            <w:r w:rsidRPr="00DF4A2F">
              <w:rPr>
                <w:rFonts w:cs="Arial"/>
                <w:sz w:val="20"/>
                <w:szCs w:val="20"/>
                <w:lang w:eastAsia="pt-BR"/>
              </w:rPr>
              <w:t xml:space="preserve"> são identificados com o símbolo de substância INFECTANTE com desenho e contornos pretos em rótulo branco.</w:t>
            </w:r>
          </w:p>
        </w:tc>
      </w:tr>
      <w:tr w:rsidR="00A87269" w:rsidRPr="00DF4A2F" w:rsidTr="002828C8">
        <w:trPr>
          <w:cantSplit/>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rPr>
            </w:pPr>
            <w:r w:rsidRPr="00DF4A2F">
              <w:rPr>
                <w:rFonts w:cs="Arial"/>
                <w:sz w:val="20"/>
                <w:szCs w:val="20"/>
                <w:lang w:eastAsia="pt-BR"/>
              </w:rPr>
              <w:t>Os resíduos do Grupo B, de risco químico</w:t>
            </w:r>
            <w:r w:rsidR="00E82DE6">
              <w:rPr>
                <w:rFonts w:cs="Arial"/>
                <w:sz w:val="20"/>
                <w:szCs w:val="20"/>
                <w:lang w:eastAsia="pt-BR"/>
              </w:rPr>
              <w:t>,</w:t>
            </w:r>
            <w:r w:rsidRPr="00DF4A2F">
              <w:rPr>
                <w:rFonts w:cs="Arial"/>
                <w:sz w:val="20"/>
                <w:szCs w:val="20"/>
                <w:lang w:eastAsia="pt-BR"/>
              </w:rPr>
              <w:t xml:space="preserve"> são identificados com o símbolo de RISCO com discriminação de substancia química e frases de risco.</w:t>
            </w:r>
          </w:p>
        </w:tc>
      </w:tr>
      <w:tr w:rsidR="00A87269" w:rsidRPr="00DF4A2F" w:rsidTr="002828C8">
        <w:trPr>
          <w:cantSplit/>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MS Mincho" w:cs="Arial"/>
                <w:sz w:val="20"/>
                <w:szCs w:val="20"/>
                <w:lang w:eastAsia="pt-BR"/>
              </w:rPr>
            </w:pPr>
            <w:r w:rsidRPr="00DF4A2F">
              <w:rPr>
                <w:rFonts w:cs="Arial"/>
                <w:sz w:val="20"/>
                <w:szCs w:val="20"/>
                <w:lang w:eastAsia="pt-BR"/>
              </w:rPr>
              <w:t>O descarte de pilhas, baterias e acumuladores de carga contendo Chumbo (Pb), Cádmio (Cd) e Mercúrio (Hg) e seus compostos, deve ser feito de acordo com a Resolução CONAMA nº. 257/1999.</w:t>
            </w:r>
          </w:p>
        </w:tc>
      </w:tr>
      <w:tr w:rsidR="00A87269" w:rsidRPr="00DF4A2F" w:rsidTr="002828C8">
        <w:trPr>
          <w:cantSplit/>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lang w:eastAsia="pt-BR"/>
              </w:rPr>
            </w:pPr>
            <w:r w:rsidRPr="00DF4A2F">
              <w:rPr>
                <w:rFonts w:cs="Arial"/>
                <w:sz w:val="20"/>
                <w:szCs w:val="20"/>
                <w:lang w:eastAsia="pt-BR"/>
              </w:rPr>
              <w:t>Os resíduos do Grupo C, de risco radioativo</w:t>
            </w:r>
            <w:r w:rsidR="00E82DE6">
              <w:rPr>
                <w:rFonts w:cs="Arial"/>
                <w:sz w:val="20"/>
                <w:szCs w:val="20"/>
                <w:lang w:eastAsia="pt-BR"/>
              </w:rPr>
              <w:t>,</w:t>
            </w:r>
            <w:r w:rsidRPr="00DF4A2F">
              <w:rPr>
                <w:rFonts w:cs="Arial"/>
                <w:sz w:val="20"/>
                <w:szCs w:val="20"/>
                <w:lang w:eastAsia="pt-BR"/>
              </w:rPr>
              <w:t xml:space="preserve"> são identificados pelo símbolo internacional de presença de IRRADIAÇÃO IONIZANTE (trifólio de cor magenta) em rótulos de fundo amarelo e contornos pretos, acrescidos da expressão REJEITO RADIOATIVO.</w:t>
            </w:r>
          </w:p>
        </w:tc>
      </w:tr>
      <w:tr w:rsidR="00A87269" w:rsidRPr="00DF4A2F" w:rsidTr="002828C8">
        <w:trPr>
          <w:cantSplit/>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MS Mincho" w:cs="Arial"/>
                <w:sz w:val="20"/>
                <w:szCs w:val="20"/>
                <w:lang w:eastAsia="pt-BR"/>
              </w:rPr>
            </w:pPr>
            <w:r>
              <w:rPr>
                <w:rFonts w:cs="Arial"/>
                <w:sz w:val="20"/>
                <w:szCs w:val="20"/>
                <w:lang w:eastAsia="pt-BR"/>
              </w:rPr>
              <w:t>Os resíduos do Grupo D</w:t>
            </w:r>
            <w:r w:rsidR="00E82DE6">
              <w:rPr>
                <w:rFonts w:cs="Arial"/>
                <w:sz w:val="20"/>
                <w:szCs w:val="20"/>
                <w:lang w:eastAsia="pt-BR"/>
              </w:rPr>
              <w:t>,</w:t>
            </w:r>
            <w:r w:rsidRPr="00DF4A2F">
              <w:rPr>
                <w:rFonts w:cs="Arial"/>
                <w:sz w:val="20"/>
                <w:szCs w:val="20"/>
                <w:lang w:eastAsia="pt-BR"/>
              </w:rPr>
              <w:t xml:space="preserve"> de risco comum</w:t>
            </w:r>
            <w:r w:rsidR="00E82DE6">
              <w:rPr>
                <w:rFonts w:cs="Arial"/>
                <w:sz w:val="20"/>
                <w:szCs w:val="20"/>
                <w:lang w:eastAsia="pt-BR"/>
              </w:rPr>
              <w:t>,</w:t>
            </w:r>
            <w:r w:rsidRPr="00DF4A2F">
              <w:rPr>
                <w:rFonts w:cs="Arial"/>
                <w:sz w:val="20"/>
                <w:szCs w:val="20"/>
                <w:lang w:eastAsia="pt-BR"/>
              </w:rPr>
              <w:t xml:space="preserve"> são identificados com a relação de grupos, recipientes e cores estabelecida pela resolução CONAMA 275 de 2001, ou seja, cor azul para PAPÉIS, cor amarela para METAIS, cor verde para VIDROS, cor vermelha para PLÁSTICOS e cor marrom para RESIDUOS ORGÂNICOS.</w:t>
            </w:r>
          </w:p>
        </w:tc>
      </w:tr>
      <w:tr w:rsidR="00A87269" w:rsidRPr="00DF4A2F" w:rsidTr="002828C8">
        <w:trPr>
          <w:cantSplit/>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lang w:eastAsia="pt-BR"/>
              </w:rPr>
            </w:pPr>
            <w:r w:rsidRPr="00DF4A2F">
              <w:rPr>
                <w:rFonts w:cs="Arial"/>
                <w:sz w:val="20"/>
                <w:szCs w:val="20"/>
                <w:lang w:eastAsia="pt-BR"/>
              </w:rPr>
              <w:t>Os resíduos do Grupo E, de risco perfurocortante</w:t>
            </w:r>
            <w:r w:rsidR="00E82DE6">
              <w:rPr>
                <w:rFonts w:cs="Arial"/>
                <w:sz w:val="20"/>
                <w:szCs w:val="20"/>
                <w:lang w:eastAsia="pt-BR"/>
              </w:rPr>
              <w:t>,</w:t>
            </w:r>
            <w:r w:rsidRPr="00DF4A2F">
              <w:rPr>
                <w:rFonts w:cs="Arial"/>
                <w:sz w:val="20"/>
                <w:szCs w:val="20"/>
                <w:lang w:eastAsia="pt-BR"/>
              </w:rPr>
              <w:t xml:space="preserve"> são identificados com o símbolo de substância INFECTANTE com desenho e contornos pretos em rótulo branco.</w:t>
            </w:r>
          </w:p>
        </w:tc>
      </w:tr>
      <w:tr w:rsidR="00A87269" w:rsidRPr="00DF4A2F" w:rsidTr="002828C8">
        <w:trPr>
          <w:cantSplit/>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MS Mincho" w:cs="Arial"/>
                <w:sz w:val="20"/>
                <w:szCs w:val="20"/>
              </w:rPr>
            </w:pPr>
            <w:r w:rsidRPr="00DF4A2F">
              <w:rPr>
                <w:rFonts w:cs="Arial"/>
                <w:sz w:val="20"/>
                <w:szCs w:val="20"/>
              </w:rPr>
              <w:t xml:space="preserve">O transporte e armazenando dos resíduos deverão ser devidamente identificados com símbolos de identificação segundo especificações da NBR-7500. </w:t>
            </w:r>
          </w:p>
        </w:tc>
      </w:tr>
    </w:tbl>
    <w:p w:rsidR="00A87269" w:rsidRPr="00DF4A2F" w:rsidRDefault="00A87269" w:rsidP="00A87269">
      <w:pPr>
        <w:pStyle w:val="Legenda"/>
      </w:pPr>
      <w:bookmarkStart w:id="475" w:name="_Ref483560134"/>
      <w:bookmarkStart w:id="476" w:name="_Ref487551211"/>
      <w:bookmarkStart w:id="477" w:name="_Toc488825059"/>
      <w:bookmarkStart w:id="478" w:name="_Toc493151596"/>
      <w:bookmarkStart w:id="479" w:name="_Toc497469167"/>
      <w:r w:rsidRPr="00DF4A2F">
        <w:t xml:space="preserve">Quadro </w:t>
      </w:r>
      <w:r w:rsidR="00D71C43">
        <w:fldChar w:fldCharType="begin"/>
      </w:r>
      <w:r w:rsidR="00D71C43">
        <w:instrText xml:space="preserve"> SEQ Quadro \* ARABIC </w:instrText>
      </w:r>
      <w:r w:rsidR="00D71C43">
        <w:fldChar w:fldCharType="separate"/>
      </w:r>
      <w:r w:rsidR="004D1D76">
        <w:rPr>
          <w:noProof/>
        </w:rPr>
        <w:t>46</w:t>
      </w:r>
      <w:r w:rsidR="00D71C43">
        <w:rPr>
          <w:noProof/>
        </w:rPr>
        <w:fldChar w:fldCharType="end"/>
      </w:r>
      <w:bookmarkEnd w:id="475"/>
      <w:bookmarkEnd w:id="476"/>
      <w:r w:rsidRPr="00DF4A2F">
        <w:t xml:space="preserve"> </w:t>
      </w:r>
      <w:r w:rsidRPr="00DF4A2F">
        <w:rPr>
          <w:lang w:val="pt-BR"/>
        </w:rPr>
        <w:t>-</w:t>
      </w:r>
      <w:r w:rsidRPr="00DF4A2F">
        <w:t xml:space="preserve"> Resíduos de Serviço de Saúde – Regras de Acondicionamento</w:t>
      </w:r>
      <w:bookmarkEnd w:id="477"/>
      <w:bookmarkEnd w:id="478"/>
      <w:bookmarkEnd w:id="479"/>
    </w:p>
    <w:tbl>
      <w:tblPr>
        <w:tblW w:w="8755" w:type="dxa"/>
        <w:jc w:val="center"/>
        <w:tblBorders>
          <w:top w:val="single" w:sz="8" w:space="0" w:color="4F81BD"/>
          <w:bottom w:val="single" w:sz="8" w:space="0" w:color="4F81BD"/>
        </w:tblBorders>
        <w:tblLook w:val="04A0" w:firstRow="1" w:lastRow="0" w:firstColumn="1" w:lastColumn="0" w:noHBand="0" w:noVBand="1"/>
      </w:tblPr>
      <w:tblGrid>
        <w:gridCol w:w="8755"/>
      </w:tblGrid>
      <w:tr w:rsidR="00A87269" w:rsidRPr="00DF4A2F" w:rsidTr="00510FF9">
        <w:trPr>
          <w:tblHeade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contextualSpacing/>
              <w:rPr>
                <w:rFonts w:cs="Arial"/>
                <w:b/>
                <w:sz w:val="20"/>
                <w:szCs w:val="20"/>
                <w:lang w:eastAsia="pt-BR"/>
              </w:rPr>
            </w:pPr>
            <w:r w:rsidRPr="00DF4A2F">
              <w:rPr>
                <w:rFonts w:cs="Arial"/>
                <w:b/>
                <w:sz w:val="20"/>
                <w:szCs w:val="20"/>
                <w:lang w:eastAsia="pt-BR"/>
              </w:rPr>
              <w:t>Acondicionamento dos RSS segundo a Resolução RDC nº 306 de 2004</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contextualSpacing/>
              <w:rPr>
                <w:rFonts w:cs="Arial"/>
                <w:sz w:val="20"/>
                <w:szCs w:val="20"/>
                <w:lang w:eastAsia="pt-BR"/>
              </w:rPr>
            </w:pPr>
            <w:r w:rsidRPr="00DF4A2F">
              <w:rPr>
                <w:rFonts w:cs="Arial"/>
                <w:sz w:val="20"/>
                <w:szCs w:val="20"/>
                <w:lang w:eastAsia="pt-BR"/>
              </w:rPr>
              <w:t>Os resíduos do Grupo A, de risco infectante</w:t>
            </w:r>
            <w:r w:rsidR="00E82DE6">
              <w:rPr>
                <w:rFonts w:cs="Arial"/>
                <w:sz w:val="20"/>
                <w:szCs w:val="20"/>
                <w:lang w:eastAsia="pt-BR"/>
              </w:rPr>
              <w:t>,</w:t>
            </w:r>
            <w:r w:rsidRPr="00DF4A2F">
              <w:rPr>
                <w:rFonts w:cs="Arial"/>
                <w:sz w:val="20"/>
                <w:szCs w:val="20"/>
                <w:lang w:eastAsia="pt-BR"/>
              </w:rPr>
              <w:t xml:space="preserve"> são acondicionados em saco de cor branco leitoso.</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rPr>
            </w:pPr>
            <w:r w:rsidRPr="00DF4A2F">
              <w:rPr>
                <w:rFonts w:cs="Arial"/>
                <w:sz w:val="20"/>
                <w:szCs w:val="20"/>
                <w:lang w:eastAsia="pt-BR"/>
              </w:rPr>
              <w:t>Os resíduos do Grupo B, de risco químico</w:t>
            </w:r>
            <w:r w:rsidR="00E82DE6">
              <w:rPr>
                <w:rFonts w:cs="Arial"/>
                <w:sz w:val="20"/>
                <w:szCs w:val="20"/>
                <w:lang w:eastAsia="pt-BR"/>
              </w:rPr>
              <w:t>,</w:t>
            </w:r>
            <w:r w:rsidRPr="00DF4A2F">
              <w:rPr>
                <w:rFonts w:cs="Arial"/>
                <w:sz w:val="20"/>
                <w:szCs w:val="20"/>
                <w:lang w:eastAsia="pt-BR"/>
              </w:rPr>
              <w:t xml:space="preserve"> são acondicionados em saco de cor laranja.</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MS Mincho" w:cs="Arial"/>
                <w:sz w:val="20"/>
                <w:szCs w:val="20"/>
                <w:lang w:eastAsia="pt-BR"/>
              </w:rPr>
            </w:pPr>
            <w:r w:rsidRPr="00DF4A2F">
              <w:rPr>
                <w:rFonts w:cs="Arial"/>
                <w:sz w:val="20"/>
                <w:szCs w:val="20"/>
                <w:lang w:eastAsia="pt-BR"/>
              </w:rPr>
              <w:t>Os resíduos do Grupo C, de risco radioativo</w:t>
            </w:r>
            <w:r w:rsidR="00E82DE6">
              <w:rPr>
                <w:rFonts w:cs="Arial"/>
                <w:sz w:val="20"/>
                <w:szCs w:val="20"/>
                <w:lang w:eastAsia="pt-BR"/>
              </w:rPr>
              <w:t>,</w:t>
            </w:r>
            <w:r w:rsidRPr="00DF4A2F">
              <w:rPr>
                <w:rFonts w:cs="Arial"/>
                <w:sz w:val="20"/>
                <w:szCs w:val="20"/>
                <w:lang w:eastAsia="pt-BR"/>
              </w:rPr>
              <w:t xml:space="preserve"> são acondicionados em saco de cor magenta.</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lang w:eastAsia="pt-BR"/>
              </w:rPr>
            </w:pPr>
            <w:r>
              <w:rPr>
                <w:rFonts w:cs="Arial"/>
                <w:sz w:val="20"/>
                <w:szCs w:val="20"/>
                <w:lang w:eastAsia="pt-BR"/>
              </w:rPr>
              <w:t>Os resíduos do Grupo D</w:t>
            </w:r>
            <w:r w:rsidR="00E82DE6">
              <w:rPr>
                <w:rFonts w:cs="Arial"/>
                <w:sz w:val="20"/>
                <w:szCs w:val="20"/>
                <w:lang w:eastAsia="pt-BR"/>
              </w:rPr>
              <w:t>,</w:t>
            </w:r>
            <w:r w:rsidRPr="00DF4A2F">
              <w:rPr>
                <w:rFonts w:cs="Arial"/>
                <w:sz w:val="20"/>
                <w:szCs w:val="20"/>
                <w:lang w:eastAsia="pt-BR"/>
              </w:rPr>
              <w:t xml:space="preserve"> de risco comum</w:t>
            </w:r>
            <w:r w:rsidR="00E82DE6">
              <w:rPr>
                <w:rFonts w:cs="Arial"/>
                <w:sz w:val="20"/>
                <w:szCs w:val="20"/>
                <w:lang w:eastAsia="pt-BR"/>
              </w:rPr>
              <w:t>,</w:t>
            </w:r>
            <w:r w:rsidRPr="00DF4A2F">
              <w:rPr>
                <w:rFonts w:cs="Arial"/>
                <w:sz w:val="20"/>
                <w:szCs w:val="20"/>
                <w:lang w:eastAsia="pt-BR"/>
              </w:rPr>
              <w:t xml:space="preserve"> são acondicionados em recipientes segundo a resolução CONAMA 275 de 2001, ou seja, cor azul para PAPÉIS, cor amarela para METAIS, cor verde para VIDROS, cor vermelha para PLÁSTICOS e cor marrom para RESIDUOS ORGÂNICOS.</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MS Mincho" w:cs="Arial"/>
                <w:sz w:val="20"/>
                <w:szCs w:val="20"/>
                <w:lang w:eastAsia="pt-BR"/>
              </w:rPr>
            </w:pPr>
            <w:r w:rsidRPr="00DF4A2F">
              <w:rPr>
                <w:rFonts w:cs="Arial"/>
                <w:sz w:val="20"/>
                <w:szCs w:val="20"/>
                <w:lang w:eastAsia="pt-BR"/>
              </w:rPr>
              <w:t>Os resíduos do Grupo E, de risco perfurocortante</w:t>
            </w:r>
            <w:r w:rsidR="00E82DE6">
              <w:rPr>
                <w:rFonts w:cs="Arial"/>
                <w:sz w:val="20"/>
                <w:szCs w:val="20"/>
                <w:lang w:eastAsia="pt-BR"/>
              </w:rPr>
              <w:t>,</w:t>
            </w:r>
            <w:r w:rsidRPr="00DF4A2F">
              <w:rPr>
                <w:rFonts w:cs="Arial"/>
                <w:sz w:val="20"/>
                <w:szCs w:val="20"/>
                <w:lang w:eastAsia="pt-BR"/>
              </w:rPr>
              <w:t xml:space="preserve"> são acondicionados em caixa rígida específica.</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lang w:eastAsia="pt-BR"/>
              </w:rPr>
            </w:pPr>
            <w:r w:rsidRPr="00DF4A2F">
              <w:rPr>
                <w:rFonts w:cs="Arial"/>
                <w:sz w:val="20"/>
                <w:szCs w:val="20"/>
                <w:lang w:eastAsia="pt-BR"/>
              </w:rPr>
              <w:t xml:space="preserve">O material utilizado para o acondicionamento dos resíduos deverá se resistente à ruptura e vazamento, impermeável, estando de acordo com a NBR 9191/2000 da ABNT. </w:t>
            </w:r>
          </w:p>
        </w:tc>
      </w:tr>
    </w:tbl>
    <w:p w:rsidR="00A87269" w:rsidRPr="00DF4A2F" w:rsidRDefault="00A87269" w:rsidP="00A87269">
      <w:pPr>
        <w:pStyle w:val="Legenda"/>
      </w:pPr>
      <w:bookmarkStart w:id="480" w:name="_Ref483560143"/>
      <w:bookmarkStart w:id="481" w:name="_Toc488825060"/>
      <w:bookmarkStart w:id="482" w:name="_Toc493151597"/>
      <w:bookmarkStart w:id="483" w:name="_Toc497469168"/>
      <w:r w:rsidRPr="00DF4A2F">
        <w:lastRenderedPageBreak/>
        <w:t xml:space="preserve">Quadro </w:t>
      </w:r>
      <w:r w:rsidR="00D71C43">
        <w:fldChar w:fldCharType="begin"/>
      </w:r>
      <w:r w:rsidR="00D71C43">
        <w:instrText xml:space="preserve"> SEQ Quadro \* ARABIC </w:instrText>
      </w:r>
      <w:r w:rsidR="00D71C43">
        <w:fldChar w:fldCharType="separate"/>
      </w:r>
      <w:r w:rsidR="004D1D76">
        <w:rPr>
          <w:noProof/>
        </w:rPr>
        <w:t>47</w:t>
      </w:r>
      <w:r w:rsidR="00D71C43">
        <w:rPr>
          <w:noProof/>
        </w:rPr>
        <w:fldChar w:fldCharType="end"/>
      </w:r>
      <w:bookmarkEnd w:id="480"/>
      <w:r w:rsidRPr="00DF4A2F">
        <w:t xml:space="preserve"> </w:t>
      </w:r>
      <w:r w:rsidRPr="00DF4A2F">
        <w:rPr>
          <w:lang w:val="pt-BR"/>
        </w:rPr>
        <w:t>-</w:t>
      </w:r>
      <w:r w:rsidRPr="00DF4A2F">
        <w:t xml:space="preserve"> Resíduos de Serviço de Saúde – Regras de Coleta e Transporte.</w:t>
      </w:r>
      <w:bookmarkEnd w:id="481"/>
      <w:bookmarkEnd w:id="482"/>
      <w:bookmarkEnd w:id="483"/>
    </w:p>
    <w:tbl>
      <w:tblPr>
        <w:tblW w:w="8755" w:type="dxa"/>
        <w:jc w:val="center"/>
        <w:tblBorders>
          <w:top w:val="single" w:sz="8" w:space="0" w:color="4F81BD"/>
          <w:bottom w:val="single" w:sz="8" w:space="0" w:color="4F81BD"/>
        </w:tblBorders>
        <w:tblLook w:val="04A0" w:firstRow="1" w:lastRow="0" w:firstColumn="1" w:lastColumn="0" w:noHBand="0" w:noVBand="1"/>
      </w:tblPr>
      <w:tblGrid>
        <w:gridCol w:w="8755"/>
      </w:tblGrid>
      <w:tr w:rsidR="00A87269" w:rsidRPr="00DF4A2F" w:rsidTr="00510FF9">
        <w:trPr>
          <w:cantSplit/>
          <w:tblHeade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contextualSpacing/>
              <w:rPr>
                <w:rFonts w:cs="Arial"/>
                <w:b/>
                <w:sz w:val="20"/>
                <w:szCs w:val="20"/>
                <w:lang w:eastAsia="pt-BR"/>
              </w:rPr>
            </w:pPr>
            <w:r w:rsidRPr="00DF4A2F">
              <w:rPr>
                <w:rFonts w:cs="Arial"/>
                <w:b/>
                <w:sz w:val="20"/>
                <w:szCs w:val="20"/>
                <w:lang w:eastAsia="pt-BR"/>
              </w:rPr>
              <w:t>Regras de coleta e transporte dos RSS segundo a Resolução RDC nº 306 de 2004</w:t>
            </w:r>
          </w:p>
        </w:tc>
      </w:tr>
      <w:tr w:rsidR="00A87269" w:rsidRPr="00DF4A2F" w:rsidTr="00510FF9">
        <w:trPr>
          <w:cantSplit/>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contextualSpacing/>
              <w:rPr>
                <w:rFonts w:cs="Arial"/>
                <w:sz w:val="20"/>
                <w:szCs w:val="20"/>
                <w:lang w:eastAsia="pt-BR"/>
              </w:rPr>
            </w:pPr>
            <w:r w:rsidRPr="00DF4A2F">
              <w:rPr>
                <w:rFonts w:cs="Arial"/>
                <w:sz w:val="20"/>
                <w:szCs w:val="20"/>
                <w:lang w:eastAsia="pt-BR"/>
              </w:rPr>
              <w:t xml:space="preserve">A coleta pode ser entendida como interna ou externa. A coleta interna consiste no fechamento e recolhimento dos sacos e recipientes de resíduos, e no seu transporte até o local de armazenamento temporário ou armazenamento externo, onde deverão estar alocados para a coleta externa. </w:t>
            </w:r>
          </w:p>
        </w:tc>
      </w:tr>
      <w:tr w:rsidR="00A87269" w:rsidRPr="00DF4A2F" w:rsidTr="00510FF9">
        <w:trPr>
          <w:cantSplit/>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contextualSpacing/>
              <w:rPr>
                <w:rFonts w:eastAsia="MS Mincho" w:cs="Arial"/>
                <w:sz w:val="20"/>
                <w:szCs w:val="20"/>
                <w:lang w:eastAsia="pt-BR"/>
              </w:rPr>
            </w:pPr>
            <w:r w:rsidRPr="00DF4A2F">
              <w:rPr>
                <w:rFonts w:cs="Arial"/>
                <w:sz w:val="20"/>
                <w:szCs w:val="20"/>
                <w:lang w:eastAsia="pt-BR"/>
              </w:rPr>
              <w:t>A coleta externa consiste em apanhar os resíduos armazenados e transporta-los para o tratamento e disposição final adequados.</w:t>
            </w:r>
          </w:p>
        </w:tc>
      </w:tr>
      <w:tr w:rsidR="00A87269" w:rsidRPr="00DF4A2F" w:rsidTr="00510FF9">
        <w:trPr>
          <w:cantSplit/>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contextualSpacing/>
              <w:rPr>
                <w:rFonts w:eastAsia="MS Mincho" w:cs="Arial"/>
                <w:sz w:val="20"/>
                <w:szCs w:val="20"/>
                <w:lang w:eastAsia="pt-BR"/>
              </w:rPr>
            </w:pPr>
            <w:r w:rsidRPr="00DF4A2F">
              <w:rPr>
                <w:rFonts w:cs="Arial"/>
                <w:sz w:val="20"/>
                <w:szCs w:val="20"/>
                <w:lang w:eastAsia="pt-BR"/>
              </w:rPr>
              <w:t>O transporte consiste na retirada dos resíduos de serviço de saúde desde seu armazenamento externo até a central de tratamento ou disposição final. Os serviços de transporte devem devidamente regulamentados e fiscalizados pelo poder municipal ou estadual, independente do serviço de transporte ser privado ou público.</w:t>
            </w:r>
          </w:p>
        </w:tc>
      </w:tr>
      <w:tr w:rsidR="00A87269" w:rsidRPr="00DF4A2F" w:rsidTr="00510FF9">
        <w:trPr>
          <w:cantSplit/>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rPr>
            </w:pPr>
            <w:r w:rsidRPr="00DF4A2F">
              <w:rPr>
                <w:rFonts w:cs="Arial"/>
                <w:sz w:val="20"/>
                <w:szCs w:val="20"/>
              </w:rPr>
              <w:t xml:space="preserve">Os veículos utilizados para coleta e transporte externo dos resíduos de serviços de saúde devem atender às exigências legais e às normas da ABNT. </w:t>
            </w:r>
          </w:p>
        </w:tc>
      </w:tr>
      <w:tr w:rsidR="00A87269" w:rsidRPr="00DF4A2F" w:rsidTr="00510FF9">
        <w:trPr>
          <w:cantSplit/>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MS Mincho" w:cs="Arial"/>
                <w:sz w:val="20"/>
                <w:szCs w:val="20"/>
              </w:rPr>
            </w:pPr>
            <w:r w:rsidRPr="00DF4A2F">
              <w:rPr>
                <w:rFonts w:cs="Arial"/>
                <w:sz w:val="20"/>
                <w:szCs w:val="20"/>
              </w:rPr>
              <w:t>As características originais de acondicionamento devem ser mantidas, não se permitindo abertura, rompimento ou transferência do conteúdo de uma embalagem para outra durante o processo de coleta e transporte.</w:t>
            </w:r>
          </w:p>
        </w:tc>
      </w:tr>
    </w:tbl>
    <w:p w:rsidR="00A87269" w:rsidRPr="00DF4A2F" w:rsidRDefault="00A87269" w:rsidP="00A87269">
      <w:pPr>
        <w:pStyle w:val="Legenda"/>
      </w:pPr>
      <w:bookmarkStart w:id="484" w:name="_Ref483560150"/>
      <w:bookmarkStart w:id="485" w:name="_Toc488825061"/>
      <w:bookmarkStart w:id="486" w:name="_Toc493151598"/>
      <w:bookmarkStart w:id="487" w:name="_Toc497469169"/>
      <w:r w:rsidRPr="00DF4A2F">
        <w:t xml:space="preserve">Quadro </w:t>
      </w:r>
      <w:r w:rsidR="00D71C43">
        <w:fldChar w:fldCharType="begin"/>
      </w:r>
      <w:r w:rsidR="00D71C43">
        <w:instrText xml:space="preserve"> SEQ Quadro \* ARABIC </w:instrText>
      </w:r>
      <w:r w:rsidR="00D71C43">
        <w:fldChar w:fldCharType="separate"/>
      </w:r>
      <w:r w:rsidR="004D1D76">
        <w:rPr>
          <w:noProof/>
        </w:rPr>
        <w:t>48</w:t>
      </w:r>
      <w:r w:rsidR="00D71C43">
        <w:rPr>
          <w:noProof/>
        </w:rPr>
        <w:fldChar w:fldCharType="end"/>
      </w:r>
      <w:bookmarkEnd w:id="484"/>
      <w:r w:rsidRPr="00DF4A2F">
        <w:t xml:space="preserve"> </w:t>
      </w:r>
      <w:r w:rsidRPr="00DF4A2F">
        <w:rPr>
          <w:lang w:val="pt-BR"/>
        </w:rPr>
        <w:t>-</w:t>
      </w:r>
      <w:r w:rsidRPr="00DF4A2F">
        <w:t xml:space="preserve"> Resíduos de Serviço de Saúde – Regras de Triagem e Transbordo.</w:t>
      </w:r>
      <w:bookmarkEnd w:id="485"/>
      <w:bookmarkEnd w:id="486"/>
      <w:bookmarkEnd w:id="487"/>
    </w:p>
    <w:tbl>
      <w:tblPr>
        <w:tblW w:w="8755" w:type="dxa"/>
        <w:jc w:val="center"/>
        <w:tblBorders>
          <w:top w:val="single" w:sz="8" w:space="0" w:color="4F81BD"/>
          <w:bottom w:val="single" w:sz="8" w:space="0" w:color="4F81BD"/>
        </w:tblBorders>
        <w:tblLook w:val="04A0" w:firstRow="1" w:lastRow="0" w:firstColumn="1" w:lastColumn="0" w:noHBand="0" w:noVBand="1"/>
      </w:tblPr>
      <w:tblGrid>
        <w:gridCol w:w="8755"/>
      </w:tblGrid>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contextualSpacing/>
              <w:rPr>
                <w:rFonts w:cs="Arial"/>
                <w:b/>
                <w:sz w:val="20"/>
                <w:szCs w:val="20"/>
                <w:lang w:eastAsia="pt-BR"/>
              </w:rPr>
            </w:pPr>
            <w:r w:rsidRPr="00DF4A2F">
              <w:rPr>
                <w:rFonts w:cs="Arial"/>
                <w:b/>
                <w:sz w:val="20"/>
                <w:szCs w:val="20"/>
                <w:lang w:eastAsia="pt-BR"/>
              </w:rPr>
              <w:t>Regras de triagem e transbordo dos RSS segundo a Resolução CONAMA nº358 de 2005</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cs="Arial"/>
                <w:sz w:val="20"/>
                <w:szCs w:val="20"/>
              </w:rPr>
            </w:pPr>
            <w:r w:rsidRPr="00DF4A2F">
              <w:rPr>
                <w:rFonts w:cs="Arial"/>
                <w:sz w:val="20"/>
                <w:szCs w:val="20"/>
              </w:rPr>
              <w:t>As estações para transferência de resíduos de serviços de saúde devem estar licenciadas pelo órgão ambiental competente.</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rPr>
            </w:pPr>
            <w:r w:rsidRPr="00DF4A2F">
              <w:rPr>
                <w:rFonts w:cs="Arial"/>
                <w:sz w:val="20"/>
                <w:szCs w:val="20"/>
              </w:rPr>
              <w:t>É obrigatória a segregação dos resíduos na fonte e no momento da geração, de acordo com suas características, para fins de redução do volume dos resíduos a serem tratados e dispostos, garantindo a proteção da saúde e do meio ambiente.</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MS Mincho" w:cs="Arial"/>
                <w:sz w:val="20"/>
                <w:szCs w:val="20"/>
              </w:rPr>
            </w:pPr>
            <w:r w:rsidRPr="00DF4A2F">
              <w:rPr>
                <w:rFonts w:cs="Arial"/>
                <w:sz w:val="20"/>
                <w:szCs w:val="20"/>
              </w:rPr>
              <w:t>O manuseio de resíduos de serviços de saúde está regulamentado pela norma NBR 12.809 da ABNT e compreende os cuidados que se deve ter para segregar os resíduos na fonte e para lidar com os resíduos perigosos.</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rPr>
            </w:pPr>
            <w:r w:rsidRPr="00DF4A2F">
              <w:rPr>
                <w:rFonts w:cs="Arial"/>
                <w:sz w:val="20"/>
                <w:szCs w:val="20"/>
              </w:rPr>
              <w:t xml:space="preserve">Para o manuseio dos resíduos infectantes devem ser utilizados os seguintes equipamentos de proteção individual: avental plástico, luvas plásticas, bota de PVC ou sapato fechado, óculos, máscara. </w:t>
            </w:r>
          </w:p>
        </w:tc>
      </w:tr>
    </w:tbl>
    <w:p w:rsidR="00A87269" w:rsidRPr="00DF4A2F" w:rsidRDefault="00A87269" w:rsidP="00A87269">
      <w:pPr>
        <w:pStyle w:val="Legenda"/>
      </w:pPr>
      <w:bookmarkStart w:id="488" w:name="_Ref483560157"/>
      <w:bookmarkStart w:id="489" w:name="_Toc488825062"/>
      <w:bookmarkStart w:id="490" w:name="_Toc493151599"/>
      <w:bookmarkStart w:id="491" w:name="_Toc497469170"/>
      <w:r w:rsidRPr="00DF4A2F">
        <w:t xml:space="preserve">Quadro </w:t>
      </w:r>
      <w:r w:rsidR="00D71C43">
        <w:fldChar w:fldCharType="begin"/>
      </w:r>
      <w:r w:rsidR="00D71C43">
        <w:instrText xml:space="preserve"> SEQ Quadro \* ARABIC </w:instrText>
      </w:r>
      <w:r w:rsidR="00D71C43">
        <w:fldChar w:fldCharType="separate"/>
      </w:r>
      <w:r w:rsidR="004D1D76">
        <w:rPr>
          <w:noProof/>
        </w:rPr>
        <w:t>49</w:t>
      </w:r>
      <w:r w:rsidR="00D71C43">
        <w:rPr>
          <w:noProof/>
        </w:rPr>
        <w:fldChar w:fldCharType="end"/>
      </w:r>
      <w:bookmarkEnd w:id="488"/>
      <w:r w:rsidRPr="00DF4A2F">
        <w:t xml:space="preserve"> </w:t>
      </w:r>
      <w:r w:rsidRPr="00DF4A2F">
        <w:rPr>
          <w:lang w:val="pt-BR"/>
        </w:rPr>
        <w:t>-</w:t>
      </w:r>
      <w:r w:rsidRPr="00DF4A2F">
        <w:t xml:space="preserve"> Resíduos de Serviço de Saúde – Métodos de Tratamento</w:t>
      </w:r>
      <w:bookmarkEnd w:id="489"/>
      <w:bookmarkEnd w:id="490"/>
      <w:bookmarkEnd w:id="491"/>
    </w:p>
    <w:tbl>
      <w:tblPr>
        <w:tblW w:w="8755" w:type="dxa"/>
        <w:jc w:val="center"/>
        <w:tblBorders>
          <w:top w:val="single" w:sz="8" w:space="0" w:color="4F81BD"/>
          <w:bottom w:val="single" w:sz="8" w:space="0" w:color="4F81BD"/>
        </w:tblBorders>
        <w:tblLook w:val="04A0" w:firstRow="1" w:lastRow="0" w:firstColumn="1" w:lastColumn="0" w:noHBand="0" w:noVBand="1"/>
      </w:tblPr>
      <w:tblGrid>
        <w:gridCol w:w="8755"/>
      </w:tblGrid>
      <w:tr w:rsidR="00A87269" w:rsidRPr="00DF4A2F" w:rsidTr="00510FF9">
        <w:trPr>
          <w:cantSplit/>
          <w:tblHeade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contextualSpacing/>
              <w:rPr>
                <w:rFonts w:cs="Arial"/>
                <w:b/>
                <w:sz w:val="20"/>
                <w:szCs w:val="20"/>
                <w:lang w:eastAsia="pt-BR"/>
              </w:rPr>
            </w:pPr>
            <w:r w:rsidRPr="00DF4A2F">
              <w:rPr>
                <w:rFonts w:cs="Arial"/>
                <w:b/>
                <w:sz w:val="20"/>
                <w:szCs w:val="20"/>
                <w:lang w:eastAsia="pt-BR"/>
              </w:rPr>
              <w:t xml:space="preserve">Métodos de tratamento dos RSS: suas vantagens e desvantagens </w:t>
            </w:r>
          </w:p>
        </w:tc>
      </w:tr>
      <w:tr w:rsidR="00A87269" w:rsidRPr="00DF4A2F" w:rsidTr="00510FF9">
        <w:trPr>
          <w:cantSplit/>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contextualSpacing/>
              <w:rPr>
                <w:rFonts w:cs="Arial"/>
                <w:sz w:val="20"/>
                <w:szCs w:val="20"/>
                <w:lang w:eastAsia="pt-BR"/>
              </w:rPr>
            </w:pPr>
            <w:r w:rsidRPr="00DF4A2F">
              <w:rPr>
                <w:rFonts w:cs="Arial"/>
                <w:sz w:val="20"/>
                <w:szCs w:val="20"/>
                <w:lang w:eastAsia="pt-BR"/>
              </w:rPr>
              <w:t>O tratamento consiste em modificar as características físicas, químicas ou biológicas dos RSS com o objetivo de reduzir ou neutralizar seus respectivos riscos, permitindo destina-los para a disposição final dentro dos padrões e normas legais.</w:t>
            </w:r>
          </w:p>
        </w:tc>
      </w:tr>
      <w:tr w:rsidR="00A87269" w:rsidRPr="00DF4A2F" w:rsidTr="00510FF9">
        <w:trPr>
          <w:cantSplit/>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contextualSpacing/>
              <w:rPr>
                <w:rFonts w:eastAsia="MS Mincho" w:cs="Arial"/>
                <w:sz w:val="20"/>
                <w:szCs w:val="20"/>
                <w:lang w:eastAsia="pt-BR"/>
              </w:rPr>
            </w:pPr>
            <w:r w:rsidRPr="00DF4A2F">
              <w:rPr>
                <w:rFonts w:cs="Arial"/>
                <w:sz w:val="20"/>
                <w:szCs w:val="20"/>
                <w:lang w:eastAsia="pt-BR"/>
              </w:rPr>
              <w:t>No Brasil, os principais tipos de tratamento para RSS são a autoclavagem, incineração e microondas. A autoclavagem consiste em processo de descontaminação por vapor em condições alta temperatura e pressão. VANTAGENS: baixo custo de investimento e operação, adequado para pequenos estabelecimentos; Operação relativamente simples; Não emissão de poluentes na atmosfera. DESVANTAGENS: A eficiência da esterilização depende da correta operação; Algumas embalagens impedem a penetração do vapor, reduzindo a eficiência da esterilização; Não pode ser utilizada para resíduos anatômicos.</w:t>
            </w:r>
          </w:p>
        </w:tc>
      </w:tr>
      <w:tr w:rsidR="00A87269" w:rsidRPr="00DF4A2F" w:rsidTr="00510FF9">
        <w:trPr>
          <w:cantSplit/>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contextualSpacing/>
              <w:rPr>
                <w:rFonts w:eastAsia="MS Mincho" w:cs="Arial"/>
                <w:sz w:val="20"/>
                <w:szCs w:val="20"/>
                <w:lang w:eastAsia="pt-BR"/>
              </w:rPr>
            </w:pPr>
            <w:r w:rsidRPr="00DF4A2F">
              <w:rPr>
                <w:rFonts w:cs="Arial"/>
                <w:sz w:val="20"/>
                <w:szCs w:val="20"/>
                <w:lang w:eastAsia="pt-BR"/>
              </w:rPr>
              <w:t>A incineração consiste na queima dos resíduos, utilizando gás natural, gás metano ou diesel para combustão inicial. VANTAGENS: Redução significativa de volume; Pode-se aproveitar o calor para gerar energia elétrica; Diminuição dos custos do transporte de escória aos aterros; Resíduo irreconhecível após tratamento. DESVANTAGENS: Custo elevado de investimento; Emissão de poluentes gasosos; Necessidade de tratamento dos gases emitidos; Necessidade de sistemas de monitoramento ambiental.</w:t>
            </w:r>
          </w:p>
        </w:tc>
      </w:tr>
      <w:tr w:rsidR="00A87269" w:rsidRPr="00DF4A2F" w:rsidTr="00510FF9">
        <w:trPr>
          <w:cantSplit/>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contextualSpacing/>
              <w:rPr>
                <w:rFonts w:eastAsia="MS Mincho" w:cs="Arial"/>
                <w:sz w:val="20"/>
                <w:szCs w:val="20"/>
                <w:lang w:eastAsia="pt-BR"/>
              </w:rPr>
            </w:pPr>
            <w:r w:rsidRPr="00DF4A2F">
              <w:rPr>
                <w:rFonts w:cs="Arial"/>
                <w:sz w:val="20"/>
                <w:szCs w:val="20"/>
                <w:lang w:eastAsia="pt-BR"/>
              </w:rPr>
              <w:lastRenderedPageBreak/>
              <w:t>O processo de microondas consiste na descontaminação pelo alto aquecimento das moléculas de água induzido por ressonância. VANTAGENS: Redução significativa de volume, de aproximadamente 80%; Resíduos irreconhecível e descaracterizado após tratamento; Operação simples; Ocupa pequena área; Não produz efluente líquido ou emissões gasosas. DESVANTAGENS: Impedimento de operação no cone de recepção, quando da entrada de objetos rígidos no triturador; O triturador aceita somente pequenas peças de metal.</w:t>
            </w:r>
          </w:p>
        </w:tc>
      </w:tr>
    </w:tbl>
    <w:p w:rsidR="00A87269" w:rsidRPr="00DF4A2F" w:rsidRDefault="00A87269" w:rsidP="00A87269">
      <w:pPr>
        <w:pStyle w:val="Legenda"/>
      </w:pPr>
      <w:bookmarkStart w:id="492" w:name="_Ref483560169"/>
      <w:bookmarkStart w:id="493" w:name="_Toc488825063"/>
      <w:bookmarkStart w:id="494" w:name="_Toc493151600"/>
      <w:bookmarkStart w:id="495" w:name="_Toc497469171"/>
      <w:r w:rsidRPr="00DF4A2F">
        <w:t xml:space="preserve">Quadro </w:t>
      </w:r>
      <w:r w:rsidR="00D71C43">
        <w:fldChar w:fldCharType="begin"/>
      </w:r>
      <w:r w:rsidR="00D71C43">
        <w:instrText xml:space="preserve"> SEQ Quadro \* ARABIC </w:instrText>
      </w:r>
      <w:r w:rsidR="00D71C43">
        <w:fldChar w:fldCharType="separate"/>
      </w:r>
      <w:r w:rsidR="004D1D76">
        <w:rPr>
          <w:noProof/>
        </w:rPr>
        <w:t>50</w:t>
      </w:r>
      <w:r w:rsidR="00D71C43">
        <w:rPr>
          <w:noProof/>
        </w:rPr>
        <w:fldChar w:fldCharType="end"/>
      </w:r>
      <w:bookmarkEnd w:id="492"/>
      <w:r w:rsidRPr="00DF4A2F">
        <w:t xml:space="preserve"> </w:t>
      </w:r>
      <w:r w:rsidRPr="00DF4A2F">
        <w:rPr>
          <w:lang w:val="pt-BR"/>
        </w:rPr>
        <w:t>-</w:t>
      </w:r>
      <w:r w:rsidRPr="00DF4A2F">
        <w:t xml:space="preserve"> Resíduos de Serviço de Saúde – Regras de Tratamento e Disposição Final</w:t>
      </w:r>
      <w:bookmarkEnd w:id="493"/>
      <w:bookmarkEnd w:id="494"/>
      <w:bookmarkEnd w:id="495"/>
    </w:p>
    <w:tbl>
      <w:tblPr>
        <w:tblW w:w="8755" w:type="dxa"/>
        <w:jc w:val="center"/>
        <w:tblBorders>
          <w:top w:val="single" w:sz="8" w:space="0" w:color="4F81BD"/>
          <w:bottom w:val="single" w:sz="8" w:space="0" w:color="4F81BD"/>
        </w:tblBorders>
        <w:tblLook w:val="04A0" w:firstRow="1" w:lastRow="0" w:firstColumn="1" w:lastColumn="0" w:noHBand="0" w:noVBand="1"/>
      </w:tblPr>
      <w:tblGrid>
        <w:gridCol w:w="8755"/>
      </w:tblGrid>
      <w:tr w:rsidR="00A87269" w:rsidRPr="00DF4A2F" w:rsidTr="00510FF9">
        <w:trPr>
          <w:tblHeade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contextualSpacing/>
              <w:rPr>
                <w:rFonts w:cs="Arial"/>
                <w:b/>
                <w:sz w:val="20"/>
                <w:szCs w:val="20"/>
                <w:lang w:eastAsia="pt-BR"/>
              </w:rPr>
            </w:pPr>
            <w:r w:rsidRPr="00DF4A2F">
              <w:rPr>
                <w:rFonts w:cs="Arial"/>
                <w:b/>
                <w:sz w:val="20"/>
                <w:szCs w:val="20"/>
                <w:lang w:eastAsia="pt-BR"/>
              </w:rPr>
              <w:t>Regras de tratamento e disposição final dos RSS segundo a Resolução CONAMA nº 358 de 2005</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contextualSpacing/>
              <w:rPr>
                <w:rFonts w:cs="Arial"/>
                <w:sz w:val="20"/>
                <w:szCs w:val="20"/>
                <w:lang w:eastAsia="pt-BR"/>
              </w:rPr>
            </w:pPr>
            <w:r w:rsidRPr="00DF4A2F">
              <w:rPr>
                <w:rFonts w:cs="Arial"/>
                <w:sz w:val="20"/>
                <w:szCs w:val="20"/>
                <w:lang w:eastAsia="pt-BR"/>
              </w:rPr>
              <w:t>Os resíduos do Grupo A1 devem ser submetidos a processos de tratamento em equipamento que promova redução de carga microbiana compatível com nível III de inativação microbiana e devem ser encaminhados para aterro sanitário licenciado ou local devidamente licenciado para disposição final de RSS.</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contextualSpacing/>
              <w:rPr>
                <w:rFonts w:eastAsia="MS Mincho" w:cs="Arial"/>
                <w:sz w:val="20"/>
                <w:szCs w:val="20"/>
                <w:lang w:eastAsia="pt-BR"/>
              </w:rPr>
            </w:pPr>
            <w:r w:rsidRPr="00DF4A2F">
              <w:rPr>
                <w:rFonts w:cs="Arial"/>
                <w:sz w:val="20"/>
                <w:szCs w:val="20"/>
                <w:lang w:eastAsia="pt-BR"/>
              </w:rPr>
              <w:t>Os resíduos do Grupo A2 devem ser submetidos a processos de tratamento em equipamento que promova redução de carga microbiana compatível com nível III de inativação microbiana e devem ser encaminhados para aterro sanitário licenciado ou local devidamente licenciado para disposição final de RSS ou para o sepultamento em cemitério de animais.</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contextualSpacing/>
              <w:rPr>
                <w:rFonts w:eastAsia="MS Mincho" w:cs="Arial"/>
                <w:sz w:val="20"/>
                <w:szCs w:val="20"/>
                <w:lang w:eastAsia="pt-BR"/>
              </w:rPr>
            </w:pPr>
            <w:r w:rsidRPr="00DF4A2F">
              <w:rPr>
                <w:rFonts w:cs="Arial"/>
                <w:sz w:val="20"/>
                <w:szCs w:val="20"/>
                <w:lang w:eastAsia="pt-BR"/>
              </w:rPr>
              <w:t>Os resíduos do Grupo A3 quando não houver requisição pelo paciente ou familiares e/ou não tenham mais valor científico ou legal, devem ser encaminhados para</w:t>
            </w:r>
            <w:r w:rsidRPr="00DF4A2F">
              <w:rPr>
                <w:rFonts w:cs="Arial"/>
                <w:sz w:val="20"/>
                <w:szCs w:val="20"/>
              </w:rPr>
              <w:t xml:space="preserve"> </w:t>
            </w:r>
            <w:r w:rsidRPr="00DF4A2F">
              <w:rPr>
                <w:rFonts w:cs="Arial"/>
                <w:sz w:val="20"/>
                <w:szCs w:val="20"/>
                <w:lang w:eastAsia="pt-BR"/>
              </w:rPr>
              <w:t xml:space="preserve">sepultamento em cemitério, desde que haja autorização do órgão competente do Município, do Estado ou do Distrito Federal ou tratamento térmico por incineração ou cremação, em equipamento devidamente licenciado para esse fim. </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contextualSpacing/>
              <w:rPr>
                <w:rFonts w:eastAsia="MS Mincho" w:cs="Arial"/>
                <w:sz w:val="20"/>
                <w:szCs w:val="20"/>
                <w:lang w:eastAsia="pt-BR"/>
              </w:rPr>
            </w:pPr>
            <w:r w:rsidRPr="00DF4A2F">
              <w:rPr>
                <w:rFonts w:cs="Arial"/>
                <w:sz w:val="20"/>
                <w:szCs w:val="20"/>
                <w:lang w:eastAsia="pt-BR"/>
              </w:rPr>
              <w:t>Os resíduos do Grupo A4 podem ser encaminhados sem tratamento prévio para local devidamente licenciado para a disposição final de RSS.</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contextualSpacing/>
              <w:rPr>
                <w:rFonts w:eastAsia="MS Mincho" w:cs="Arial"/>
                <w:sz w:val="20"/>
                <w:szCs w:val="20"/>
                <w:lang w:eastAsia="pt-BR"/>
              </w:rPr>
            </w:pPr>
            <w:r w:rsidRPr="00DF4A2F">
              <w:rPr>
                <w:rFonts w:cs="Arial"/>
                <w:sz w:val="20"/>
                <w:szCs w:val="20"/>
                <w:lang w:eastAsia="pt-BR"/>
              </w:rPr>
              <w:t>Os resíduos do Grupo A5 devem ser submetidos a tratamento específico orientado pela Agência Nacional de Vigilância Sanitária-ANVISA.</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lang w:eastAsia="pt-BR"/>
              </w:rPr>
            </w:pPr>
            <w:r w:rsidRPr="00DF4A2F">
              <w:rPr>
                <w:rFonts w:cs="Arial"/>
                <w:sz w:val="20"/>
                <w:szCs w:val="20"/>
                <w:lang w:eastAsia="pt-BR"/>
              </w:rPr>
              <w:t>Os resíduos do Grupo B com características de periculosidade, quando não forem submetidos a processo de reutilização, recuperação ou reciclagem, devem ser submetidos a tratamento e disposição final específicos. Aqueles sem características de periculosidade, não necessitam de tratamento prévio.</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MS Mincho" w:cs="Arial"/>
                <w:sz w:val="20"/>
                <w:szCs w:val="20"/>
                <w:lang w:eastAsia="pt-BR"/>
              </w:rPr>
            </w:pPr>
            <w:r w:rsidRPr="00DF4A2F">
              <w:rPr>
                <w:rFonts w:cs="Arial"/>
                <w:sz w:val="20"/>
                <w:szCs w:val="20"/>
                <w:lang w:eastAsia="pt-BR"/>
              </w:rPr>
              <w:t>Os resíduos do Grupo C ou rejeitos radioativos são os RSS que contêm radionuclídeos em quantidades superiores aos limites de isenção especificados na norma CNEN-NE-6.02 - Licenciamento de Instalações Radiativas e sua reutilização é imprópria ou não prevista. Estes resíduos devem obedecer às exigências definidas pela CNEN.</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lang w:eastAsia="pt-BR"/>
              </w:rPr>
            </w:pPr>
            <w:r w:rsidRPr="00DF4A2F">
              <w:rPr>
                <w:rFonts w:cs="Arial"/>
                <w:sz w:val="20"/>
                <w:szCs w:val="20"/>
                <w:lang w:eastAsia="pt-BR"/>
              </w:rPr>
              <w:t xml:space="preserve">Os resíduos do Grupo D quando não forem passíveis de processo de reutilização, recuperação ou reciclagem, devem atender as normas legais de higienização e descontaminação e a Resolução CONAMA nº 275 de 2001, devendo ser encaminhados para aterro sanitário de resíduos sólidos urbanos, devidamente licenciado pelo órgão ambiental competente. </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MS Mincho" w:cs="Arial"/>
                <w:sz w:val="20"/>
                <w:szCs w:val="20"/>
                <w:lang w:eastAsia="pt-BR"/>
              </w:rPr>
            </w:pPr>
            <w:r w:rsidRPr="00DF4A2F">
              <w:rPr>
                <w:rFonts w:cs="Arial"/>
                <w:sz w:val="20"/>
                <w:szCs w:val="20"/>
                <w:lang w:eastAsia="pt-BR"/>
              </w:rPr>
              <w:t>Os resíduos do Grupo E devem ter tratamento específico de acordo com a contaminação química, biológica ou radiológica. Os resíduos devem ser apresentados para coleta acondicionados em coletores estanques, rígidos e hígidos, resistentes à ruptura, à punctura, ao corte ou à escarificação.</w:t>
            </w:r>
          </w:p>
        </w:tc>
      </w:tr>
    </w:tbl>
    <w:p w:rsidR="00A87269" w:rsidRPr="00DF4A2F" w:rsidRDefault="00A87269" w:rsidP="00A87269">
      <w:pPr>
        <w:pStyle w:val="Legenda"/>
        <w:rPr>
          <w:lang w:val="pt-BR"/>
        </w:rPr>
      </w:pPr>
      <w:bookmarkStart w:id="496" w:name="_Ref483560182"/>
      <w:bookmarkStart w:id="497" w:name="_Toc488825064"/>
      <w:bookmarkStart w:id="498" w:name="_Toc493151601"/>
      <w:bookmarkStart w:id="499" w:name="_Toc497469172"/>
      <w:r w:rsidRPr="00DF4A2F">
        <w:t xml:space="preserve">Quadro </w:t>
      </w:r>
      <w:r w:rsidR="00D71C43">
        <w:fldChar w:fldCharType="begin"/>
      </w:r>
      <w:r w:rsidR="00D71C43">
        <w:instrText xml:space="preserve"> SEQ Quadro \* ARABIC </w:instrText>
      </w:r>
      <w:r w:rsidR="00D71C43">
        <w:fldChar w:fldCharType="separate"/>
      </w:r>
      <w:r w:rsidR="004D1D76">
        <w:rPr>
          <w:noProof/>
        </w:rPr>
        <w:t>51</w:t>
      </w:r>
      <w:r w:rsidR="00D71C43">
        <w:rPr>
          <w:noProof/>
        </w:rPr>
        <w:fldChar w:fldCharType="end"/>
      </w:r>
      <w:bookmarkEnd w:id="496"/>
      <w:r w:rsidRPr="00DF4A2F">
        <w:t xml:space="preserve"> </w:t>
      </w:r>
      <w:r w:rsidRPr="00DF4A2F">
        <w:rPr>
          <w:lang w:val="pt-BR"/>
        </w:rPr>
        <w:t>-</w:t>
      </w:r>
      <w:r w:rsidRPr="00DF4A2F">
        <w:t xml:space="preserve"> Resíduos de Serviço de Saúde – Regras de Licenciamento</w:t>
      </w:r>
      <w:bookmarkEnd w:id="497"/>
      <w:bookmarkEnd w:id="498"/>
      <w:bookmarkEnd w:id="499"/>
    </w:p>
    <w:tbl>
      <w:tblPr>
        <w:tblW w:w="8755" w:type="dxa"/>
        <w:jc w:val="center"/>
        <w:tblBorders>
          <w:top w:val="single" w:sz="8" w:space="0" w:color="4F81BD"/>
          <w:bottom w:val="single" w:sz="8" w:space="0" w:color="4F81BD"/>
        </w:tblBorders>
        <w:tblLook w:val="04A0" w:firstRow="1" w:lastRow="0" w:firstColumn="1" w:lastColumn="0" w:noHBand="0" w:noVBand="1"/>
      </w:tblPr>
      <w:tblGrid>
        <w:gridCol w:w="8755"/>
      </w:tblGrid>
      <w:tr w:rsidR="00A87269" w:rsidRPr="00DF4A2F" w:rsidTr="00510FF9">
        <w:trPr>
          <w:tblHeade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contextualSpacing/>
              <w:rPr>
                <w:rFonts w:cs="Arial"/>
                <w:b/>
                <w:sz w:val="20"/>
                <w:szCs w:val="20"/>
                <w:lang w:eastAsia="pt-BR"/>
              </w:rPr>
            </w:pPr>
            <w:r w:rsidRPr="00DF4A2F">
              <w:rPr>
                <w:rFonts w:cs="Arial"/>
                <w:b/>
                <w:sz w:val="20"/>
                <w:szCs w:val="20"/>
                <w:lang w:eastAsia="pt-BR"/>
              </w:rPr>
              <w:t>Regras de Licenciamento segundo a Resolução CONAMA nº 358 de 2005</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contextualSpacing/>
              <w:rPr>
                <w:rFonts w:cs="Arial"/>
                <w:sz w:val="20"/>
                <w:szCs w:val="20"/>
                <w:lang w:eastAsia="pt-BR"/>
              </w:rPr>
            </w:pPr>
            <w:r w:rsidRPr="00DF4A2F">
              <w:rPr>
                <w:rFonts w:cs="Arial"/>
                <w:sz w:val="20"/>
                <w:szCs w:val="20"/>
                <w:lang w:eastAsia="pt-BR"/>
              </w:rPr>
              <w:t>Os sistemas de tratamento e disposição final de resíduos de serviços de saúde devem estar licenciados pelo órgão ambiental competente para fins de funcionamento e submetidos a monitoramento de acordo com parâmetros e periodicidade definidos no licenciamento ambiental.</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contextualSpacing/>
              <w:rPr>
                <w:rFonts w:eastAsia="MS Mincho" w:cs="Arial"/>
                <w:sz w:val="20"/>
                <w:szCs w:val="20"/>
                <w:lang w:eastAsia="pt-BR"/>
              </w:rPr>
            </w:pPr>
            <w:r w:rsidRPr="00DF4A2F">
              <w:rPr>
                <w:rFonts w:cs="Arial"/>
                <w:sz w:val="20"/>
                <w:szCs w:val="20"/>
                <w:lang w:eastAsia="pt-BR"/>
              </w:rPr>
              <w:t xml:space="preserve">Os geradores de RSS em operação ou a serem implantados, devem elaborar e implantar o Plano de Gerenciamento de Resíduos de Serviços de Saúde-PGRSS, de acordo com a legislação vigente, especialmente as normas da vigilância sanitária. </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contextualSpacing/>
              <w:rPr>
                <w:rFonts w:eastAsia="MS Mincho" w:cs="Arial"/>
                <w:sz w:val="20"/>
                <w:szCs w:val="20"/>
                <w:lang w:eastAsia="pt-BR"/>
              </w:rPr>
            </w:pPr>
            <w:r w:rsidRPr="00DF4A2F">
              <w:rPr>
                <w:rFonts w:cs="Arial"/>
                <w:sz w:val="20"/>
                <w:szCs w:val="20"/>
                <w:lang w:eastAsia="pt-BR"/>
              </w:rPr>
              <w:t xml:space="preserve">O órgão ambiental competente, no âmbito do licenciamento, fixará prazos para regularização </w:t>
            </w:r>
            <w:r w:rsidRPr="00DF4A2F">
              <w:rPr>
                <w:rFonts w:cs="Arial"/>
                <w:sz w:val="20"/>
                <w:szCs w:val="20"/>
                <w:lang w:eastAsia="pt-BR"/>
              </w:rPr>
              <w:lastRenderedPageBreak/>
              <w:t>dos serviços em funcionamento, devendo ser apresentado o PGRSS devidamente implantado. O órgão ambiental competente pode solicitar informações adicionais ao PGRSS, sempre que necessário.</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contextualSpacing/>
              <w:rPr>
                <w:rFonts w:eastAsia="MS Mincho" w:cs="Arial"/>
                <w:sz w:val="20"/>
                <w:szCs w:val="20"/>
                <w:lang w:eastAsia="pt-BR"/>
              </w:rPr>
            </w:pPr>
            <w:r w:rsidRPr="00DF4A2F">
              <w:rPr>
                <w:rFonts w:cs="Arial"/>
                <w:sz w:val="20"/>
                <w:szCs w:val="20"/>
                <w:lang w:eastAsia="pt-BR"/>
              </w:rPr>
              <w:lastRenderedPageBreak/>
              <w:t>Na elaboração do PGRSS, devem ser considerados princípios que conduzam à minimização e às soluções integradas ou consorciadas, que visem o tratamento e a disposição final destes resíduos de acordo com as diretrizes estabelecidas pelos órgãos de meio ambiente e de saúde competentes.</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contextualSpacing/>
              <w:rPr>
                <w:rFonts w:eastAsia="MS Mincho" w:cs="Arial"/>
                <w:sz w:val="20"/>
                <w:szCs w:val="20"/>
                <w:lang w:eastAsia="pt-BR"/>
              </w:rPr>
            </w:pPr>
            <w:r w:rsidRPr="00DF4A2F">
              <w:rPr>
                <w:rFonts w:cs="Arial"/>
                <w:sz w:val="20"/>
                <w:szCs w:val="20"/>
                <w:lang w:eastAsia="pt-BR"/>
              </w:rPr>
              <w:t>Em todo processo de manejo dos RSS, sendo as principais etapas: acondicionamento, coleta, transporte, tratamento e disposição final, deverá haver o devido licenciamento de todas as partes integrantes deste processo segundo as normas legais em âmbito Federal, Estadual e Municipal.</w:t>
            </w:r>
          </w:p>
        </w:tc>
      </w:tr>
    </w:tbl>
    <w:p w:rsidR="00A87269" w:rsidRPr="00DF4A2F" w:rsidRDefault="00A87269" w:rsidP="00A87269">
      <w:pPr>
        <w:pStyle w:val="Legenda"/>
      </w:pPr>
      <w:bookmarkStart w:id="500" w:name="_Ref483560191"/>
      <w:bookmarkStart w:id="501" w:name="_Toc488825065"/>
      <w:bookmarkStart w:id="502" w:name="_Toc493151602"/>
      <w:bookmarkStart w:id="503" w:name="_Toc497469173"/>
      <w:r w:rsidRPr="00DF4A2F">
        <w:t xml:space="preserve">Quadro </w:t>
      </w:r>
      <w:r w:rsidR="00D71C43">
        <w:fldChar w:fldCharType="begin"/>
      </w:r>
      <w:r w:rsidR="00D71C43">
        <w:instrText xml:space="preserve"> SEQ Quadro \* ARABIC </w:instrText>
      </w:r>
      <w:r w:rsidR="00D71C43">
        <w:fldChar w:fldCharType="separate"/>
      </w:r>
      <w:r w:rsidR="004D1D76">
        <w:rPr>
          <w:noProof/>
        </w:rPr>
        <w:t>52</w:t>
      </w:r>
      <w:r w:rsidR="00D71C43">
        <w:rPr>
          <w:noProof/>
        </w:rPr>
        <w:fldChar w:fldCharType="end"/>
      </w:r>
      <w:bookmarkEnd w:id="500"/>
      <w:r w:rsidRPr="00DF4A2F">
        <w:t xml:space="preserve"> </w:t>
      </w:r>
      <w:r w:rsidRPr="00DF4A2F">
        <w:rPr>
          <w:lang w:val="pt-BR"/>
        </w:rPr>
        <w:t>-</w:t>
      </w:r>
      <w:r w:rsidRPr="00DF4A2F">
        <w:t xml:space="preserve"> Resíduos de Serviço de Saúde – Legislação e Normas.</w:t>
      </w:r>
      <w:bookmarkEnd w:id="501"/>
      <w:bookmarkEnd w:id="502"/>
      <w:bookmarkEnd w:id="503"/>
    </w:p>
    <w:tbl>
      <w:tblPr>
        <w:tblW w:w="8755" w:type="dxa"/>
        <w:jc w:val="center"/>
        <w:tblBorders>
          <w:top w:val="single" w:sz="8" w:space="0" w:color="4F81BD"/>
          <w:bottom w:val="single" w:sz="8" w:space="0" w:color="4F81BD"/>
        </w:tblBorders>
        <w:tblLook w:val="04A0" w:firstRow="1" w:lastRow="0" w:firstColumn="1" w:lastColumn="0" w:noHBand="0" w:noVBand="1"/>
      </w:tblPr>
      <w:tblGrid>
        <w:gridCol w:w="8755"/>
      </w:tblGrid>
      <w:tr w:rsidR="00A87269" w:rsidRPr="00DF4A2F" w:rsidTr="00510FF9">
        <w:trPr>
          <w:cantSplit/>
          <w:trHeight w:val="264"/>
          <w:tblHeade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cs="Arial"/>
                <w:b/>
                <w:sz w:val="20"/>
                <w:szCs w:val="20"/>
                <w:u w:val="single"/>
              </w:rPr>
            </w:pPr>
            <w:r w:rsidRPr="00DF4A2F">
              <w:rPr>
                <w:rFonts w:cs="Arial"/>
                <w:b/>
                <w:sz w:val="20"/>
                <w:szCs w:val="20"/>
                <w:u w:val="single"/>
              </w:rPr>
              <w:t>Principais resoluções nacionais</w:t>
            </w:r>
          </w:p>
        </w:tc>
      </w:tr>
      <w:tr w:rsidR="00A87269" w:rsidRPr="00DF4A2F" w:rsidTr="00510FF9">
        <w:trPr>
          <w:cantSplit/>
          <w:trHeight w:val="264"/>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cs="Arial"/>
                <w:sz w:val="20"/>
                <w:szCs w:val="20"/>
              </w:rPr>
            </w:pPr>
            <w:r w:rsidRPr="00DF4A2F">
              <w:rPr>
                <w:rFonts w:cs="Arial"/>
                <w:sz w:val="20"/>
                <w:szCs w:val="20"/>
              </w:rPr>
              <w:t>Resolução CONAMA nº 358, de 29 de abril de 2005. Dispõe sobre o tratamento e a disposição final dos resíduos dos serviços de saúde e dá outras providências.</w:t>
            </w:r>
          </w:p>
        </w:tc>
      </w:tr>
      <w:tr w:rsidR="00A87269" w:rsidRPr="00DF4A2F" w:rsidTr="00510FF9">
        <w:trPr>
          <w:cantSplit/>
          <w:trHeight w:val="264"/>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rPr>
            </w:pPr>
            <w:r w:rsidRPr="00DF4A2F">
              <w:rPr>
                <w:rFonts w:cs="Arial"/>
                <w:sz w:val="20"/>
                <w:szCs w:val="20"/>
              </w:rPr>
              <w:t>Resolução CONAMA nº 283, de 12 de julho de 2001. Dispõe sobre o tratamento e a destinação final dos resíduos dos serviços de saúde.</w:t>
            </w:r>
          </w:p>
        </w:tc>
      </w:tr>
      <w:tr w:rsidR="00A87269" w:rsidRPr="00DF4A2F" w:rsidTr="00510FF9">
        <w:trPr>
          <w:cantSplit/>
          <w:trHeight w:val="264"/>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MS Mincho" w:cs="Arial"/>
                <w:sz w:val="20"/>
                <w:szCs w:val="20"/>
                <w:lang w:eastAsia="pt-BR"/>
              </w:rPr>
            </w:pPr>
            <w:r w:rsidRPr="00DF4A2F">
              <w:rPr>
                <w:rFonts w:cs="Arial"/>
                <w:sz w:val="20"/>
                <w:szCs w:val="20"/>
                <w:lang w:eastAsia="pt-BR"/>
              </w:rPr>
              <w:t xml:space="preserve">Resolução ANVISA RDC nº 306 de 2004. Dispõe sobre o Regulamento Técnico para o gerenciamento de resíduos de serviços de saúde. </w:t>
            </w:r>
          </w:p>
        </w:tc>
      </w:tr>
      <w:tr w:rsidR="00A87269" w:rsidRPr="00DF4A2F" w:rsidTr="00510FF9">
        <w:trPr>
          <w:cantSplit/>
          <w:trHeight w:val="264"/>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b/>
                <w:sz w:val="20"/>
                <w:szCs w:val="20"/>
                <w:u w:val="single"/>
              </w:rPr>
            </w:pPr>
            <w:r w:rsidRPr="00DF4A2F">
              <w:rPr>
                <w:rFonts w:cs="Arial"/>
                <w:b/>
                <w:sz w:val="20"/>
                <w:szCs w:val="20"/>
                <w:u w:val="single"/>
              </w:rPr>
              <w:t>Normas técnicas</w:t>
            </w:r>
          </w:p>
        </w:tc>
      </w:tr>
      <w:tr w:rsidR="00A87269" w:rsidRPr="00DF4A2F" w:rsidTr="00510FF9">
        <w:trPr>
          <w:cantSplit/>
          <w:trHeight w:val="264"/>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MS Mincho" w:cs="Arial"/>
                <w:sz w:val="20"/>
                <w:szCs w:val="20"/>
              </w:rPr>
            </w:pPr>
            <w:r w:rsidRPr="00DF4A2F">
              <w:rPr>
                <w:rFonts w:cs="Arial"/>
                <w:sz w:val="20"/>
                <w:szCs w:val="20"/>
              </w:rPr>
              <w:t xml:space="preserve">ABNT NBR 7500:2013 - </w:t>
            </w:r>
            <w:r w:rsidRPr="00DF4A2F">
              <w:rPr>
                <w:rFonts w:cs="Arial"/>
                <w:sz w:val="20"/>
                <w:szCs w:val="20"/>
                <w:lang w:val="pt-PT"/>
              </w:rPr>
              <w:t>Identificação para o transporte terrestre, manuseio, movimentação e armazenamento de produtos.</w:t>
            </w:r>
          </w:p>
        </w:tc>
      </w:tr>
      <w:tr w:rsidR="00A87269" w:rsidRPr="00DF4A2F" w:rsidTr="00510FF9">
        <w:trPr>
          <w:cantSplit/>
          <w:trHeight w:val="264"/>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autoSpaceDE w:val="0"/>
              <w:autoSpaceDN w:val="0"/>
              <w:adjustRightInd w:val="0"/>
              <w:spacing w:line="240" w:lineRule="auto"/>
              <w:rPr>
                <w:rFonts w:eastAsia="MS Mincho" w:cs="Arial"/>
                <w:sz w:val="20"/>
                <w:szCs w:val="20"/>
                <w:lang w:val="pt-PT"/>
              </w:rPr>
            </w:pPr>
            <w:r w:rsidRPr="00DF4A2F">
              <w:rPr>
                <w:rFonts w:cs="Arial"/>
                <w:sz w:val="20"/>
                <w:szCs w:val="20"/>
                <w:lang w:val="pt-PT"/>
              </w:rPr>
              <w:t xml:space="preserve">NBR 7501:2011 - Transporte terrestre de produtos perigosos </w:t>
            </w:r>
            <w:r>
              <w:rPr>
                <w:rFonts w:cs="Arial"/>
                <w:sz w:val="20"/>
                <w:szCs w:val="20"/>
                <w:lang w:val="pt-PT"/>
              </w:rPr>
              <w:t>–</w:t>
            </w:r>
            <w:r w:rsidRPr="00DF4A2F">
              <w:rPr>
                <w:rFonts w:cs="Arial"/>
                <w:sz w:val="20"/>
                <w:szCs w:val="20"/>
                <w:lang w:val="pt-PT"/>
              </w:rPr>
              <w:t xml:space="preserve"> Terminologia</w:t>
            </w:r>
            <w:r>
              <w:rPr>
                <w:rFonts w:cs="Arial"/>
                <w:sz w:val="20"/>
                <w:szCs w:val="20"/>
                <w:lang w:val="pt-PT"/>
              </w:rPr>
              <w:t>.</w:t>
            </w:r>
          </w:p>
        </w:tc>
      </w:tr>
      <w:tr w:rsidR="00A87269" w:rsidRPr="00DF4A2F" w:rsidTr="00510FF9">
        <w:trPr>
          <w:cantSplit/>
          <w:trHeight w:val="264"/>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autoSpaceDE w:val="0"/>
              <w:autoSpaceDN w:val="0"/>
              <w:adjustRightInd w:val="0"/>
              <w:spacing w:line="240" w:lineRule="auto"/>
              <w:rPr>
                <w:rFonts w:eastAsia="MS Mincho" w:cs="Arial"/>
                <w:sz w:val="20"/>
                <w:szCs w:val="20"/>
                <w:lang w:val="pt-PT"/>
              </w:rPr>
            </w:pPr>
            <w:r w:rsidRPr="00DF4A2F">
              <w:rPr>
                <w:rFonts w:cs="Arial"/>
                <w:sz w:val="20"/>
                <w:szCs w:val="20"/>
                <w:lang w:val="pt-PT"/>
              </w:rPr>
              <w:t>NBR 7503:2013 - Ficha de emergência e envelope para o transporte terrestre de produtos perigosos - Características, dimensões e preenchimento.</w:t>
            </w:r>
          </w:p>
        </w:tc>
      </w:tr>
      <w:tr w:rsidR="00A87269" w:rsidRPr="00DF4A2F" w:rsidTr="00510FF9">
        <w:trPr>
          <w:cantSplit/>
          <w:trHeight w:val="264"/>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contextualSpacing/>
              <w:rPr>
                <w:rFonts w:eastAsia="MS Mincho" w:cs="Arial"/>
                <w:sz w:val="20"/>
                <w:szCs w:val="20"/>
                <w:lang w:eastAsia="pt-BR"/>
              </w:rPr>
            </w:pPr>
            <w:r w:rsidRPr="00DF4A2F">
              <w:rPr>
                <w:rFonts w:cs="Arial"/>
                <w:sz w:val="20"/>
                <w:szCs w:val="20"/>
                <w:lang w:eastAsia="pt-BR"/>
              </w:rPr>
              <w:t>NBR 9191/2000 da ABNT Sacos plásticos para acondicionamento de lixo - Requisitos e métodos de ensaio</w:t>
            </w:r>
            <w:r>
              <w:rPr>
                <w:rFonts w:cs="Arial"/>
                <w:sz w:val="20"/>
                <w:szCs w:val="20"/>
                <w:lang w:eastAsia="pt-BR"/>
              </w:rPr>
              <w:t>.</w:t>
            </w:r>
          </w:p>
        </w:tc>
      </w:tr>
      <w:tr w:rsidR="00A87269" w:rsidRPr="00DF4A2F" w:rsidTr="00510FF9">
        <w:trPr>
          <w:cantSplit/>
          <w:trHeight w:val="264"/>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contextualSpacing/>
              <w:rPr>
                <w:rFonts w:eastAsia="MS Mincho" w:cs="Arial"/>
                <w:sz w:val="20"/>
                <w:szCs w:val="20"/>
                <w:lang w:eastAsia="pt-BR"/>
              </w:rPr>
            </w:pPr>
            <w:r w:rsidRPr="00DF4A2F">
              <w:rPr>
                <w:rFonts w:cs="Arial"/>
                <w:sz w:val="20"/>
                <w:szCs w:val="20"/>
                <w:lang w:eastAsia="pt-BR"/>
              </w:rPr>
              <w:t>ABNT NBR 12807:2013 Resíduos de serviços de saúde — Terminologia</w:t>
            </w:r>
            <w:r>
              <w:rPr>
                <w:rFonts w:cs="Arial"/>
                <w:sz w:val="20"/>
                <w:szCs w:val="20"/>
                <w:lang w:eastAsia="pt-BR"/>
              </w:rPr>
              <w:t>.</w:t>
            </w:r>
          </w:p>
        </w:tc>
      </w:tr>
      <w:tr w:rsidR="00A87269" w:rsidRPr="00DF4A2F" w:rsidTr="00510FF9">
        <w:trPr>
          <w:cantSplit/>
          <w:trHeight w:val="264"/>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contextualSpacing/>
              <w:rPr>
                <w:rFonts w:eastAsia="MS Mincho" w:cs="Arial"/>
                <w:sz w:val="20"/>
                <w:szCs w:val="20"/>
                <w:lang w:eastAsia="pt-BR"/>
              </w:rPr>
            </w:pPr>
            <w:r w:rsidRPr="00DF4A2F">
              <w:rPr>
                <w:rFonts w:cs="Arial"/>
                <w:sz w:val="20"/>
                <w:szCs w:val="20"/>
                <w:lang w:eastAsia="pt-BR"/>
              </w:rPr>
              <w:t xml:space="preserve">ABNT NBR 12808:1993 Resíduos de serviço de saúde </w:t>
            </w:r>
            <w:r>
              <w:rPr>
                <w:rFonts w:cs="Arial"/>
                <w:sz w:val="20"/>
                <w:szCs w:val="20"/>
                <w:lang w:eastAsia="pt-BR"/>
              </w:rPr>
              <w:t>–</w:t>
            </w:r>
            <w:r w:rsidRPr="00DF4A2F">
              <w:rPr>
                <w:rFonts w:cs="Arial"/>
                <w:sz w:val="20"/>
                <w:szCs w:val="20"/>
                <w:lang w:eastAsia="pt-BR"/>
              </w:rPr>
              <w:t xml:space="preserve"> Classificação</w:t>
            </w:r>
            <w:r>
              <w:rPr>
                <w:rFonts w:cs="Arial"/>
                <w:sz w:val="20"/>
                <w:szCs w:val="20"/>
                <w:lang w:eastAsia="pt-BR"/>
              </w:rPr>
              <w:t>.</w:t>
            </w:r>
          </w:p>
        </w:tc>
      </w:tr>
      <w:tr w:rsidR="00A87269" w:rsidRPr="00DF4A2F" w:rsidTr="00510FF9">
        <w:trPr>
          <w:cantSplit/>
          <w:trHeight w:val="264"/>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contextualSpacing/>
              <w:rPr>
                <w:rFonts w:eastAsia="MS Mincho" w:cs="Arial"/>
                <w:sz w:val="20"/>
                <w:szCs w:val="20"/>
                <w:lang w:eastAsia="pt-BR"/>
              </w:rPr>
            </w:pPr>
            <w:r w:rsidRPr="00DF4A2F">
              <w:rPr>
                <w:rFonts w:cs="Arial"/>
                <w:sz w:val="20"/>
                <w:szCs w:val="20"/>
                <w:lang w:eastAsia="pt-BR"/>
              </w:rPr>
              <w:t>ABNT NBR 12809:2013 Resíduos de serviços de saúde — Gerenciamento de resíduos de serviços de saúde intraestabelecimento</w:t>
            </w:r>
            <w:r>
              <w:rPr>
                <w:rFonts w:cs="Arial"/>
                <w:sz w:val="20"/>
                <w:szCs w:val="20"/>
                <w:lang w:eastAsia="pt-BR"/>
              </w:rPr>
              <w:t>.</w:t>
            </w:r>
          </w:p>
        </w:tc>
      </w:tr>
      <w:tr w:rsidR="00A87269" w:rsidRPr="00DF4A2F" w:rsidTr="00510FF9">
        <w:trPr>
          <w:cantSplit/>
          <w:trHeight w:val="264"/>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contextualSpacing/>
              <w:rPr>
                <w:rFonts w:eastAsia="MS Mincho" w:cs="Arial"/>
                <w:sz w:val="20"/>
                <w:szCs w:val="20"/>
                <w:lang w:eastAsia="pt-BR"/>
              </w:rPr>
            </w:pPr>
            <w:r w:rsidRPr="00DF4A2F">
              <w:rPr>
                <w:rFonts w:cs="Arial"/>
                <w:sz w:val="20"/>
                <w:szCs w:val="20"/>
                <w:lang w:eastAsia="pt-BR"/>
              </w:rPr>
              <w:t xml:space="preserve">ABNT NBR 12810:1993 - Coleta de resíduos de serviços de saúde </w:t>
            </w:r>
            <w:r>
              <w:rPr>
                <w:rFonts w:cs="Arial"/>
                <w:sz w:val="20"/>
                <w:szCs w:val="20"/>
                <w:lang w:eastAsia="pt-BR"/>
              </w:rPr>
              <w:t>–</w:t>
            </w:r>
            <w:r w:rsidRPr="00DF4A2F">
              <w:rPr>
                <w:rFonts w:cs="Arial"/>
                <w:sz w:val="20"/>
                <w:szCs w:val="20"/>
                <w:lang w:eastAsia="pt-BR"/>
              </w:rPr>
              <w:t xml:space="preserve"> Procedimento</w:t>
            </w:r>
            <w:r>
              <w:rPr>
                <w:rFonts w:cs="Arial"/>
                <w:sz w:val="20"/>
                <w:szCs w:val="20"/>
                <w:lang w:eastAsia="pt-BR"/>
              </w:rPr>
              <w:t>.</w:t>
            </w:r>
          </w:p>
        </w:tc>
      </w:tr>
      <w:tr w:rsidR="00A87269" w:rsidRPr="00DF4A2F" w:rsidTr="00510FF9">
        <w:trPr>
          <w:cantSplit/>
          <w:trHeight w:val="264"/>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contextualSpacing/>
              <w:rPr>
                <w:rFonts w:eastAsia="MS Mincho" w:cs="Arial"/>
                <w:sz w:val="20"/>
                <w:szCs w:val="20"/>
                <w:lang w:eastAsia="pt-BR"/>
              </w:rPr>
            </w:pPr>
            <w:r w:rsidRPr="00DF4A2F">
              <w:rPr>
                <w:rFonts w:cs="Arial"/>
                <w:sz w:val="20"/>
                <w:szCs w:val="20"/>
                <w:lang w:eastAsia="pt-BR"/>
              </w:rPr>
              <w:t>ABNT NBR 13853:1997 Coletores para resíduos de serviços de saúde perfurantes ou cortantes - Requisitos e métodos de ensaio</w:t>
            </w:r>
            <w:r>
              <w:rPr>
                <w:rFonts w:cs="Arial"/>
                <w:sz w:val="20"/>
                <w:szCs w:val="20"/>
                <w:lang w:eastAsia="pt-BR"/>
              </w:rPr>
              <w:t>.</w:t>
            </w:r>
            <w:r w:rsidRPr="00DF4A2F">
              <w:rPr>
                <w:rFonts w:cs="Arial"/>
                <w:sz w:val="20"/>
                <w:szCs w:val="20"/>
                <w:lang w:eastAsia="pt-BR"/>
              </w:rPr>
              <w:t xml:space="preserve"> </w:t>
            </w:r>
          </w:p>
        </w:tc>
      </w:tr>
      <w:tr w:rsidR="00A87269" w:rsidRPr="00DF4A2F" w:rsidTr="00510FF9">
        <w:trPr>
          <w:cantSplit/>
          <w:trHeight w:val="264"/>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rPr>
            </w:pPr>
            <w:r w:rsidRPr="00DF4A2F">
              <w:rPr>
                <w:rFonts w:cs="Arial"/>
                <w:sz w:val="20"/>
                <w:szCs w:val="20"/>
              </w:rPr>
              <w:t>ABNT NBR 13842:2008 – Artigos têxteis hospitalares – Determinação de pureza (resíduos de incineração, corantes corretivos, substâncias gordurosas e de substâncias solúveis em água).</w:t>
            </w:r>
          </w:p>
          <w:p w:rsidR="00A87269" w:rsidRPr="00DF4A2F" w:rsidRDefault="00A87269" w:rsidP="00510FF9">
            <w:pPr>
              <w:spacing w:line="240" w:lineRule="auto"/>
              <w:rPr>
                <w:rFonts w:eastAsia="MS Mincho" w:cs="Arial"/>
                <w:b/>
                <w:sz w:val="20"/>
                <w:szCs w:val="20"/>
                <w:u w:val="single"/>
              </w:rPr>
            </w:pPr>
            <w:r w:rsidRPr="00DF4A2F">
              <w:rPr>
                <w:rFonts w:cs="Arial"/>
                <w:b/>
                <w:sz w:val="20"/>
                <w:szCs w:val="20"/>
                <w:u w:val="single"/>
              </w:rPr>
              <w:t>Resoluções SEMAD</w:t>
            </w:r>
          </w:p>
          <w:p w:rsidR="00A87269" w:rsidRPr="00DF4A2F" w:rsidRDefault="00A87269" w:rsidP="00510FF9">
            <w:pPr>
              <w:spacing w:line="240" w:lineRule="auto"/>
              <w:rPr>
                <w:rFonts w:eastAsia="MS Mincho" w:cs="Arial"/>
                <w:sz w:val="20"/>
                <w:szCs w:val="20"/>
              </w:rPr>
            </w:pPr>
            <w:r w:rsidRPr="00DF4A2F">
              <w:rPr>
                <w:rFonts w:cs="Arial"/>
                <w:sz w:val="20"/>
                <w:szCs w:val="20"/>
              </w:rPr>
              <w:t xml:space="preserve">Resolução SEMAD nº 1.300 de 06 de maio de 2011. Dispõe sobre a criação de Grupo Multidisciplinar de Trabalho para estabelecer critérios de avaliação de implantação do Plano de Gerenciamento de Resíduos de Serviços de Saúde (PGRSS) nos estabelecimentos geradores desses resíduos e estabelecer diretrizes de termo de referencia para elaboração e a apresentação do PGRSS no Estado de Minas Gerais. </w:t>
            </w:r>
          </w:p>
        </w:tc>
      </w:tr>
    </w:tbl>
    <w:p w:rsidR="00A87269" w:rsidRPr="00DF4A2F" w:rsidRDefault="00A87269" w:rsidP="00A87269">
      <w:pPr>
        <w:rPr>
          <w:rFonts w:cs="Arial"/>
        </w:rPr>
      </w:pPr>
    </w:p>
    <w:p w:rsidR="00A87269" w:rsidRPr="00DF4A2F" w:rsidRDefault="00A87269" w:rsidP="002828C8">
      <w:pPr>
        <w:pStyle w:val="Ttulo4"/>
      </w:pPr>
      <w:bookmarkStart w:id="504" w:name="_Toc488825323"/>
      <w:bookmarkStart w:id="505" w:name="_Toc493151489"/>
      <w:bookmarkStart w:id="506" w:name="_Toc497469058"/>
      <w:r w:rsidRPr="00DF4A2F">
        <w:t>Resíduos de mineração</w:t>
      </w:r>
      <w:bookmarkEnd w:id="504"/>
      <w:bookmarkEnd w:id="505"/>
      <w:bookmarkEnd w:id="506"/>
    </w:p>
    <w:p w:rsidR="00A87269" w:rsidRPr="00DF4A2F" w:rsidRDefault="00A87269" w:rsidP="00A87269">
      <w:pPr>
        <w:pStyle w:val="Default"/>
        <w:spacing w:line="360" w:lineRule="auto"/>
        <w:ind w:firstLine="709"/>
        <w:jc w:val="both"/>
        <w:rPr>
          <w:color w:val="auto"/>
        </w:rPr>
      </w:pPr>
      <w:r w:rsidRPr="00DF4A2F">
        <w:rPr>
          <w:color w:val="auto"/>
        </w:rPr>
        <w:t>Segundo a Lei n° 12.305 de 2010, resíduos de mineração são aqueles “gerados na atividade de pesquisa, extração ou beneficiamento de minérios” (art.13).</w:t>
      </w:r>
    </w:p>
    <w:p w:rsidR="00A87269" w:rsidRPr="00DF4A2F" w:rsidRDefault="00A87269" w:rsidP="00A87269">
      <w:pPr>
        <w:pStyle w:val="Default"/>
        <w:spacing w:line="360" w:lineRule="auto"/>
        <w:ind w:firstLine="709"/>
        <w:jc w:val="both"/>
        <w:rPr>
          <w:color w:val="auto"/>
        </w:rPr>
      </w:pPr>
      <w:r w:rsidRPr="00DF4A2F">
        <w:rPr>
          <w:color w:val="auto"/>
        </w:rPr>
        <w:lastRenderedPageBreak/>
        <w:t>Por englobarem diversas tipologias, esses resíduos apresentam poucas regras gerais, exigindo uma avaliação específica para cada caso. No entanto, os geradores de resíduos de mineração devem atentar para as normas legais específicas ao seu tipo de resíduo.</w:t>
      </w:r>
    </w:p>
    <w:p w:rsidR="00A87269" w:rsidRPr="00DF4A2F" w:rsidRDefault="00A87269" w:rsidP="00A87269">
      <w:pPr>
        <w:pStyle w:val="Default"/>
        <w:spacing w:line="360" w:lineRule="auto"/>
        <w:ind w:firstLine="709"/>
        <w:jc w:val="both"/>
        <w:rPr>
          <w:color w:val="auto"/>
        </w:rPr>
      </w:pPr>
      <w:r w:rsidRPr="00DF4A2F">
        <w:rPr>
          <w:color w:val="auto"/>
        </w:rPr>
        <w:t>Os resíduos de mineração deverão ser classificados de acordo com os procedimentos técnicos estabelecidos pelas normas da ABNT apresentadas a seguir (</w:t>
      </w:r>
      <w:r w:rsidRPr="00DF4A2F">
        <w:rPr>
          <w:color w:val="auto"/>
        </w:rPr>
        <w:fldChar w:fldCharType="begin"/>
      </w:r>
      <w:r w:rsidRPr="00DF4A2F">
        <w:rPr>
          <w:color w:val="auto"/>
        </w:rPr>
        <w:instrText xml:space="preserve"> REF _Ref483560309 \h  \* MERGEFORMAT </w:instrText>
      </w:r>
      <w:r w:rsidRPr="00DF4A2F">
        <w:rPr>
          <w:color w:val="auto"/>
        </w:rPr>
      </w:r>
      <w:r w:rsidRPr="00DF4A2F">
        <w:rPr>
          <w:color w:val="auto"/>
        </w:rPr>
        <w:fldChar w:fldCharType="separate"/>
      </w:r>
      <w:r w:rsidR="004D1D76" w:rsidRPr="004D1D76">
        <w:rPr>
          <w:color w:val="auto"/>
        </w:rPr>
        <w:t xml:space="preserve">Quadro </w:t>
      </w:r>
      <w:r w:rsidR="004D1D76" w:rsidRPr="004D1D76">
        <w:rPr>
          <w:noProof/>
          <w:color w:val="auto"/>
        </w:rPr>
        <w:t>53</w:t>
      </w:r>
      <w:r w:rsidRPr="00DF4A2F">
        <w:rPr>
          <w:color w:val="auto"/>
        </w:rPr>
        <w:fldChar w:fldCharType="end"/>
      </w:r>
      <w:r w:rsidRPr="00DF4A2F">
        <w:rPr>
          <w:color w:val="auto"/>
        </w:rPr>
        <w:t>).</w:t>
      </w:r>
    </w:p>
    <w:p w:rsidR="00A87269" w:rsidRPr="00DF4A2F" w:rsidRDefault="00A87269" w:rsidP="00A87269">
      <w:pPr>
        <w:pStyle w:val="Legenda"/>
      </w:pPr>
      <w:bookmarkStart w:id="507" w:name="_Ref483560309"/>
      <w:bookmarkStart w:id="508" w:name="_Toc488825066"/>
      <w:bookmarkStart w:id="509" w:name="_Toc493151603"/>
      <w:bookmarkStart w:id="510" w:name="_Toc497469174"/>
      <w:r w:rsidRPr="00DF4A2F">
        <w:t xml:space="preserve">Quadro </w:t>
      </w:r>
      <w:r w:rsidR="00D71C43">
        <w:fldChar w:fldCharType="begin"/>
      </w:r>
      <w:r w:rsidR="00D71C43">
        <w:instrText xml:space="preserve"> SEQ Quadro \* ARABIC </w:instrText>
      </w:r>
      <w:r w:rsidR="00D71C43">
        <w:fldChar w:fldCharType="separate"/>
      </w:r>
      <w:r w:rsidR="004D1D76">
        <w:rPr>
          <w:noProof/>
        </w:rPr>
        <w:t>53</w:t>
      </w:r>
      <w:r w:rsidR="00D71C43">
        <w:rPr>
          <w:noProof/>
        </w:rPr>
        <w:fldChar w:fldCharType="end"/>
      </w:r>
      <w:bookmarkEnd w:id="507"/>
      <w:r w:rsidRPr="00DF4A2F">
        <w:t xml:space="preserve"> </w:t>
      </w:r>
      <w:r w:rsidRPr="00DF4A2F">
        <w:rPr>
          <w:lang w:val="pt-BR"/>
        </w:rPr>
        <w:t>-</w:t>
      </w:r>
      <w:r w:rsidRPr="00DF4A2F">
        <w:t xml:space="preserve"> Resíduos de Mineração – Normas</w:t>
      </w:r>
      <w:bookmarkEnd w:id="508"/>
      <w:bookmarkEnd w:id="509"/>
      <w:bookmarkEnd w:id="510"/>
    </w:p>
    <w:tbl>
      <w:tblPr>
        <w:tblW w:w="8755" w:type="dxa"/>
        <w:jc w:val="center"/>
        <w:tblBorders>
          <w:top w:val="single" w:sz="8" w:space="0" w:color="4F81BD"/>
          <w:bottom w:val="single" w:sz="8" w:space="0" w:color="4F81BD"/>
        </w:tblBorders>
        <w:tblLook w:val="04A0" w:firstRow="1" w:lastRow="0" w:firstColumn="1" w:lastColumn="0" w:noHBand="0" w:noVBand="1"/>
      </w:tblPr>
      <w:tblGrid>
        <w:gridCol w:w="8755"/>
      </w:tblGrid>
      <w:tr w:rsidR="00A87269" w:rsidRPr="00DF4A2F" w:rsidTr="00510FF9">
        <w:trPr>
          <w:trHeight w:val="252"/>
          <w:tblHeade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Times New Roman" w:cs="Arial"/>
                <w:b/>
                <w:sz w:val="20"/>
                <w:szCs w:val="20"/>
                <w:u w:val="single"/>
              </w:rPr>
            </w:pPr>
            <w:r w:rsidRPr="00DF4A2F">
              <w:rPr>
                <w:rFonts w:cs="Arial"/>
                <w:b/>
                <w:sz w:val="20"/>
                <w:szCs w:val="20"/>
                <w:u w:val="single"/>
              </w:rPr>
              <w:t>Normas técnicas</w:t>
            </w:r>
          </w:p>
        </w:tc>
      </w:tr>
      <w:tr w:rsidR="00A87269" w:rsidRPr="00DF4A2F" w:rsidTr="00510FF9">
        <w:trPr>
          <w:trHeight w:val="252"/>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Times New Roman" w:cs="Arial"/>
                <w:sz w:val="20"/>
                <w:szCs w:val="20"/>
              </w:rPr>
            </w:pPr>
            <w:r w:rsidRPr="00DF4A2F">
              <w:rPr>
                <w:rFonts w:eastAsia="Times New Roman" w:cs="Arial"/>
                <w:sz w:val="20"/>
                <w:szCs w:val="20"/>
              </w:rPr>
              <w:t>ABNT NBR 10.004:2004 – Resíduos sólidos: Classificação.</w:t>
            </w:r>
          </w:p>
        </w:tc>
      </w:tr>
      <w:tr w:rsidR="00A87269" w:rsidRPr="00DF4A2F" w:rsidTr="00510FF9">
        <w:trPr>
          <w:trHeight w:val="252"/>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Times New Roman" w:cs="Arial"/>
                <w:sz w:val="20"/>
                <w:szCs w:val="20"/>
              </w:rPr>
            </w:pPr>
            <w:r w:rsidRPr="00DF4A2F">
              <w:rPr>
                <w:rFonts w:eastAsia="Times New Roman" w:cs="Arial"/>
                <w:sz w:val="20"/>
                <w:szCs w:val="20"/>
              </w:rPr>
              <w:t>ABNT NBR 10.005:2004 – Procedimentos para obtenção de extrato lixiviado de resíduos sólidos.</w:t>
            </w:r>
          </w:p>
        </w:tc>
      </w:tr>
      <w:tr w:rsidR="00A87269" w:rsidRPr="00DF4A2F" w:rsidTr="00510FF9">
        <w:trPr>
          <w:trHeight w:val="252"/>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Times New Roman" w:cs="Arial"/>
                <w:sz w:val="20"/>
                <w:szCs w:val="20"/>
              </w:rPr>
            </w:pPr>
            <w:r w:rsidRPr="00DF4A2F">
              <w:rPr>
                <w:rFonts w:eastAsia="Times New Roman" w:cs="Arial"/>
                <w:sz w:val="20"/>
                <w:szCs w:val="20"/>
              </w:rPr>
              <w:t>ABNT NBR 10.006:2004 – Procedimentos para obtenção de extrato solubilizado de resíduos sólidos.</w:t>
            </w:r>
          </w:p>
        </w:tc>
      </w:tr>
      <w:tr w:rsidR="00A87269" w:rsidRPr="00DF4A2F" w:rsidTr="00510FF9">
        <w:trPr>
          <w:trHeight w:val="252"/>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Times New Roman" w:cs="Arial"/>
                <w:sz w:val="20"/>
                <w:szCs w:val="20"/>
              </w:rPr>
            </w:pPr>
            <w:r w:rsidRPr="00DF4A2F">
              <w:rPr>
                <w:rFonts w:eastAsia="Times New Roman" w:cs="Arial"/>
                <w:sz w:val="20"/>
                <w:szCs w:val="20"/>
              </w:rPr>
              <w:t>ABNT NBR 10.007:2004 – Amostragem de resíduos sólidos.</w:t>
            </w:r>
          </w:p>
        </w:tc>
      </w:tr>
      <w:tr w:rsidR="00A87269" w:rsidRPr="00DF4A2F" w:rsidTr="00510FF9">
        <w:trPr>
          <w:trHeight w:val="252"/>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Times New Roman" w:cs="Arial"/>
                <w:sz w:val="20"/>
                <w:szCs w:val="20"/>
              </w:rPr>
            </w:pPr>
            <w:r w:rsidRPr="00DF4A2F">
              <w:rPr>
                <w:rFonts w:eastAsia="Times New Roman" w:cs="Arial"/>
                <w:sz w:val="20"/>
                <w:szCs w:val="20"/>
              </w:rPr>
              <w:t>ABNT NBR 12235:1992 – Armazenamento de Resíduos Sólidos Perigosos</w:t>
            </w:r>
            <w:r>
              <w:rPr>
                <w:rFonts w:eastAsia="Times New Roman" w:cs="Arial"/>
                <w:sz w:val="20"/>
                <w:szCs w:val="20"/>
              </w:rPr>
              <w:t>.</w:t>
            </w:r>
          </w:p>
        </w:tc>
      </w:tr>
      <w:tr w:rsidR="00A87269" w:rsidRPr="00DF4A2F" w:rsidTr="00510FF9">
        <w:trPr>
          <w:trHeight w:val="252"/>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Times New Roman" w:cs="Arial"/>
                <w:sz w:val="20"/>
                <w:szCs w:val="20"/>
              </w:rPr>
            </w:pPr>
            <w:r w:rsidRPr="00DF4A2F">
              <w:rPr>
                <w:rFonts w:eastAsia="Times New Roman" w:cs="Arial"/>
                <w:sz w:val="20"/>
                <w:szCs w:val="20"/>
              </w:rPr>
              <w:t>ABNT NBR 13028:2006 – Mineração – Elaboração e apresentação de projetos de barragens para disposição de rejeitos, contenção de sedimentos e reservação de água.</w:t>
            </w:r>
          </w:p>
        </w:tc>
      </w:tr>
      <w:tr w:rsidR="00A87269" w:rsidRPr="00DF4A2F" w:rsidTr="00510FF9">
        <w:trPr>
          <w:trHeight w:val="252"/>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Times New Roman" w:cs="Arial"/>
                <w:sz w:val="20"/>
                <w:szCs w:val="20"/>
              </w:rPr>
            </w:pPr>
            <w:r w:rsidRPr="00DF4A2F">
              <w:rPr>
                <w:rFonts w:eastAsia="Times New Roman" w:cs="Arial"/>
                <w:sz w:val="20"/>
                <w:szCs w:val="20"/>
              </w:rPr>
              <w:t xml:space="preserve">ABNT NBR 13029:2006 – Mineração – Elaboração e apresentação de projeto de disposição de estéril em pilha. </w:t>
            </w:r>
          </w:p>
        </w:tc>
      </w:tr>
      <w:tr w:rsidR="00A87269" w:rsidRPr="00DF4A2F" w:rsidTr="00510FF9">
        <w:trPr>
          <w:trHeight w:val="252"/>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Times New Roman" w:cs="Arial"/>
                <w:sz w:val="20"/>
                <w:szCs w:val="20"/>
              </w:rPr>
            </w:pPr>
            <w:r w:rsidRPr="00DF4A2F">
              <w:rPr>
                <w:rFonts w:eastAsia="Times New Roman" w:cs="Arial"/>
                <w:sz w:val="20"/>
                <w:szCs w:val="20"/>
              </w:rPr>
              <w:t>ABNT NBR 13030:1999 – Elaboração e apresentação de projeto de reabilitação de áreas degradadas pela mineração.</w:t>
            </w:r>
          </w:p>
        </w:tc>
      </w:tr>
    </w:tbl>
    <w:p w:rsidR="002828C8" w:rsidRDefault="002828C8" w:rsidP="002828C8">
      <w:bookmarkStart w:id="511" w:name="_Toc488825324"/>
      <w:bookmarkStart w:id="512" w:name="_Toc493151490"/>
    </w:p>
    <w:p w:rsidR="00A87269" w:rsidRPr="00DF4A2F" w:rsidRDefault="00A87269" w:rsidP="002828C8">
      <w:pPr>
        <w:pStyle w:val="Ttulo4"/>
      </w:pPr>
      <w:bookmarkStart w:id="513" w:name="_Toc497469059"/>
      <w:r w:rsidRPr="00DF4A2F">
        <w:t>Resíduos de construção civil</w:t>
      </w:r>
      <w:bookmarkEnd w:id="511"/>
      <w:bookmarkEnd w:id="512"/>
      <w:bookmarkEnd w:id="513"/>
    </w:p>
    <w:p w:rsidR="00A87269" w:rsidRPr="00DF4A2F" w:rsidRDefault="00A87269" w:rsidP="0092438C">
      <w:pPr>
        <w:pStyle w:val="Default"/>
        <w:ind w:firstLine="709"/>
        <w:rPr>
          <w:color w:val="auto"/>
        </w:rPr>
      </w:pPr>
      <w:r w:rsidRPr="00DF4A2F">
        <w:rPr>
          <w:color w:val="auto"/>
        </w:rPr>
        <w:t xml:space="preserve">Os resíduos de construção civil são aqueles “gerados nas construções, reformas, reparos e demolições de obras de construção civil, incluídos os resultantes da preparação e escavação de terrenos para obras civis, conforme definido em regulamento ou em normas estabelecidas pelos órgãos do Sisnama e do SNVS”, segundo o art. 13 da Lei n° 12.305 de 2010. A legislação aplicável a esse tipo de resíduo, bem como as normas e regras gerais, estão apresentadas no </w:t>
      </w:r>
      <w:r w:rsidRPr="00DF4A2F">
        <w:rPr>
          <w:color w:val="auto"/>
        </w:rPr>
        <w:fldChar w:fldCharType="begin"/>
      </w:r>
      <w:r w:rsidRPr="00DF4A2F">
        <w:rPr>
          <w:color w:val="auto"/>
        </w:rPr>
        <w:instrText xml:space="preserve"> REF _Ref483560393 \h  \* MERGEFORMAT </w:instrText>
      </w:r>
      <w:r w:rsidRPr="00DF4A2F">
        <w:rPr>
          <w:color w:val="auto"/>
        </w:rPr>
      </w:r>
      <w:r w:rsidRPr="00DF4A2F">
        <w:rPr>
          <w:color w:val="auto"/>
        </w:rPr>
        <w:fldChar w:fldCharType="separate"/>
      </w:r>
      <w:r w:rsidR="004D1D76" w:rsidRPr="004D1D76">
        <w:rPr>
          <w:color w:val="auto"/>
        </w:rPr>
        <w:t xml:space="preserve">Quadro </w:t>
      </w:r>
      <w:r w:rsidR="004D1D76" w:rsidRPr="004D1D76">
        <w:rPr>
          <w:noProof/>
          <w:color w:val="auto"/>
        </w:rPr>
        <w:t>54</w:t>
      </w:r>
      <w:r w:rsidRPr="00DF4A2F">
        <w:rPr>
          <w:color w:val="auto"/>
        </w:rPr>
        <w:fldChar w:fldCharType="end"/>
      </w:r>
      <w:r w:rsidRPr="00DF4A2F">
        <w:rPr>
          <w:color w:val="auto"/>
        </w:rPr>
        <w:t xml:space="preserve">, </w:t>
      </w:r>
      <w:r w:rsidRPr="00DF4A2F">
        <w:rPr>
          <w:color w:val="auto"/>
        </w:rPr>
        <w:fldChar w:fldCharType="begin"/>
      </w:r>
      <w:r w:rsidRPr="00DF4A2F">
        <w:rPr>
          <w:color w:val="auto"/>
        </w:rPr>
        <w:instrText xml:space="preserve"> REF _Ref483560404 \h  \* MERGEFORMAT </w:instrText>
      </w:r>
      <w:r w:rsidRPr="00DF4A2F">
        <w:rPr>
          <w:color w:val="auto"/>
        </w:rPr>
      </w:r>
      <w:r w:rsidRPr="00DF4A2F">
        <w:rPr>
          <w:color w:val="auto"/>
        </w:rPr>
        <w:fldChar w:fldCharType="separate"/>
      </w:r>
      <w:r w:rsidR="004D1D76" w:rsidRPr="004D1D76">
        <w:rPr>
          <w:color w:val="auto"/>
        </w:rPr>
        <w:t xml:space="preserve">Quadro </w:t>
      </w:r>
      <w:r w:rsidR="004D1D76" w:rsidRPr="004D1D76">
        <w:rPr>
          <w:noProof/>
          <w:color w:val="auto"/>
        </w:rPr>
        <w:t>55</w:t>
      </w:r>
      <w:r w:rsidRPr="00DF4A2F">
        <w:rPr>
          <w:color w:val="auto"/>
        </w:rPr>
        <w:fldChar w:fldCharType="end"/>
      </w:r>
      <w:r w:rsidRPr="00DF4A2F">
        <w:rPr>
          <w:color w:val="auto"/>
        </w:rPr>
        <w:t xml:space="preserve">, </w:t>
      </w:r>
      <w:r w:rsidRPr="00DF4A2F">
        <w:rPr>
          <w:color w:val="auto"/>
        </w:rPr>
        <w:fldChar w:fldCharType="begin"/>
      </w:r>
      <w:r w:rsidRPr="00DF4A2F">
        <w:rPr>
          <w:color w:val="auto"/>
        </w:rPr>
        <w:instrText xml:space="preserve"> REF _Ref483560412 \h  \* MERGEFORMAT </w:instrText>
      </w:r>
      <w:r w:rsidRPr="00DF4A2F">
        <w:rPr>
          <w:color w:val="auto"/>
        </w:rPr>
      </w:r>
      <w:r w:rsidRPr="00DF4A2F">
        <w:rPr>
          <w:color w:val="auto"/>
        </w:rPr>
        <w:fldChar w:fldCharType="separate"/>
      </w:r>
      <w:r w:rsidR="004D1D76" w:rsidRPr="004D1D76">
        <w:rPr>
          <w:color w:val="auto"/>
        </w:rPr>
        <w:t xml:space="preserve">Quadro </w:t>
      </w:r>
      <w:r w:rsidR="004D1D76" w:rsidRPr="004D1D76">
        <w:rPr>
          <w:noProof/>
          <w:color w:val="auto"/>
        </w:rPr>
        <w:t>56</w:t>
      </w:r>
      <w:r w:rsidRPr="00DF4A2F">
        <w:rPr>
          <w:color w:val="auto"/>
        </w:rPr>
        <w:fldChar w:fldCharType="end"/>
      </w:r>
      <w:r w:rsidRPr="00DF4A2F">
        <w:rPr>
          <w:color w:val="auto"/>
        </w:rPr>
        <w:t xml:space="preserve">, </w:t>
      </w:r>
      <w:r w:rsidRPr="00DF4A2F">
        <w:rPr>
          <w:color w:val="auto"/>
        </w:rPr>
        <w:fldChar w:fldCharType="begin"/>
      </w:r>
      <w:r w:rsidRPr="00DF4A2F">
        <w:rPr>
          <w:color w:val="auto"/>
        </w:rPr>
        <w:instrText xml:space="preserve"> REF _Ref483560426 \h  \* MERGEFORMAT </w:instrText>
      </w:r>
      <w:r w:rsidRPr="00DF4A2F">
        <w:rPr>
          <w:color w:val="auto"/>
        </w:rPr>
      </w:r>
      <w:r w:rsidRPr="00DF4A2F">
        <w:rPr>
          <w:color w:val="auto"/>
        </w:rPr>
        <w:fldChar w:fldCharType="separate"/>
      </w:r>
      <w:r w:rsidR="004D1D76" w:rsidRPr="004D1D76">
        <w:rPr>
          <w:color w:val="auto"/>
        </w:rPr>
        <w:t xml:space="preserve">Quadro </w:t>
      </w:r>
      <w:r w:rsidR="004D1D76" w:rsidRPr="004D1D76">
        <w:rPr>
          <w:noProof/>
          <w:color w:val="auto"/>
        </w:rPr>
        <w:t>57</w:t>
      </w:r>
      <w:r w:rsidRPr="00DF4A2F">
        <w:rPr>
          <w:color w:val="auto"/>
        </w:rPr>
        <w:fldChar w:fldCharType="end"/>
      </w:r>
      <w:r w:rsidRPr="00DF4A2F">
        <w:rPr>
          <w:color w:val="auto"/>
        </w:rPr>
        <w:t xml:space="preserve"> e no</w:t>
      </w:r>
      <w:r w:rsidR="0092438C">
        <w:rPr>
          <w:color w:val="auto"/>
        </w:rPr>
        <w:t xml:space="preserve"> </w:t>
      </w:r>
      <w:r w:rsidR="0092438C">
        <w:rPr>
          <w:color w:val="auto"/>
        </w:rPr>
        <w:fldChar w:fldCharType="begin"/>
      </w:r>
      <w:r w:rsidR="0092438C">
        <w:rPr>
          <w:color w:val="auto"/>
        </w:rPr>
        <w:instrText xml:space="preserve"> REF _Ref497468211 \h </w:instrText>
      </w:r>
      <w:r w:rsidR="0092438C">
        <w:rPr>
          <w:color w:val="auto"/>
        </w:rPr>
      </w:r>
      <w:r w:rsidR="0092438C">
        <w:rPr>
          <w:color w:val="auto"/>
        </w:rPr>
        <w:fldChar w:fldCharType="separate"/>
      </w:r>
      <w:r w:rsidR="004D1D76" w:rsidRPr="00DF4A2F">
        <w:t xml:space="preserve">Quadro </w:t>
      </w:r>
      <w:r w:rsidR="004D1D76">
        <w:rPr>
          <w:noProof/>
        </w:rPr>
        <w:t>58</w:t>
      </w:r>
      <w:r w:rsidR="0092438C">
        <w:rPr>
          <w:color w:val="auto"/>
        </w:rPr>
        <w:fldChar w:fldCharType="end"/>
      </w:r>
      <w:r w:rsidRPr="00DF4A2F">
        <w:rPr>
          <w:color w:val="auto"/>
        </w:rPr>
        <w:t>.</w:t>
      </w:r>
    </w:p>
    <w:p w:rsidR="00A87269" w:rsidRPr="00DF4A2F" w:rsidRDefault="00A87269" w:rsidP="00A87269">
      <w:pPr>
        <w:pStyle w:val="Legenda"/>
      </w:pPr>
      <w:bookmarkStart w:id="514" w:name="_Ref483560393"/>
      <w:bookmarkStart w:id="515" w:name="_Toc488825067"/>
      <w:bookmarkStart w:id="516" w:name="_Toc493151604"/>
      <w:bookmarkStart w:id="517" w:name="_Toc497469175"/>
      <w:r w:rsidRPr="00DF4A2F">
        <w:t xml:space="preserve">Quadro </w:t>
      </w:r>
      <w:r w:rsidR="00D71C43">
        <w:fldChar w:fldCharType="begin"/>
      </w:r>
      <w:r w:rsidR="00D71C43">
        <w:instrText xml:space="preserve"> SEQ Quadro \* ARABIC </w:instrText>
      </w:r>
      <w:r w:rsidR="00D71C43">
        <w:fldChar w:fldCharType="separate"/>
      </w:r>
      <w:r w:rsidR="004D1D76">
        <w:rPr>
          <w:noProof/>
        </w:rPr>
        <w:t>54</w:t>
      </w:r>
      <w:r w:rsidR="00D71C43">
        <w:rPr>
          <w:noProof/>
        </w:rPr>
        <w:fldChar w:fldCharType="end"/>
      </w:r>
      <w:bookmarkEnd w:id="514"/>
      <w:r w:rsidRPr="00DF4A2F">
        <w:t xml:space="preserve"> </w:t>
      </w:r>
      <w:r w:rsidRPr="00DF4A2F">
        <w:rPr>
          <w:lang w:val="pt-BR"/>
        </w:rPr>
        <w:t>-</w:t>
      </w:r>
      <w:r w:rsidRPr="00DF4A2F">
        <w:t xml:space="preserve"> Resíduos de Construção Civil – Classificação.</w:t>
      </w:r>
      <w:bookmarkEnd w:id="515"/>
      <w:bookmarkEnd w:id="516"/>
      <w:bookmarkEnd w:id="517"/>
    </w:p>
    <w:tbl>
      <w:tblPr>
        <w:tblW w:w="8755" w:type="dxa"/>
        <w:jc w:val="center"/>
        <w:tblBorders>
          <w:top w:val="single" w:sz="8" w:space="0" w:color="4F81BD"/>
          <w:bottom w:val="single" w:sz="8" w:space="0" w:color="4F81BD"/>
        </w:tblBorders>
        <w:tblLook w:val="04A0" w:firstRow="1" w:lastRow="0" w:firstColumn="1" w:lastColumn="0" w:noHBand="0" w:noVBand="1"/>
      </w:tblPr>
      <w:tblGrid>
        <w:gridCol w:w="8755"/>
      </w:tblGrid>
      <w:tr w:rsidR="00A87269" w:rsidRPr="00DF4A2F" w:rsidTr="00510FF9">
        <w:trPr>
          <w:tblHeade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cs="Arial"/>
                <w:b/>
                <w:sz w:val="20"/>
                <w:szCs w:val="20"/>
              </w:rPr>
            </w:pPr>
            <w:r w:rsidRPr="00DF4A2F">
              <w:rPr>
                <w:rFonts w:cs="Arial"/>
                <w:b/>
                <w:sz w:val="20"/>
                <w:szCs w:val="20"/>
              </w:rPr>
              <w:t>Classificação dos RCC segundo a</w:t>
            </w:r>
            <w:r w:rsidRPr="00DF4A2F">
              <w:rPr>
                <w:rFonts w:cs="Arial"/>
                <w:b/>
                <w:sz w:val="20"/>
                <w:szCs w:val="20"/>
                <w:lang w:eastAsia="pt-BR"/>
              </w:rPr>
              <w:t xml:space="preserve"> Resolução CONAMA nº 307 de 2002</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cs="Arial"/>
                <w:sz w:val="20"/>
                <w:szCs w:val="20"/>
              </w:rPr>
            </w:pPr>
            <w:r w:rsidRPr="00DF4A2F">
              <w:rPr>
                <w:rFonts w:cs="Arial"/>
                <w:sz w:val="20"/>
                <w:szCs w:val="20"/>
              </w:rPr>
              <w:t>Classe A: são os resíduos reutilizáveis ou recicláveis como agregados, tais como os resíduos de pavimentação e de outras obras de infraestrutura, inclusive solos de terraplanagem; resíduos de edificações: componentes cerâmicos (tijolos, blocos, telhas, placas de revestimento etc.), argamassa e concreto; e resíduos de processo de fabricação e/ou demolição de peças pré-moldadas em concreto (blocos, tubos, meios-fios etc.) produzidas nos canteiros de obras.</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autoSpaceDE w:val="0"/>
              <w:autoSpaceDN w:val="0"/>
              <w:adjustRightInd w:val="0"/>
              <w:spacing w:line="240" w:lineRule="auto"/>
              <w:rPr>
                <w:rFonts w:eastAsia="MS Mincho" w:cs="Arial"/>
                <w:sz w:val="20"/>
                <w:szCs w:val="20"/>
              </w:rPr>
            </w:pPr>
            <w:r w:rsidRPr="00DF4A2F">
              <w:rPr>
                <w:rFonts w:cs="Arial"/>
                <w:sz w:val="20"/>
                <w:szCs w:val="20"/>
              </w:rPr>
              <w:t>Classe B: são os resíduos recicláveis para outras destinações, tais como: plásticos, papel, papelão, metais, vidros, madeiras e gesso.</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MS Mincho" w:cs="Arial"/>
                <w:sz w:val="20"/>
                <w:szCs w:val="20"/>
              </w:rPr>
            </w:pPr>
            <w:r w:rsidRPr="00DF4A2F">
              <w:rPr>
                <w:rFonts w:cs="Arial"/>
                <w:sz w:val="20"/>
                <w:szCs w:val="20"/>
              </w:rPr>
              <w:t>Classe C: são os resíduos para os quais não foram desenvolvidas tecnologias ou aplicações economicamente viáveis que permitam a sua reciclagem ou recuperação.</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rPr>
            </w:pPr>
            <w:r w:rsidRPr="00DF4A2F">
              <w:rPr>
                <w:rFonts w:cs="Arial"/>
                <w:sz w:val="20"/>
                <w:szCs w:val="20"/>
              </w:rPr>
              <w:t xml:space="preserve">Classe D: são resíduos perigosos oriundos do processo de construção, tais como tintas, </w:t>
            </w:r>
            <w:r w:rsidRPr="00DF4A2F">
              <w:rPr>
                <w:rFonts w:cs="Arial"/>
                <w:sz w:val="20"/>
                <w:szCs w:val="20"/>
              </w:rPr>
              <w:lastRenderedPageBreak/>
              <w:t>solventes, óleos e outros ou aqueles contaminados ou prejudiciais à saúde oriundos de demolições, reformas e reparos de clínicas radiológicas, instalações industriais e outros, bem como telhas e demais objetos e materiais que contenham amianto ou outros produtos nocivos à saúde.</w:t>
            </w:r>
          </w:p>
        </w:tc>
      </w:tr>
    </w:tbl>
    <w:p w:rsidR="00A87269" w:rsidRPr="00DF4A2F" w:rsidRDefault="00A87269" w:rsidP="00A87269">
      <w:pPr>
        <w:pStyle w:val="Legenda"/>
      </w:pPr>
      <w:bookmarkStart w:id="518" w:name="_Ref483560404"/>
      <w:bookmarkStart w:id="519" w:name="_Toc488825068"/>
      <w:bookmarkStart w:id="520" w:name="_Toc493151605"/>
      <w:bookmarkStart w:id="521" w:name="_Toc497469176"/>
      <w:r w:rsidRPr="00DF4A2F">
        <w:lastRenderedPageBreak/>
        <w:t xml:space="preserve">Quadro </w:t>
      </w:r>
      <w:r w:rsidR="00D71C43">
        <w:fldChar w:fldCharType="begin"/>
      </w:r>
      <w:r w:rsidR="00D71C43">
        <w:instrText xml:space="preserve"> SEQ Quadro \* ARABIC </w:instrText>
      </w:r>
      <w:r w:rsidR="00D71C43">
        <w:fldChar w:fldCharType="separate"/>
      </w:r>
      <w:r w:rsidR="004D1D76">
        <w:rPr>
          <w:noProof/>
        </w:rPr>
        <w:t>55</w:t>
      </w:r>
      <w:r w:rsidR="00D71C43">
        <w:rPr>
          <w:noProof/>
        </w:rPr>
        <w:fldChar w:fldCharType="end"/>
      </w:r>
      <w:bookmarkEnd w:id="518"/>
      <w:r w:rsidRPr="00DF4A2F">
        <w:t xml:space="preserve"> </w:t>
      </w:r>
      <w:r w:rsidRPr="00DF4A2F">
        <w:rPr>
          <w:lang w:val="pt-BR"/>
        </w:rPr>
        <w:t>-</w:t>
      </w:r>
      <w:r w:rsidRPr="00DF4A2F">
        <w:t xml:space="preserve"> Resíduos de Construção Civil – Regras de Coleta e Transporte.</w:t>
      </w:r>
      <w:bookmarkEnd w:id="519"/>
      <w:bookmarkEnd w:id="520"/>
      <w:bookmarkEnd w:id="521"/>
    </w:p>
    <w:tbl>
      <w:tblPr>
        <w:tblW w:w="8755" w:type="dxa"/>
        <w:jc w:val="center"/>
        <w:tblBorders>
          <w:top w:val="single" w:sz="8" w:space="0" w:color="4F81BD"/>
          <w:bottom w:val="single" w:sz="8" w:space="0" w:color="4F81BD"/>
        </w:tblBorders>
        <w:tblLook w:val="04A0" w:firstRow="1" w:lastRow="0" w:firstColumn="1" w:lastColumn="0" w:noHBand="0" w:noVBand="1"/>
      </w:tblPr>
      <w:tblGrid>
        <w:gridCol w:w="8755"/>
      </w:tblGrid>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cs="Arial"/>
                <w:b/>
                <w:sz w:val="20"/>
                <w:szCs w:val="20"/>
              </w:rPr>
            </w:pPr>
            <w:r w:rsidRPr="00DF4A2F">
              <w:rPr>
                <w:rFonts w:cs="Arial"/>
                <w:b/>
                <w:sz w:val="20"/>
                <w:szCs w:val="20"/>
              </w:rPr>
              <w:t>Regras de coleta e transporte dos RCC segundo a</w:t>
            </w:r>
            <w:r w:rsidRPr="00DF4A2F">
              <w:rPr>
                <w:rFonts w:cs="Arial"/>
                <w:b/>
                <w:sz w:val="20"/>
                <w:szCs w:val="20"/>
                <w:lang w:eastAsia="pt-BR"/>
              </w:rPr>
              <w:t xml:space="preserve"> Resolução CONAMA nº 307 de 2002</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cs="Arial"/>
                <w:sz w:val="20"/>
                <w:szCs w:val="20"/>
              </w:rPr>
            </w:pPr>
            <w:r w:rsidRPr="00DF4A2F">
              <w:rPr>
                <w:rFonts w:cs="Arial"/>
                <w:sz w:val="20"/>
                <w:szCs w:val="20"/>
              </w:rPr>
              <w:t>O gerador deve garantir o confinamento dos resíduos após a geração até a etapa de transporte, assegurando em todos os casos em que seja possível, as condições de reutilização e de reciclagem.</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rPr>
            </w:pPr>
            <w:r w:rsidRPr="00DF4A2F">
              <w:rPr>
                <w:rFonts w:cs="Arial"/>
                <w:sz w:val="20"/>
                <w:szCs w:val="20"/>
              </w:rPr>
              <w:t>O transporte deverá ser realizado em conformidade com as etapas anteriores e de acordo com as normas técnicas vigentes para o transporte de resíduos.</w:t>
            </w:r>
          </w:p>
        </w:tc>
      </w:tr>
    </w:tbl>
    <w:p w:rsidR="00A87269" w:rsidRPr="00DF4A2F" w:rsidRDefault="00A87269" w:rsidP="00A87269">
      <w:pPr>
        <w:pStyle w:val="Legenda"/>
      </w:pPr>
      <w:bookmarkStart w:id="522" w:name="_Ref483560412"/>
      <w:bookmarkStart w:id="523" w:name="_Toc488825069"/>
      <w:bookmarkStart w:id="524" w:name="_Toc493151606"/>
      <w:bookmarkStart w:id="525" w:name="_Toc497469177"/>
      <w:r w:rsidRPr="00DF4A2F">
        <w:t xml:space="preserve">Quadro </w:t>
      </w:r>
      <w:r w:rsidR="00D71C43">
        <w:fldChar w:fldCharType="begin"/>
      </w:r>
      <w:r w:rsidR="00D71C43">
        <w:instrText xml:space="preserve"> SEQ Quadro \* ARABIC </w:instrText>
      </w:r>
      <w:r w:rsidR="00D71C43">
        <w:fldChar w:fldCharType="separate"/>
      </w:r>
      <w:r w:rsidR="004D1D76">
        <w:rPr>
          <w:noProof/>
        </w:rPr>
        <w:t>56</w:t>
      </w:r>
      <w:r w:rsidR="00D71C43">
        <w:rPr>
          <w:noProof/>
        </w:rPr>
        <w:fldChar w:fldCharType="end"/>
      </w:r>
      <w:bookmarkEnd w:id="522"/>
      <w:r w:rsidRPr="00DF4A2F">
        <w:t xml:space="preserve"> </w:t>
      </w:r>
      <w:r w:rsidRPr="00DF4A2F">
        <w:rPr>
          <w:lang w:val="pt-BR"/>
        </w:rPr>
        <w:t>-</w:t>
      </w:r>
      <w:r w:rsidRPr="00DF4A2F">
        <w:t xml:space="preserve"> Resíduos de Construção Civil – Regras de Tratamento e Disposição.</w:t>
      </w:r>
      <w:bookmarkEnd w:id="523"/>
      <w:bookmarkEnd w:id="524"/>
      <w:bookmarkEnd w:id="525"/>
    </w:p>
    <w:tbl>
      <w:tblPr>
        <w:tblW w:w="8755" w:type="dxa"/>
        <w:jc w:val="center"/>
        <w:tblBorders>
          <w:top w:val="single" w:sz="8" w:space="0" w:color="4F81BD"/>
          <w:bottom w:val="single" w:sz="8" w:space="0" w:color="4F81BD"/>
        </w:tblBorders>
        <w:tblLook w:val="04A0" w:firstRow="1" w:lastRow="0" w:firstColumn="1" w:lastColumn="0" w:noHBand="0" w:noVBand="1"/>
      </w:tblPr>
      <w:tblGrid>
        <w:gridCol w:w="8755"/>
      </w:tblGrid>
      <w:tr w:rsidR="00A87269" w:rsidRPr="00DF4A2F" w:rsidTr="00510FF9">
        <w:trPr>
          <w:tblHeade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cs="Arial"/>
                <w:b/>
                <w:sz w:val="20"/>
                <w:szCs w:val="20"/>
              </w:rPr>
            </w:pPr>
            <w:r w:rsidRPr="00DF4A2F">
              <w:rPr>
                <w:rFonts w:cs="Arial"/>
                <w:b/>
                <w:sz w:val="20"/>
                <w:szCs w:val="20"/>
              </w:rPr>
              <w:t>Regras de tratamento e disposição dos RCC segundo a</w:t>
            </w:r>
            <w:r w:rsidRPr="00DF4A2F">
              <w:rPr>
                <w:rFonts w:cs="Arial"/>
                <w:b/>
                <w:sz w:val="20"/>
                <w:szCs w:val="20"/>
                <w:lang w:eastAsia="pt-BR"/>
              </w:rPr>
              <w:t xml:space="preserve"> Resolução CONAMA nº 307 de 2002</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cs="Arial"/>
                <w:sz w:val="20"/>
                <w:szCs w:val="20"/>
              </w:rPr>
            </w:pPr>
            <w:r w:rsidRPr="00DF4A2F">
              <w:rPr>
                <w:rFonts w:cs="Arial"/>
                <w:sz w:val="20"/>
                <w:szCs w:val="20"/>
              </w:rPr>
              <w:t>Os resíduos Classe A devem ser reutilizados ou reciclados na forma de agregados ou encaminhados a aterro de resíduos classe A de reservação de material para usos futuros.</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rPr>
            </w:pPr>
            <w:r w:rsidRPr="00DF4A2F">
              <w:rPr>
                <w:rFonts w:cs="Arial"/>
                <w:sz w:val="20"/>
                <w:szCs w:val="20"/>
              </w:rPr>
              <w:t>Os resíduos Classe B devem ser reutilizados, reciclados ou encaminhados a áreas de armazenamento temporário, sendo dispostos de modo a permitir a sua utilização ou reciclagem futura.</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MS Mincho" w:cs="Arial"/>
                <w:sz w:val="20"/>
                <w:szCs w:val="20"/>
              </w:rPr>
            </w:pPr>
            <w:r w:rsidRPr="00DF4A2F">
              <w:rPr>
                <w:rFonts w:cs="Arial"/>
                <w:sz w:val="20"/>
                <w:szCs w:val="20"/>
              </w:rPr>
              <w:t>Os resíduos Classe C devem ser armazenados, transportados e destinados em conformidade com as normas técnicas específicas.</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rPr>
            </w:pPr>
            <w:r w:rsidRPr="00DF4A2F">
              <w:rPr>
                <w:rFonts w:cs="Arial"/>
                <w:sz w:val="20"/>
                <w:szCs w:val="20"/>
              </w:rPr>
              <w:t>Os resíduos Classe D devem ser armazenados, transportados e destinados em conformidade com as normas técnicas específicas.</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MS Mincho" w:cs="Arial"/>
                <w:sz w:val="20"/>
                <w:szCs w:val="20"/>
              </w:rPr>
            </w:pPr>
            <w:r w:rsidRPr="00DF4A2F">
              <w:rPr>
                <w:rFonts w:cs="Arial"/>
                <w:sz w:val="20"/>
                <w:szCs w:val="20"/>
              </w:rPr>
              <w:t>Os resíduos da construção civil não podem ser dispostos em aterros de resíduos sólidos urbanos, em áreas de "bota fora", em encostas, corpos d'água, lotes vagos e em áreas protegidas por Lei.</w:t>
            </w:r>
          </w:p>
        </w:tc>
      </w:tr>
    </w:tbl>
    <w:p w:rsidR="00A87269" w:rsidRPr="00DF4A2F" w:rsidRDefault="00A87269" w:rsidP="00A87269">
      <w:pPr>
        <w:pStyle w:val="Legenda"/>
      </w:pPr>
      <w:bookmarkStart w:id="526" w:name="_Ref483560426"/>
      <w:bookmarkStart w:id="527" w:name="_Toc488825070"/>
      <w:bookmarkStart w:id="528" w:name="_Toc493151607"/>
      <w:bookmarkStart w:id="529" w:name="_Toc497469178"/>
      <w:r w:rsidRPr="00DF4A2F">
        <w:t xml:space="preserve">Quadro </w:t>
      </w:r>
      <w:r w:rsidR="00D71C43">
        <w:fldChar w:fldCharType="begin"/>
      </w:r>
      <w:r w:rsidR="00D71C43">
        <w:instrText xml:space="preserve"> SEQ Quadro \* ARABIC </w:instrText>
      </w:r>
      <w:r w:rsidR="00D71C43">
        <w:fldChar w:fldCharType="separate"/>
      </w:r>
      <w:r w:rsidR="004D1D76">
        <w:rPr>
          <w:noProof/>
        </w:rPr>
        <w:t>57</w:t>
      </w:r>
      <w:r w:rsidR="00D71C43">
        <w:rPr>
          <w:noProof/>
        </w:rPr>
        <w:fldChar w:fldCharType="end"/>
      </w:r>
      <w:bookmarkEnd w:id="526"/>
      <w:r w:rsidRPr="00DF4A2F">
        <w:t xml:space="preserve"> </w:t>
      </w:r>
      <w:r w:rsidRPr="00DF4A2F">
        <w:rPr>
          <w:lang w:val="pt-BR"/>
        </w:rPr>
        <w:t>-</w:t>
      </w:r>
      <w:r w:rsidRPr="00DF4A2F">
        <w:t xml:space="preserve"> Resíduos de Construção Civil – Regras de Licenciamento.</w:t>
      </w:r>
      <w:bookmarkEnd w:id="527"/>
      <w:bookmarkEnd w:id="528"/>
      <w:bookmarkEnd w:id="529"/>
    </w:p>
    <w:tbl>
      <w:tblPr>
        <w:tblW w:w="8755" w:type="dxa"/>
        <w:jc w:val="center"/>
        <w:tblBorders>
          <w:top w:val="single" w:sz="8" w:space="0" w:color="4F81BD"/>
          <w:bottom w:val="single" w:sz="8" w:space="0" w:color="4F81BD"/>
        </w:tblBorders>
        <w:tblLook w:val="04A0" w:firstRow="1" w:lastRow="0" w:firstColumn="1" w:lastColumn="0" w:noHBand="0" w:noVBand="1"/>
      </w:tblPr>
      <w:tblGrid>
        <w:gridCol w:w="8755"/>
      </w:tblGrid>
      <w:tr w:rsidR="00A87269" w:rsidRPr="00DF4A2F" w:rsidTr="00510FF9">
        <w:trPr>
          <w:tblHeade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cs="Arial"/>
                <w:b/>
                <w:sz w:val="20"/>
                <w:szCs w:val="20"/>
              </w:rPr>
            </w:pPr>
            <w:r w:rsidRPr="00DF4A2F">
              <w:rPr>
                <w:rFonts w:cs="Arial"/>
                <w:b/>
                <w:sz w:val="20"/>
                <w:szCs w:val="20"/>
              </w:rPr>
              <w:t>Regras de licenciamento dos RCC segundo a</w:t>
            </w:r>
            <w:r w:rsidRPr="00DF4A2F">
              <w:rPr>
                <w:rFonts w:cs="Arial"/>
                <w:b/>
                <w:sz w:val="20"/>
                <w:szCs w:val="20"/>
                <w:lang w:eastAsia="pt-BR"/>
              </w:rPr>
              <w:t xml:space="preserve"> Resolução CONAMA nº 307 de 2002 e o Decreto nº 20.954 de 2014</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cs="Arial"/>
                <w:sz w:val="20"/>
                <w:szCs w:val="20"/>
              </w:rPr>
            </w:pPr>
            <w:r w:rsidRPr="00DF4A2F">
              <w:rPr>
                <w:rFonts w:cs="Arial"/>
                <w:sz w:val="20"/>
                <w:szCs w:val="20"/>
              </w:rPr>
              <w:t>Os Planos de Gerenciamento de Resíduos da Construção Civil - PGRCC serão elaborados e implementados pelos grandes geradores e terão como objetivo estabelecer os procedimentos necessários para o manejo e destinação ambientalmente adequados dos resíduos.</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rPr>
            </w:pPr>
            <w:r w:rsidRPr="00DF4A2F">
              <w:rPr>
                <w:rFonts w:cs="Arial"/>
                <w:sz w:val="20"/>
                <w:szCs w:val="20"/>
              </w:rPr>
              <w:t>Os PGRCC de empreendimentos e atividades sujeitos ao licenciamento ambiental deverão ser analisados dentro do processo de licenciamento, junto aos órgãos ambientais competentes.</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MS Mincho" w:cs="Arial"/>
                <w:sz w:val="20"/>
                <w:szCs w:val="20"/>
              </w:rPr>
            </w:pPr>
            <w:r w:rsidRPr="00DF4A2F">
              <w:rPr>
                <w:rFonts w:cs="Arial"/>
                <w:sz w:val="20"/>
                <w:szCs w:val="20"/>
              </w:rPr>
              <w:t>Os Planos de Gerenciamento de Resíduos da Construção Civil deverão contemplar as seguintes etapas: Caracterização; Triagem; Acondicionamento; Transporte e Destinação.</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rPr>
            </w:pPr>
            <w:r w:rsidRPr="00DF4A2F">
              <w:rPr>
                <w:rFonts w:cs="Arial"/>
                <w:sz w:val="20"/>
                <w:szCs w:val="20"/>
              </w:rPr>
              <w:t xml:space="preserve">Os Planos de Gerenciamento de Resíduos da Construção Civil, de empreendimentos e atividades não enquadrados na legislação como objeto de licenciamento ambiental, deverão ser apresentados juntamente com o projeto do empreendimento para análise pelo órgão competente do </w:t>
            </w:r>
            <w:r>
              <w:rPr>
                <w:rFonts w:cs="Arial"/>
                <w:sz w:val="20"/>
                <w:szCs w:val="20"/>
              </w:rPr>
              <w:t>Poder P</w:t>
            </w:r>
            <w:r w:rsidRPr="00DF4A2F">
              <w:rPr>
                <w:rFonts w:cs="Arial"/>
                <w:sz w:val="20"/>
                <w:szCs w:val="20"/>
              </w:rPr>
              <w:t xml:space="preserve">úblico </w:t>
            </w:r>
            <w:r>
              <w:rPr>
                <w:rFonts w:cs="Arial"/>
                <w:sz w:val="20"/>
                <w:szCs w:val="20"/>
              </w:rPr>
              <w:t>M</w:t>
            </w:r>
            <w:r w:rsidRPr="00DF4A2F">
              <w:rPr>
                <w:rFonts w:cs="Arial"/>
                <w:sz w:val="20"/>
                <w:szCs w:val="20"/>
              </w:rPr>
              <w:t>unicipal, em conformidade com o Plano Municipal de Gestão de Resíduos da Construção Civil.</w:t>
            </w:r>
          </w:p>
        </w:tc>
      </w:tr>
    </w:tbl>
    <w:p w:rsidR="00A87269" w:rsidRPr="00DF4A2F" w:rsidRDefault="00A87269" w:rsidP="00A87269">
      <w:pPr>
        <w:pStyle w:val="Legenda"/>
      </w:pPr>
      <w:bookmarkStart w:id="530" w:name="_Ref483560437"/>
      <w:bookmarkStart w:id="531" w:name="_Toc488825071"/>
      <w:bookmarkStart w:id="532" w:name="_Toc493151608"/>
      <w:bookmarkStart w:id="533" w:name="_Ref497468211"/>
      <w:bookmarkStart w:id="534" w:name="_Toc497469179"/>
      <w:r w:rsidRPr="00DF4A2F">
        <w:t xml:space="preserve">Quadro </w:t>
      </w:r>
      <w:r w:rsidR="00D71C43">
        <w:fldChar w:fldCharType="begin"/>
      </w:r>
      <w:r w:rsidR="00D71C43">
        <w:instrText xml:space="preserve"> SEQ Quadro \* ARABIC </w:instrText>
      </w:r>
      <w:r w:rsidR="00D71C43">
        <w:fldChar w:fldCharType="separate"/>
      </w:r>
      <w:r w:rsidR="004D1D76">
        <w:rPr>
          <w:noProof/>
        </w:rPr>
        <w:t>58</w:t>
      </w:r>
      <w:r w:rsidR="00D71C43">
        <w:rPr>
          <w:noProof/>
        </w:rPr>
        <w:fldChar w:fldCharType="end"/>
      </w:r>
      <w:bookmarkEnd w:id="530"/>
      <w:bookmarkEnd w:id="533"/>
      <w:r w:rsidRPr="00DF4A2F">
        <w:t xml:space="preserve"> </w:t>
      </w:r>
      <w:r w:rsidRPr="00DF4A2F">
        <w:rPr>
          <w:lang w:val="pt-BR"/>
        </w:rPr>
        <w:t>-</w:t>
      </w:r>
      <w:r w:rsidRPr="00DF4A2F">
        <w:t xml:space="preserve"> Resíduos de Construção Civil – Legislação e Normas.</w:t>
      </w:r>
      <w:bookmarkEnd w:id="531"/>
      <w:bookmarkEnd w:id="532"/>
      <w:bookmarkEnd w:id="534"/>
    </w:p>
    <w:tbl>
      <w:tblPr>
        <w:tblW w:w="8755" w:type="dxa"/>
        <w:jc w:val="center"/>
        <w:tblBorders>
          <w:top w:val="single" w:sz="8" w:space="0" w:color="4F81BD"/>
          <w:bottom w:val="single" w:sz="8" w:space="0" w:color="4F81BD"/>
        </w:tblBorders>
        <w:tblLook w:val="04A0" w:firstRow="1" w:lastRow="0" w:firstColumn="1" w:lastColumn="0" w:noHBand="0" w:noVBand="1"/>
      </w:tblPr>
      <w:tblGrid>
        <w:gridCol w:w="8755"/>
      </w:tblGrid>
      <w:tr w:rsidR="00A87269" w:rsidRPr="00DF4A2F" w:rsidTr="00510FF9">
        <w:trPr>
          <w:trHeight w:val="281"/>
          <w:tblHeade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cs="Arial"/>
                <w:b/>
                <w:sz w:val="20"/>
                <w:szCs w:val="20"/>
                <w:u w:val="single"/>
              </w:rPr>
            </w:pPr>
            <w:r w:rsidRPr="00DF4A2F">
              <w:rPr>
                <w:rFonts w:cs="Arial"/>
                <w:b/>
                <w:sz w:val="20"/>
                <w:szCs w:val="20"/>
                <w:u w:val="single"/>
              </w:rPr>
              <w:t>Principais resoluções nacionais</w:t>
            </w:r>
          </w:p>
        </w:tc>
      </w:tr>
      <w:tr w:rsidR="00A87269" w:rsidRPr="00DF4A2F" w:rsidTr="00510FF9">
        <w:trPr>
          <w:trHeight w:val="281"/>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cs="Arial"/>
                <w:sz w:val="20"/>
                <w:szCs w:val="20"/>
              </w:rPr>
            </w:pPr>
            <w:r w:rsidRPr="00DF4A2F">
              <w:rPr>
                <w:rFonts w:cs="Arial"/>
                <w:sz w:val="20"/>
                <w:szCs w:val="20"/>
              </w:rPr>
              <w:t>Resolução CONAMA nº 448 de 18 de janeiro de 2012. Altera os arts. 2º, 4º, 5º, 8º. 9º, 10 e 11 da Resolução nº 307, de 5 de julho de 2002 do CONAMA, alterando critérios e procedimentos para a gestão dos resíduos da construção civil.</w:t>
            </w:r>
          </w:p>
        </w:tc>
      </w:tr>
      <w:tr w:rsidR="00A87269" w:rsidRPr="00DF4A2F" w:rsidTr="00510FF9">
        <w:trPr>
          <w:trHeight w:val="281"/>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rPr>
            </w:pPr>
            <w:r w:rsidRPr="00DF4A2F">
              <w:rPr>
                <w:rFonts w:cs="Arial"/>
                <w:sz w:val="20"/>
                <w:szCs w:val="20"/>
              </w:rPr>
              <w:t>Resolução CONAMA nº 431 de 24 de maio de 2011. Altera a Resolução nº 307, de 05 de julho de 2002, do Conselho Nacional do Meio Ambiente – CONAMA, estabelecendo nova classificação para o gesso.</w:t>
            </w:r>
          </w:p>
        </w:tc>
      </w:tr>
      <w:tr w:rsidR="00A87269" w:rsidRPr="00DF4A2F" w:rsidTr="00510FF9">
        <w:trPr>
          <w:trHeight w:val="281"/>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MS Mincho" w:cs="Arial"/>
                <w:sz w:val="20"/>
                <w:szCs w:val="20"/>
              </w:rPr>
            </w:pPr>
            <w:r w:rsidRPr="00DF4A2F">
              <w:rPr>
                <w:rFonts w:cs="Arial"/>
                <w:sz w:val="20"/>
                <w:szCs w:val="20"/>
              </w:rPr>
              <w:lastRenderedPageBreak/>
              <w:t>Resolução CONAMA nº 348, de 16 de agosto de 2004. Altera a Resolução nº 307, de 05 de julho de 2002, incluindo o amianto na classe de resíduos perigosos.</w:t>
            </w:r>
          </w:p>
        </w:tc>
      </w:tr>
      <w:tr w:rsidR="00A87269" w:rsidRPr="00DF4A2F" w:rsidTr="00510FF9">
        <w:trPr>
          <w:trHeight w:val="281"/>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rPr>
            </w:pPr>
            <w:r w:rsidRPr="00DF4A2F">
              <w:rPr>
                <w:rFonts w:cs="Arial"/>
                <w:sz w:val="20"/>
                <w:szCs w:val="20"/>
              </w:rPr>
              <w:t>Resolução CONAMA nº 307, de 17 de julho de 2002. Estabelece diretrizes, critérios e procedimentos para a gestão dos resíduos da construção civil. Alterada pelas resoluções CONAMA 348/04, 431/11 e 448/12.</w:t>
            </w:r>
          </w:p>
        </w:tc>
      </w:tr>
      <w:tr w:rsidR="00A87269" w:rsidRPr="00DF4A2F" w:rsidTr="00510FF9">
        <w:trPr>
          <w:trHeight w:val="281"/>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MS Mincho" w:cs="Arial"/>
                <w:b/>
                <w:sz w:val="20"/>
                <w:szCs w:val="20"/>
                <w:u w:val="single"/>
              </w:rPr>
            </w:pPr>
            <w:r w:rsidRPr="00DF4A2F">
              <w:rPr>
                <w:rFonts w:cs="Arial"/>
                <w:b/>
                <w:sz w:val="20"/>
                <w:szCs w:val="20"/>
                <w:u w:val="single"/>
              </w:rPr>
              <w:t>Normas técnicas</w:t>
            </w:r>
          </w:p>
        </w:tc>
      </w:tr>
      <w:tr w:rsidR="00A87269" w:rsidRPr="00DF4A2F" w:rsidTr="00510FF9">
        <w:trPr>
          <w:trHeight w:val="281"/>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rPr>
            </w:pPr>
            <w:r w:rsidRPr="00DF4A2F">
              <w:rPr>
                <w:rFonts w:cs="Arial"/>
                <w:sz w:val="20"/>
                <w:szCs w:val="20"/>
              </w:rPr>
              <w:t>ABNT NBR 15112:2004 - Resíduos da construção civil e resíduos volumosos - Áreas de transbordo e triagem - Diretrizes para projeto, implantação e operação.</w:t>
            </w:r>
          </w:p>
        </w:tc>
      </w:tr>
      <w:tr w:rsidR="00A87269" w:rsidRPr="00DF4A2F" w:rsidTr="00510FF9">
        <w:trPr>
          <w:trHeight w:val="281"/>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MS Mincho" w:cs="Arial"/>
                <w:sz w:val="20"/>
                <w:szCs w:val="20"/>
              </w:rPr>
            </w:pPr>
            <w:r w:rsidRPr="00DF4A2F">
              <w:rPr>
                <w:rFonts w:cs="Arial"/>
                <w:sz w:val="20"/>
                <w:szCs w:val="20"/>
              </w:rPr>
              <w:t>ABNT NBR 15113:2004 - Resíduos sólidos da construção civil e resíduos inertes - Aterros - Diretrizes para projeto, implantação e operação.</w:t>
            </w:r>
          </w:p>
        </w:tc>
      </w:tr>
      <w:tr w:rsidR="00A87269" w:rsidRPr="00DF4A2F" w:rsidTr="00510FF9">
        <w:trPr>
          <w:trHeight w:val="281"/>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rPr>
            </w:pPr>
            <w:r w:rsidRPr="00DF4A2F">
              <w:rPr>
                <w:rFonts w:cs="Arial"/>
                <w:sz w:val="20"/>
                <w:szCs w:val="20"/>
              </w:rPr>
              <w:t>ABNT NBR 15114:2004 - Resíduos sólidos da Construção civil - Áreas de reciclagem - Diretrizes para projeto, implantação e operação.</w:t>
            </w:r>
          </w:p>
        </w:tc>
      </w:tr>
      <w:tr w:rsidR="00A87269" w:rsidRPr="00DF4A2F" w:rsidTr="00510FF9">
        <w:trPr>
          <w:trHeight w:val="281"/>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MS Mincho" w:cs="Arial"/>
                <w:sz w:val="20"/>
                <w:szCs w:val="20"/>
              </w:rPr>
            </w:pPr>
            <w:r w:rsidRPr="00DF4A2F">
              <w:rPr>
                <w:rFonts w:cs="Arial"/>
                <w:sz w:val="20"/>
                <w:szCs w:val="20"/>
              </w:rPr>
              <w:t xml:space="preserve">ABNT NBR 15115:2004 - Agregados reciclados de resíduos sólidos da construção civil - Execução de camadas de pavimentação </w:t>
            </w:r>
            <w:r>
              <w:rPr>
                <w:rFonts w:cs="Arial"/>
                <w:sz w:val="20"/>
                <w:szCs w:val="20"/>
              </w:rPr>
              <w:t>–</w:t>
            </w:r>
            <w:r w:rsidRPr="00DF4A2F">
              <w:rPr>
                <w:rFonts w:cs="Arial"/>
                <w:sz w:val="20"/>
                <w:szCs w:val="20"/>
              </w:rPr>
              <w:t xml:space="preserve"> Procedimentos</w:t>
            </w:r>
            <w:r>
              <w:rPr>
                <w:rFonts w:cs="Arial"/>
                <w:sz w:val="20"/>
                <w:szCs w:val="20"/>
              </w:rPr>
              <w:t>.</w:t>
            </w:r>
          </w:p>
        </w:tc>
      </w:tr>
      <w:tr w:rsidR="00A87269" w:rsidRPr="00DF4A2F" w:rsidTr="00510FF9">
        <w:trPr>
          <w:trHeight w:val="281"/>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rPr>
            </w:pPr>
            <w:r w:rsidRPr="00DF4A2F">
              <w:rPr>
                <w:rFonts w:cs="Arial"/>
                <w:sz w:val="20"/>
                <w:szCs w:val="20"/>
              </w:rPr>
              <w:t>ABNT NBR 15116:2004 - Agregados reciclados de resíduos sólidos da construção civil - Utilização em pavimentação e preparo de concreto sem função estrutural – Requisitos</w:t>
            </w:r>
            <w:r>
              <w:rPr>
                <w:rFonts w:cs="Arial"/>
                <w:sz w:val="20"/>
                <w:szCs w:val="20"/>
              </w:rPr>
              <w:t>.</w:t>
            </w:r>
          </w:p>
          <w:p w:rsidR="00A87269" w:rsidRPr="00DF4A2F" w:rsidRDefault="00A87269" w:rsidP="00510FF9">
            <w:pPr>
              <w:spacing w:line="240" w:lineRule="auto"/>
              <w:rPr>
                <w:rFonts w:eastAsia="MS Mincho" w:cs="Arial"/>
                <w:b/>
                <w:sz w:val="20"/>
                <w:szCs w:val="20"/>
                <w:u w:val="single"/>
              </w:rPr>
            </w:pPr>
            <w:r w:rsidRPr="00DF4A2F">
              <w:rPr>
                <w:rFonts w:cs="Arial"/>
                <w:b/>
                <w:sz w:val="20"/>
                <w:szCs w:val="20"/>
                <w:u w:val="single"/>
              </w:rPr>
              <w:t>Deliberações COPAM</w:t>
            </w:r>
          </w:p>
          <w:p w:rsidR="00A87269" w:rsidRPr="00DF4A2F" w:rsidRDefault="00A87269" w:rsidP="00510FF9">
            <w:pPr>
              <w:spacing w:line="240" w:lineRule="auto"/>
              <w:rPr>
                <w:rFonts w:eastAsia="MS Mincho" w:cs="Arial"/>
                <w:sz w:val="20"/>
                <w:szCs w:val="20"/>
              </w:rPr>
            </w:pPr>
            <w:r w:rsidRPr="00DF4A2F">
              <w:rPr>
                <w:rFonts w:cs="Arial"/>
                <w:sz w:val="20"/>
                <w:szCs w:val="20"/>
              </w:rPr>
              <w:t xml:space="preserve">Deliberação Normativa COPAM nº 117, de 27 de junho de 2008. Dispõe sobre a declaração de informações relativas às diversas fases de gerenciamento dos resíduos sólidos gerados pelas atividades minerarias no Estado de Minas Gerais. </w:t>
            </w:r>
          </w:p>
        </w:tc>
      </w:tr>
    </w:tbl>
    <w:p w:rsidR="00A87269" w:rsidRPr="00DF4A2F" w:rsidRDefault="00A87269" w:rsidP="002828C8">
      <w:pPr>
        <w:pStyle w:val="Ttulo4"/>
      </w:pPr>
      <w:bookmarkStart w:id="535" w:name="_Toc488825325"/>
      <w:bookmarkStart w:id="536" w:name="_Toc493151491"/>
      <w:bookmarkStart w:id="537" w:name="_Toc497469060"/>
      <w:r w:rsidRPr="00DF4A2F">
        <w:t>Resíduos agrossilvopastoris – embalagens de agrotóxicos</w:t>
      </w:r>
      <w:bookmarkEnd w:id="535"/>
      <w:bookmarkEnd w:id="536"/>
      <w:bookmarkEnd w:id="537"/>
    </w:p>
    <w:p w:rsidR="00A87269" w:rsidRPr="00DF4A2F" w:rsidRDefault="00A87269" w:rsidP="00A87269">
      <w:pPr>
        <w:pStyle w:val="Default"/>
        <w:spacing w:line="360" w:lineRule="auto"/>
        <w:ind w:firstLine="709"/>
        <w:jc w:val="both"/>
        <w:rPr>
          <w:color w:val="auto"/>
        </w:rPr>
      </w:pPr>
      <w:r w:rsidRPr="00DF4A2F">
        <w:rPr>
          <w:color w:val="auto"/>
        </w:rPr>
        <w:t xml:space="preserve">Os resíduos agrossilvopastoris são aqueles “gerados nas atividades agropecuárias e silviculturais, incluídos os relacionados a insumos utilizados nessas atividades”, segundo o art. 13 da Lei n° 12.305 de 2010. O </w:t>
      </w:r>
      <w:r w:rsidRPr="00DF4A2F">
        <w:rPr>
          <w:color w:val="auto"/>
        </w:rPr>
        <w:fldChar w:fldCharType="begin"/>
      </w:r>
      <w:r w:rsidRPr="00DF4A2F">
        <w:rPr>
          <w:color w:val="auto"/>
        </w:rPr>
        <w:instrText xml:space="preserve"> REF _Ref487127055 \h  \* MERGEFORMAT </w:instrText>
      </w:r>
      <w:r w:rsidRPr="00DF4A2F">
        <w:rPr>
          <w:color w:val="auto"/>
        </w:rPr>
      </w:r>
      <w:r w:rsidRPr="00DF4A2F">
        <w:rPr>
          <w:color w:val="auto"/>
        </w:rPr>
        <w:fldChar w:fldCharType="separate"/>
      </w:r>
      <w:r w:rsidR="004D1D76" w:rsidRPr="00DF4A2F">
        <w:t xml:space="preserve">Quadro </w:t>
      </w:r>
      <w:r w:rsidR="004D1D76">
        <w:rPr>
          <w:noProof/>
        </w:rPr>
        <w:t>59</w:t>
      </w:r>
      <w:r w:rsidRPr="00DF4A2F">
        <w:rPr>
          <w:color w:val="auto"/>
        </w:rPr>
        <w:fldChar w:fldCharType="end"/>
      </w:r>
      <w:r w:rsidRPr="00DF4A2F">
        <w:rPr>
          <w:color w:val="auto"/>
        </w:rPr>
        <w:t xml:space="preserve">, </w:t>
      </w:r>
      <w:r w:rsidRPr="00DF4A2F">
        <w:rPr>
          <w:color w:val="auto"/>
        </w:rPr>
        <w:fldChar w:fldCharType="begin"/>
      </w:r>
      <w:r w:rsidRPr="00DF4A2F">
        <w:rPr>
          <w:color w:val="auto"/>
        </w:rPr>
        <w:instrText xml:space="preserve"> REF _Ref487127066 \h  \* MERGEFORMAT </w:instrText>
      </w:r>
      <w:r w:rsidRPr="00DF4A2F">
        <w:rPr>
          <w:color w:val="auto"/>
        </w:rPr>
      </w:r>
      <w:r w:rsidRPr="00DF4A2F">
        <w:rPr>
          <w:color w:val="auto"/>
        </w:rPr>
        <w:fldChar w:fldCharType="separate"/>
      </w:r>
      <w:r w:rsidR="004D1D76" w:rsidRPr="00DF4A2F">
        <w:t xml:space="preserve">Quadro </w:t>
      </w:r>
      <w:r w:rsidR="004D1D76">
        <w:rPr>
          <w:noProof/>
        </w:rPr>
        <w:t>60</w:t>
      </w:r>
      <w:r w:rsidRPr="00DF4A2F">
        <w:rPr>
          <w:color w:val="auto"/>
        </w:rPr>
        <w:fldChar w:fldCharType="end"/>
      </w:r>
      <w:r w:rsidRPr="00DF4A2F">
        <w:rPr>
          <w:color w:val="auto"/>
        </w:rPr>
        <w:t xml:space="preserve">, </w:t>
      </w:r>
      <w:r w:rsidRPr="00DF4A2F">
        <w:rPr>
          <w:color w:val="auto"/>
        </w:rPr>
        <w:fldChar w:fldCharType="begin"/>
      </w:r>
      <w:r w:rsidRPr="00DF4A2F">
        <w:rPr>
          <w:color w:val="auto"/>
        </w:rPr>
        <w:instrText xml:space="preserve"> REF _Ref487127076 \h  \* MERGEFORMAT </w:instrText>
      </w:r>
      <w:r w:rsidRPr="00DF4A2F">
        <w:rPr>
          <w:color w:val="auto"/>
        </w:rPr>
      </w:r>
      <w:r w:rsidRPr="00DF4A2F">
        <w:rPr>
          <w:color w:val="auto"/>
        </w:rPr>
        <w:fldChar w:fldCharType="separate"/>
      </w:r>
      <w:r w:rsidR="004D1D76" w:rsidRPr="00DF4A2F">
        <w:t xml:space="preserve">Quadro </w:t>
      </w:r>
      <w:r w:rsidR="004D1D76">
        <w:rPr>
          <w:noProof/>
        </w:rPr>
        <w:t>61</w:t>
      </w:r>
      <w:r w:rsidRPr="00DF4A2F">
        <w:rPr>
          <w:color w:val="auto"/>
        </w:rPr>
        <w:fldChar w:fldCharType="end"/>
      </w:r>
      <w:r w:rsidRPr="00DF4A2F">
        <w:rPr>
          <w:color w:val="auto"/>
        </w:rPr>
        <w:t xml:space="preserve">, </w:t>
      </w:r>
      <w:r w:rsidRPr="00DF4A2F">
        <w:rPr>
          <w:color w:val="auto"/>
        </w:rPr>
        <w:fldChar w:fldCharType="begin"/>
      </w:r>
      <w:r w:rsidRPr="00DF4A2F">
        <w:rPr>
          <w:color w:val="auto"/>
        </w:rPr>
        <w:instrText xml:space="preserve"> REF _Ref487127088 \h  \* MERGEFORMAT </w:instrText>
      </w:r>
      <w:r w:rsidRPr="00DF4A2F">
        <w:rPr>
          <w:color w:val="auto"/>
        </w:rPr>
      </w:r>
      <w:r w:rsidRPr="00DF4A2F">
        <w:rPr>
          <w:color w:val="auto"/>
        </w:rPr>
        <w:fldChar w:fldCharType="separate"/>
      </w:r>
      <w:r w:rsidR="004D1D76" w:rsidRPr="00DF4A2F">
        <w:t xml:space="preserve">Quadro </w:t>
      </w:r>
      <w:r w:rsidR="004D1D76">
        <w:rPr>
          <w:noProof/>
        </w:rPr>
        <w:t>62</w:t>
      </w:r>
      <w:r w:rsidRPr="00DF4A2F">
        <w:rPr>
          <w:color w:val="auto"/>
        </w:rPr>
        <w:fldChar w:fldCharType="end"/>
      </w:r>
      <w:r w:rsidRPr="00DF4A2F">
        <w:rPr>
          <w:color w:val="auto"/>
        </w:rPr>
        <w:t xml:space="preserve"> e o </w:t>
      </w:r>
      <w:r w:rsidRPr="00DF4A2F">
        <w:rPr>
          <w:color w:val="auto"/>
        </w:rPr>
        <w:fldChar w:fldCharType="begin"/>
      </w:r>
      <w:r w:rsidRPr="00DF4A2F">
        <w:rPr>
          <w:color w:val="auto"/>
        </w:rPr>
        <w:instrText xml:space="preserve"> REF _Ref487127098 \h  \* MERGEFORMAT </w:instrText>
      </w:r>
      <w:r w:rsidRPr="00DF4A2F">
        <w:rPr>
          <w:color w:val="auto"/>
        </w:rPr>
      </w:r>
      <w:r w:rsidRPr="00DF4A2F">
        <w:rPr>
          <w:color w:val="auto"/>
        </w:rPr>
        <w:fldChar w:fldCharType="separate"/>
      </w:r>
      <w:r w:rsidR="004D1D76" w:rsidRPr="00DF4A2F">
        <w:t xml:space="preserve">Quadro </w:t>
      </w:r>
      <w:r w:rsidR="004D1D76">
        <w:rPr>
          <w:noProof/>
        </w:rPr>
        <w:t>63</w:t>
      </w:r>
      <w:r w:rsidRPr="00DF4A2F">
        <w:rPr>
          <w:color w:val="auto"/>
        </w:rPr>
        <w:fldChar w:fldCharType="end"/>
      </w:r>
      <w:r w:rsidRPr="00DF4A2F">
        <w:rPr>
          <w:color w:val="auto"/>
        </w:rPr>
        <w:t xml:space="preserve"> apresentam as normas específicas.</w:t>
      </w:r>
    </w:p>
    <w:p w:rsidR="00A87269" w:rsidRPr="00DF4A2F" w:rsidRDefault="00A87269" w:rsidP="00A87269">
      <w:pPr>
        <w:pStyle w:val="Legenda"/>
      </w:pPr>
      <w:bookmarkStart w:id="538" w:name="_Ref487127055"/>
      <w:bookmarkStart w:id="539" w:name="_Toc488825072"/>
      <w:bookmarkStart w:id="540" w:name="_Toc493151609"/>
      <w:bookmarkStart w:id="541" w:name="_Toc497469180"/>
      <w:r w:rsidRPr="00DF4A2F">
        <w:t xml:space="preserve">Quadro </w:t>
      </w:r>
      <w:r w:rsidR="00D71C43">
        <w:fldChar w:fldCharType="begin"/>
      </w:r>
      <w:r w:rsidR="00D71C43">
        <w:instrText xml:space="preserve"> SEQ Quadro \* ARABIC </w:instrText>
      </w:r>
      <w:r w:rsidR="00D71C43">
        <w:fldChar w:fldCharType="separate"/>
      </w:r>
      <w:r w:rsidR="004D1D76">
        <w:rPr>
          <w:noProof/>
        </w:rPr>
        <w:t>59</w:t>
      </w:r>
      <w:r w:rsidR="00D71C43">
        <w:rPr>
          <w:noProof/>
        </w:rPr>
        <w:fldChar w:fldCharType="end"/>
      </w:r>
      <w:bookmarkEnd w:id="538"/>
      <w:r w:rsidRPr="00DF4A2F">
        <w:t xml:space="preserve"> </w:t>
      </w:r>
      <w:r w:rsidRPr="00DF4A2F">
        <w:rPr>
          <w:lang w:val="pt-BR"/>
        </w:rPr>
        <w:t>-</w:t>
      </w:r>
      <w:r w:rsidRPr="00DF4A2F">
        <w:t xml:space="preserve"> Resíduos Agrossilvopastoris – Regras de Coleta e Transporte.</w:t>
      </w:r>
      <w:bookmarkEnd w:id="539"/>
      <w:bookmarkEnd w:id="540"/>
      <w:bookmarkEnd w:id="541"/>
    </w:p>
    <w:tbl>
      <w:tblPr>
        <w:tblW w:w="8755" w:type="dxa"/>
        <w:jc w:val="center"/>
        <w:tblBorders>
          <w:top w:val="single" w:sz="8" w:space="0" w:color="4F81BD"/>
          <w:bottom w:val="single" w:sz="8" w:space="0" w:color="4F81BD"/>
        </w:tblBorders>
        <w:tblLook w:val="04A0" w:firstRow="1" w:lastRow="0" w:firstColumn="1" w:lastColumn="0" w:noHBand="0" w:noVBand="1"/>
      </w:tblPr>
      <w:tblGrid>
        <w:gridCol w:w="8755"/>
      </w:tblGrid>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cs="Arial"/>
                <w:b/>
                <w:sz w:val="20"/>
                <w:szCs w:val="20"/>
              </w:rPr>
            </w:pPr>
            <w:r w:rsidRPr="00DF4A2F">
              <w:rPr>
                <w:rFonts w:cs="Arial"/>
                <w:b/>
                <w:sz w:val="20"/>
                <w:szCs w:val="20"/>
              </w:rPr>
              <w:t>Regras de coleta e transporte segundo a Resolução CONAMA nº 334 de 2003</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cs="Arial"/>
                <w:sz w:val="20"/>
                <w:szCs w:val="20"/>
              </w:rPr>
            </w:pPr>
            <w:r w:rsidRPr="00DF4A2F">
              <w:rPr>
                <w:rFonts w:cs="Arial"/>
                <w:sz w:val="20"/>
                <w:szCs w:val="20"/>
              </w:rPr>
              <w:t>As embalagens vazias devem ser, temporariamente, armazenadas na propriedade.</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rPr>
            </w:pPr>
            <w:r w:rsidRPr="00DF4A2F">
              <w:rPr>
                <w:rFonts w:cs="Arial"/>
                <w:sz w:val="20"/>
                <w:szCs w:val="20"/>
              </w:rPr>
              <w:t>As embalagens vazias devem ser transportadas e devolvidas com suas respectivas tampas, para a unidade de recebimento mais próxima (procurar orientação junto aos revendedores sobre os locais para a devolução das embalagens), no prazo de até um ano, contado da data de sua compra.</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MS Mincho" w:cs="Arial"/>
                <w:sz w:val="20"/>
                <w:szCs w:val="20"/>
              </w:rPr>
            </w:pPr>
            <w:r w:rsidRPr="00DF4A2F">
              <w:rPr>
                <w:rFonts w:cs="Arial"/>
                <w:sz w:val="20"/>
                <w:szCs w:val="20"/>
              </w:rPr>
              <w:t>Os comprovantes de entrega das embalagens e a nota fiscal de compra do produto deverão ser mantidos pelo poder dos usuários.</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rPr>
            </w:pPr>
            <w:r w:rsidRPr="00DF4A2F">
              <w:rPr>
                <w:rFonts w:cs="Arial"/>
                <w:sz w:val="20"/>
                <w:szCs w:val="20"/>
              </w:rPr>
              <w:t>Os veículos (unidades volantes) destinados à coleta regular de embalagens vazias de agrotóxicos e afins para posterior entrega em posto, central ou local de destinação final ambientalmente adequada estão sujeitos à legislação específica para o transporte de cargas perigosas.</w:t>
            </w:r>
          </w:p>
        </w:tc>
      </w:tr>
    </w:tbl>
    <w:p w:rsidR="00A87269" w:rsidRPr="00DF4A2F" w:rsidRDefault="00A87269" w:rsidP="00A87269">
      <w:pPr>
        <w:pStyle w:val="Legenda"/>
      </w:pPr>
      <w:bookmarkStart w:id="542" w:name="_Ref487127066"/>
      <w:bookmarkStart w:id="543" w:name="_Toc488825073"/>
      <w:bookmarkStart w:id="544" w:name="_Toc493151610"/>
      <w:bookmarkStart w:id="545" w:name="_Toc497469181"/>
      <w:r w:rsidRPr="00DF4A2F">
        <w:t xml:space="preserve">Quadro </w:t>
      </w:r>
      <w:r w:rsidR="00D71C43">
        <w:fldChar w:fldCharType="begin"/>
      </w:r>
      <w:r w:rsidR="00D71C43">
        <w:instrText xml:space="preserve"> SEQ Quadro \* ARABIC </w:instrText>
      </w:r>
      <w:r w:rsidR="00D71C43">
        <w:fldChar w:fldCharType="separate"/>
      </w:r>
      <w:r w:rsidR="004D1D76">
        <w:rPr>
          <w:noProof/>
        </w:rPr>
        <w:t>60</w:t>
      </w:r>
      <w:r w:rsidR="00D71C43">
        <w:rPr>
          <w:noProof/>
        </w:rPr>
        <w:fldChar w:fldCharType="end"/>
      </w:r>
      <w:bookmarkEnd w:id="542"/>
      <w:r w:rsidRPr="00DF4A2F">
        <w:t xml:space="preserve"> </w:t>
      </w:r>
      <w:r w:rsidRPr="00DF4A2F">
        <w:rPr>
          <w:lang w:val="pt-BR"/>
        </w:rPr>
        <w:t>-</w:t>
      </w:r>
      <w:r w:rsidRPr="00DF4A2F">
        <w:t xml:space="preserve"> Resíduos Agrossilvopastoris – Regras de Triagem e Transbordo.</w:t>
      </w:r>
      <w:bookmarkEnd w:id="543"/>
      <w:bookmarkEnd w:id="544"/>
      <w:bookmarkEnd w:id="545"/>
    </w:p>
    <w:tbl>
      <w:tblPr>
        <w:tblW w:w="8755" w:type="dxa"/>
        <w:jc w:val="center"/>
        <w:tblBorders>
          <w:top w:val="single" w:sz="8" w:space="0" w:color="4F81BD"/>
          <w:bottom w:val="single" w:sz="8" w:space="0" w:color="4F81BD"/>
        </w:tblBorders>
        <w:tblLook w:val="04A0" w:firstRow="1" w:lastRow="0" w:firstColumn="1" w:lastColumn="0" w:noHBand="0" w:noVBand="1"/>
      </w:tblPr>
      <w:tblGrid>
        <w:gridCol w:w="8755"/>
      </w:tblGrid>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cs="Arial"/>
                <w:b/>
                <w:sz w:val="20"/>
                <w:szCs w:val="20"/>
              </w:rPr>
            </w:pPr>
            <w:r w:rsidRPr="00DF4A2F">
              <w:rPr>
                <w:rFonts w:cs="Arial"/>
                <w:b/>
                <w:sz w:val="20"/>
                <w:szCs w:val="20"/>
              </w:rPr>
              <w:t>Regras de triagem e transbordo segundo a Resolução CONAMA nº 334 de 2003</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cs="Arial"/>
                <w:sz w:val="20"/>
                <w:szCs w:val="20"/>
              </w:rPr>
            </w:pPr>
            <w:r w:rsidRPr="00DF4A2F">
              <w:rPr>
                <w:rFonts w:cs="Arial"/>
                <w:sz w:val="20"/>
                <w:szCs w:val="20"/>
              </w:rPr>
              <w:t>Os critérios de adequação de estabelecimento comercial para as operações de recebimento e armazenamento temporário das embalagens vazias de agrotóxicos e afins serão definidos pelo órgão ambiental competente</w:t>
            </w:r>
            <w:r>
              <w:rPr>
                <w:rFonts w:cs="Arial"/>
                <w:sz w:val="20"/>
                <w:szCs w:val="20"/>
              </w:rPr>
              <w:t>.</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rPr>
            </w:pPr>
            <w:r w:rsidRPr="00DF4A2F">
              <w:rPr>
                <w:rFonts w:cs="Arial"/>
                <w:sz w:val="20"/>
                <w:szCs w:val="20"/>
              </w:rPr>
              <w:t>Os postos e centrais não poderão receber embalagens com restos de produtos, produtos em desuso, ou impróprios para comercialização e utilização.</w:t>
            </w:r>
          </w:p>
        </w:tc>
      </w:tr>
    </w:tbl>
    <w:p w:rsidR="00A87269" w:rsidRPr="00DF4A2F" w:rsidRDefault="00A87269" w:rsidP="00A87269">
      <w:pPr>
        <w:pStyle w:val="Legenda"/>
      </w:pPr>
      <w:bookmarkStart w:id="546" w:name="_Ref487127076"/>
      <w:bookmarkStart w:id="547" w:name="_Toc488825074"/>
      <w:bookmarkStart w:id="548" w:name="_Toc493151611"/>
      <w:bookmarkStart w:id="549" w:name="_Toc497469182"/>
      <w:r w:rsidRPr="00DF4A2F">
        <w:lastRenderedPageBreak/>
        <w:t xml:space="preserve">Quadro </w:t>
      </w:r>
      <w:r w:rsidR="00D71C43">
        <w:fldChar w:fldCharType="begin"/>
      </w:r>
      <w:r w:rsidR="00D71C43">
        <w:instrText xml:space="preserve"> SEQ Quadro \* ARABIC </w:instrText>
      </w:r>
      <w:r w:rsidR="00D71C43">
        <w:fldChar w:fldCharType="separate"/>
      </w:r>
      <w:r w:rsidR="004D1D76">
        <w:rPr>
          <w:noProof/>
        </w:rPr>
        <w:t>61</w:t>
      </w:r>
      <w:r w:rsidR="00D71C43">
        <w:rPr>
          <w:noProof/>
        </w:rPr>
        <w:fldChar w:fldCharType="end"/>
      </w:r>
      <w:bookmarkEnd w:id="546"/>
      <w:r w:rsidRPr="00DF4A2F">
        <w:t xml:space="preserve"> </w:t>
      </w:r>
      <w:r w:rsidRPr="00DF4A2F">
        <w:rPr>
          <w:lang w:val="pt-BR"/>
        </w:rPr>
        <w:t>-</w:t>
      </w:r>
      <w:r w:rsidRPr="00DF4A2F">
        <w:t xml:space="preserve"> Resíduos Agrossilvopastoris – Regras de Tratamento e Disposição.</w:t>
      </w:r>
      <w:bookmarkEnd w:id="547"/>
      <w:bookmarkEnd w:id="548"/>
      <w:bookmarkEnd w:id="549"/>
    </w:p>
    <w:tbl>
      <w:tblPr>
        <w:tblW w:w="8755" w:type="dxa"/>
        <w:jc w:val="center"/>
        <w:tblBorders>
          <w:top w:val="single" w:sz="8" w:space="0" w:color="4F81BD"/>
          <w:bottom w:val="single" w:sz="8" w:space="0" w:color="4F81BD"/>
        </w:tblBorders>
        <w:tblLook w:val="04A0" w:firstRow="1" w:lastRow="0" w:firstColumn="1" w:lastColumn="0" w:noHBand="0" w:noVBand="1"/>
      </w:tblPr>
      <w:tblGrid>
        <w:gridCol w:w="8755"/>
      </w:tblGrid>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cs="Arial"/>
                <w:b/>
                <w:sz w:val="20"/>
                <w:szCs w:val="20"/>
              </w:rPr>
            </w:pPr>
            <w:r w:rsidRPr="00DF4A2F">
              <w:rPr>
                <w:rFonts w:cs="Arial"/>
                <w:b/>
                <w:sz w:val="20"/>
                <w:szCs w:val="20"/>
              </w:rPr>
              <w:t>Regras de tratamento e disposição final segundo a Resolução CONAMA nº 334 de 2003</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cs="Arial"/>
                <w:sz w:val="20"/>
                <w:szCs w:val="20"/>
              </w:rPr>
            </w:pPr>
            <w:r w:rsidRPr="00DF4A2F">
              <w:rPr>
                <w:rFonts w:cs="Arial"/>
                <w:sz w:val="20"/>
                <w:szCs w:val="20"/>
              </w:rPr>
              <w:t>Cabe às empresas instaladas ou que venham a se instalar no território municipal, a responsabilidade pela construção e gerenciamento de unidades de recebimento de embalagens vazias de defensivos agrícolas.</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rPr>
            </w:pPr>
            <w:r w:rsidRPr="00DF4A2F">
              <w:rPr>
                <w:rFonts w:cs="Arial"/>
                <w:sz w:val="20"/>
                <w:szCs w:val="20"/>
              </w:rPr>
              <w:t>Para encerrar as atividades, o empreendedor deve, previamente, requerer Autorização de Desativação, juntando Plano de Encerramento da Atividade, nele incluindo medidas de recuperação da área atingida e indenização de possíveis vítimas.</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MS Mincho" w:cs="Arial"/>
                <w:sz w:val="20"/>
                <w:szCs w:val="20"/>
              </w:rPr>
            </w:pPr>
            <w:r w:rsidRPr="00DF4A2F">
              <w:rPr>
                <w:rFonts w:cs="Arial"/>
                <w:sz w:val="20"/>
                <w:szCs w:val="20"/>
              </w:rPr>
              <w:t>Não podem ser instalados galpões em áreas de mananciais.</w:t>
            </w:r>
          </w:p>
        </w:tc>
      </w:tr>
    </w:tbl>
    <w:p w:rsidR="00A87269" w:rsidRPr="00DF4A2F" w:rsidRDefault="00A87269" w:rsidP="00A87269">
      <w:pPr>
        <w:pStyle w:val="Legenda"/>
      </w:pPr>
      <w:bookmarkStart w:id="550" w:name="_Ref487127088"/>
      <w:bookmarkStart w:id="551" w:name="_Toc488825075"/>
      <w:bookmarkStart w:id="552" w:name="_Toc493151612"/>
      <w:bookmarkStart w:id="553" w:name="_Toc497469183"/>
      <w:r w:rsidRPr="00DF4A2F">
        <w:t xml:space="preserve">Quadro </w:t>
      </w:r>
      <w:r w:rsidR="00D71C43">
        <w:fldChar w:fldCharType="begin"/>
      </w:r>
      <w:r w:rsidR="00D71C43">
        <w:instrText xml:space="preserve"> SEQ Quadro \* ARABIC </w:instrText>
      </w:r>
      <w:r w:rsidR="00D71C43">
        <w:fldChar w:fldCharType="separate"/>
      </w:r>
      <w:r w:rsidR="004D1D76">
        <w:rPr>
          <w:noProof/>
        </w:rPr>
        <w:t>62</w:t>
      </w:r>
      <w:r w:rsidR="00D71C43">
        <w:rPr>
          <w:noProof/>
        </w:rPr>
        <w:fldChar w:fldCharType="end"/>
      </w:r>
      <w:bookmarkEnd w:id="550"/>
      <w:r w:rsidRPr="00DF4A2F">
        <w:t xml:space="preserve"> </w:t>
      </w:r>
      <w:r w:rsidRPr="00DF4A2F">
        <w:rPr>
          <w:lang w:val="pt-BR"/>
        </w:rPr>
        <w:t>-</w:t>
      </w:r>
      <w:r w:rsidRPr="00DF4A2F">
        <w:t xml:space="preserve"> Resíduos Agrossilvopastoris – Regras de Licenciamento.</w:t>
      </w:r>
      <w:bookmarkEnd w:id="551"/>
      <w:bookmarkEnd w:id="552"/>
      <w:bookmarkEnd w:id="553"/>
    </w:p>
    <w:tbl>
      <w:tblPr>
        <w:tblW w:w="8755" w:type="dxa"/>
        <w:jc w:val="center"/>
        <w:tblBorders>
          <w:top w:val="single" w:sz="8" w:space="0" w:color="4F81BD"/>
          <w:bottom w:val="single" w:sz="8" w:space="0" w:color="4F81BD"/>
        </w:tblBorders>
        <w:tblLook w:val="04A0" w:firstRow="1" w:lastRow="0" w:firstColumn="1" w:lastColumn="0" w:noHBand="0" w:noVBand="1"/>
      </w:tblPr>
      <w:tblGrid>
        <w:gridCol w:w="8644"/>
        <w:gridCol w:w="111"/>
      </w:tblGrid>
      <w:tr w:rsidR="00A87269" w:rsidRPr="00DF4A2F" w:rsidTr="00510FF9">
        <w:trPr>
          <w:gridAfter w:val="1"/>
          <w:wAfter w:w="111" w:type="dxa"/>
          <w:tblHeader/>
          <w:jc w:val="center"/>
        </w:trPr>
        <w:tc>
          <w:tcPr>
            <w:tcW w:w="8644"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cs="Arial"/>
                <w:b/>
                <w:sz w:val="20"/>
                <w:szCs w:val="20"/>
              </w:rPr>
            </w:pPr>
            <w:r w:rsidRPr="00DF4A2F">
              <w:rPr>
                <w:rFonts w:cs="Arial"/>
                <w:b/>
                <w:sz w:val="20"/>
                <w:szCs w:val="20"/>
              </w:rPr>
              <w:t>Regras de licenciamento segundo a Resolução CONAMA nº 334 de 2003</w:t>
            </w:r>
          </w:p>
        </w:tc>
      </w:tr>
      <w:tr w:rsidR="00A87269" w:rsidRPr="00DF4A2F" w:rsidTr="00510FF9">
        <w:trPr>
          <w:jc w:val="center"/>
        </w:trPr>
        <w:tc>
          <w:tcPr>
            <w:tcW w:w="8755" w:type="dxa"/>
            <w:gridSpan w:val="2"/>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cs="Arial"/>
                <w:sz w:val="20"/>
                <w:szCs w:val="20"/>
              </w:rPr>
            </w:pPr>
            <w:r w:rsidRPr="00DF4A2F">
              <w:rPr>
                <w:rFonts w:cs="Arial"/>
                <w:sz w:val="20"/>
                <w:szCs w:val="20"/>
              </w:rPr>
              <w:t>Posto é considerado a unidade que se destina ao recebimento, controle e armazenamento temporário das embalagens vazias de agrotóxicos e afins, até que as mesmas sejam transferidas à central, ou diretamente à destinação final ambientalmente adequada. Central possui a mesma definição de posto, com o acréscimo da redução de volume, conforme o art. 2° da CONAMA nº 334/03.</w:t>
            </w:r>
          </w:p>
        </w:tc>
      </w:tr>
      <w:tr w:rsidR="00A87269" w:rsidRPr="00DF4A2F" w:rsidTr="00510FF9">
        <w:trPr>
          <w:jc w:val="center"/>
        </w:trPr>
        <w:tc>
          <w:tcPr>
            <w:tcW w:w="8755" w:type="dxa"/>
            <w:gridSpan w:val="2"/>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rPr>
            </w:pPr>
            <w:r w:rsidRPr="00DF4A2F">
              <w:rPr>
                <w:rFonts w:cs="Arial"/>
                <w:sz w:val="20"/>
                <w:szCs w:val="20"/>
              </w:rPr>
              <w:t>A localização, construção, instalação, modificação e operação de posto e central de recebimento de embalagens vazias de agrotóxicos e afins dependerão de prévio licenciamento do órgão ambiental competente, sem prejuízo de outras licenças legalmente exigíveis.</w:t>
            </w:r>
          </w:p>
        </w:tc>
      </w:tr>
      <w:tr w:rsidR="00A87269" w:rsidRPr="00DF4A2F" w:rsidTr="00510FF9">
        <w:trPr>
          <w:jc w:val="center"/>
        </w:trPr>
        <w:tc>
          <w:tcPr>
            <w:tcW w:w="8755" w:type="dxa"/>
            <w:gridSpan w:val="2"/>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MS Mincho" w:cs="Arial"/>
                <w:sz w:val="20"/>
                <w:szCs w:val="20"/>
              </w:rPr>
            </w:pPr>
            <w:r w:rsidRPr="00DF4A2F">
              <w:rPr>
                <w:rFonts w:cs="Arial"/>
                <w:sz w:val="20"/>
                <w:szCs w:val="20"/>
              </w:rPr>
              <w:t>O órgão ambiental competente exigirá para o licenciamento ambiental de posto e central, no mínimo, os itens relacionados no art. 5° da CONAMA nº 334/03, exigindo-os, a seu critério, em cada uma de suas etapas.</w:t>
            </w:r>
          </w:p>
        </w:tc>
      </w:tr>
    </w:tbl>
    <w:p w:rsidR="00A87269" w:rsidRPr="00DF4A2F" w:rsidRDefault="00A87269" w:rsidP="00A87269">
      <w:pPr>
        <w:pStyle w:val="Legenda"/>
      </w:pPr>
      <w:bookmarkStart w:id="554" w:name="_Ref487127098"/>
      <w:bookmarkStart w:id="555" w:name="_Toc488825076"/>
      <w:bookmarkStart w:id="556" w:name="_Toc493151613"/>
      <w:bookmarkStart w:id="557" w:name="_Toc497469184"/>
      <w:r w:rsidRPr="00DF4A2F">
        <w:t xml:space="preserve">Quadro </w:t>
      </w:r>
      <w:r w:rsidR="00D71C43">
        <w:fldChar w:fldCharType="begin"/>
      </w:r>
      <w:r w:rsidR="00D71C43">
        <w:instrText xml:space="preserve"> SEQ Quadro \* ARABIC </w:instrText>
      </w:r>
      <w:r w:rsidR="00D71C43">
        <w:fldChar w:fldCharType="separate"/>
      </w:r>
      <w:r w:rsidR="004D1D76">
        <w:rPr>
          <w:noProof/>
        </w:rPr>
        <w:t>63</w:t>
      </w:r>
      <w:r w:rsidR="00D71C43">
        <w:rPr>
          <w:noProof/>
        </w:rPr>
        <w:fldChar w:fldCharType="end"/>
      </w:r>
      <w:bookmarkEnd w:id="554"/>
      <w:r w:rsidRPr="00DF4A2F">
        <w:t xml:space="preserve"> </w:t>
      </w:r>
      <w:r w:rsidRPr="00DF4A2F">
        <w:rPr>
          <w:lang w:val="pt-BR"/>
        </w:rPr>
        <w:t>-</w:t>
      </w:r>
      <w:r w:rsidRPr="00DF4A2F">
        <w:t xml:space="preserve"> Resíduos Agrossilvopastoris – Legislação e Normas.</w:t>
      </w:r>
      <w:bookmarkEnd w:id="555"/>
      <w:bookmarkEnd w:id="556"/>
      <w:bookmarkEnd w:id="557"/>
    </w:p>
    <w:tbl>
      <w:tblPr>
        <w:tblW w:w="8755" w:type="dxa"/>
        <w:jc w:val="center"/>
        <w:tblBorders>
          <w:top w:val="single" w:sz="8" w:space="0" w:color="4F81BD"/>
          <w:bottom w:val="single" w:sz="8" w:space="0" w:color="4F81BD"/>
        </w:tblBorders>
        <w:tblLook w:val="04A0" w:firstRow="1" w:lastRow="0" w:firstColumn="1" w:lastColumn="0" w:noHBand="0" w:noVBand="1"/>
      </w:tblPr>
      <w:tblGrid>
        <w:gridCol w:w="8755"/>
      </w:tblGrid>
      <w:tr w:rsidR="00A87269" w:rsidRPr="00DF4A2F" w:rsidTr="00510FF9">
        <w:trPr>
          <w:cantSplit/>
          <w:trHeight w:val="200"/>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cs="Arial"/>
                <w:b/>
                <w:sz w:val="20"/>
                <w:szCs w:val="20"/>
                <w:u w:val="single"/>
              </w:rPr>
            </w:pPr>
            <w:r w:rsidRPr="00DF4A2F">
              <w:rPr>
                <w:rFonts w:cs="Arial"/>
                <w:b/>
                <w:sz w:val="20"/>
                <w:szCs w:val="20"/>
                <w:u w:val="single"/>
              </w:rPr>
              <w:t>Leis e decretos federais</w:t>
            </w:r>
          </w:p>
        </w:tc>
      </w:tr>
      <w:tr w:rsidR="00A87269" w:rsidRPr="00DF4A2F" w:rsidTr="00510FF9">
        <w:trPr>
          <w:cantSplit/>
          <w:trHeight w:val="200"/>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cs="Arial"/>
                <w:sz w:val="20"/>
                <w:szCs w:val="20"/>
              </w:rPr>
            </w:pPr>
            <w:r w:rsidRPr="00DF4A2F">
              <w:rPr>
                <w:rFonts w:cs="Arial"/>
                <w:sz w:val="20"/>
                <w:szCs w:val="20"/>
              </w:rPr>
              <w:t>Decreto nº 4.074, de 04 de janeiro de 2002. Regulamenta a Lei nº 7.802, de 11 de julho de 1989.</w:t>
            </w:r>
          </w:p>
        </w:tc>
      </w:tr>
      <w:tr w:rsidR="00A87269" w:rsidRPr="00DF4A2F" w:rsidTr="00510FF9">
        <w:trPr>
          <w:cantSplit/>
          <w:trHeight w:val="200"/>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rPr>
            </w:pPr>
            <w:r w:rsidRPr="00DF4A2F">
              <w:rPr>
                <w:rFonts w:cs="Arial"/>
                <w:sz w:val="20"/>
                <w:szCs w:val="20"/>
              </w:rPr>
              <w:t>Lei nº 9.974, de 06 de junho de 2000. Altera a Lei nº 7.082, de 11 de julho de 1989.</w:t>
            </w:r>
          </w:p>
        </w:tc>
      </w:tr>
      <w:tr w:rsidR="00A87269" w:rsidRPr="00DF4A2F" w:rsidTr="00510FF9">
        <w:trPr>
          <w:cantSplit/>
          <w:trHeight w:val="200"/>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MS Mincho" w:cs="Arial"/>
                <w:sz w:val="20"/>
                <w:szCs w:val="20"/>
                <w:u w:val="single"/>
              </w:rPr>
            </w:pPr>
            <w:r w:rsidRPr="00DF4A2F">
              <w:rPr>
                <w:rFonts w:cs="Arial"/>
                <w:sz w:val="20"/>
                <w:szCs w:val="20"/>
              </w:rPr>
              <w:t>Lei nº 7.802, de 11 de julho de 1989. Dispõe sobre a pesquisa, a experimentação, a produção, a embalagem e a rotulagem, o transporte, o armazenamento, a comercialização, a propaganda comercial, a utilização, a importação, a exportação, o destino final dos resíduos e embalagens, o registro, a classificação, o controle, a inspeção e a fiscalização de agrotóxicos, seus componentes e afins, e dá outras providências. Alterada pela Lei nº 9.974, de 06.06.00.</w:t>
            </w:r>
          </w:p>
        </w:tc>
      </w:tr>
      <w:tr w:rsidR="00A87269" w:rsidRPr="00DF4A2F" w:rsidTr="00510FF9">
        <w:trPr>
          <w:cantSplit/>
          <w:trHeight w:val="200"/>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b/>
                <w:sz w:val="20"/>
                <w:szCs w:val="20"/>
                <w:u w:val="single"/>
              </w:rPr>
            </w:pPr>
            <w:r w:rsidRPr="00DF4A2F">
              <w:rPr>
                <w:rFonts w:cs="Arial"/>
                <w:b/>
                <w:sz w:val="20"/>
                <w:szCs w:val="20"/>
                <w:u w:val="single"/>
              </w:rPr>
              <w:t>Principais resoluções nacionais</w:t>
            </w:r>
          </w:p>
        </w:tc>
      </w:tr>
      <w:tr w:rsidR="00A87269" w:rsidRPr="00DF4A2F" w:rsidTr="00510FF9">
        <w:trPr>
          <w:cantSplit/>
          <w:trHeight w:val="200"/>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MS Mincho" w:cs="Arial"/>
                <w:sz w:val="20"/>
                <w:szCs w:val="20"/>
              </w:rPr>
            </w:pPr>
            <w:r w:rsidRPr="00DF4A2F">
              <w:rPr>
                <w:rFonts w:cs="Arial"/>
                <w:sz w:val="20"/>
                <w:szCs w:val="20"/>
              </w:rPr>
              <w:t>Resolução CONAMA nº 334, de 03 de abril de 2003. Dispõe sobre os procedimentos de licenciamento ambiental de estabelecimentos destinados ao recebimento de embalagens vazias de agrotóxicos.</w:t>
            </w:r>
          </w:p>
        </w:tc>
      </w:tr>
      <w:tr w:rsidR="00A87269" w:rsidRPr="00DF4A2F" w:rsidTr="00510FF9">
        <w:trPr>
          <w:cantSplit/>
          <w:trHeight w:val="200"/>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b/>
                <w:sz w:val="20"/>
                <w:szCs w:val="20"/>
                <w:u w:val="single"/>
              </w:rPr>
            </w:pPr>
            <w:r w:rsidRPr="00DF4A2F">
              <w:rPr>
                <w:rFonts w:cs="Arial"/>
                <w:b/>
                <w:sz w:val="20"/>
                <w:szCs w:val="20"/>
                <w:u w:val="single"/>
              </w:rPr>
              <w:t>Normas técnicas</w:t>
            </w:r>
          </w:p>
        </w:tc>
      </w:tr>
      <w:tr w:rsidR="00A87269" w:rsidRPr="00DF4A2F" w:rsidTr="00510FF9">
        <w:trPr>
          <w:cantSplit/>
          <w:trHeight w:val="200"/>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MS Mincho" w:cs="Arial"/>
                <w:sz w:val="20"/>
                <w:szCs w:val="20"/>
              </w:rPr>
            </w:pPr>
            <w:r w:rsidRPr="00DF4A2F">
              <w:rPr>
                <w:rFonts w:cs="Arial"/>
                <w:sz w:val="20"/>
                <w:szCs w:val="20"/>
              </w:rPr>
              <w:t xml:space="preserve">ABNT NBR 7500:2013 - </w:t>
            </w:r>
            <w:r w:rsidRPr="00DF4A2F">
              <w:rPr>
                <w:rFonts w:cs="Arial"/>
                <w:sz w:val="20"/>
                <w:szCs w:val="20"/>
                <w:lang w:val="pt-PT"/>
              </w:rPr>
              <w:t>Identificação para o transporte terrestre, manuseio, movimentação e armazenamento de produtos.</w:t>
            </w:r>
          </w:p>
        </w:tc>
      </w:tr>
      <w:tr w:rsidR="00A87269" w:rsidRPr="00DF4A2F" w:rsidTr="00510FF9">
        <w:trPr>
          <w:cantSplit/>
          <w:trHeight w:val="200"/>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autoSpaceDE w:val="0"/>
              <w:autoSpaceDN w:val="0"/>
              <w:adjustRightInd w:val="0"/>
              <w:spacing w:line="240" w:lineRule="auto"/>
              <w:rPr>
                <w:rFonts w:eastAsia="MS Mincho" w:cs="Arial"/>
                <w:sz w:val="20"/>
                <w:szCs w:val="20"/>
                <w:lang w:val="pt-PT"/>
              </w:rPr>
            </w:pPr>
            <w:r w:rsidRPr="00DF4A2F">
              <w:rPr>
                <w:rFonts w:cs="Arial"/>
                <w:sz w:val="20"/>
                <w:szCs w:val="20"/>
                <w:lang w:val="pt-PT"/>
              </w:rPr>
              <w:t xml:space="preserve">NBR 7501:2011 - Transporte terrestre de produtos perigosos </w:t>
            </w:r>
            <w:r>
              <w:rPr>
                <w:rFonts w:cs="Arial"/>
                <w:sz w:val="20"/>
                <w:szCs w:val="20"/>
                <w:lang w:val="pt-PT"/>
              </w:rPr>
              <w:t>–</w:t>
            </w:r>
            <w:r w:rsidRPr="00DF4A2F">
              <w:rPr>
                <w:rFonts w:cs="Arial"/>
                <w:sz w:val="20"/>
                <w:szCs w:val="20"/>
                <w:lang w:val="pt-PT"/>
              </w:rPr>
              <w:t xml:space="preserve"> Terminologia</w:t>
            </w:r>
            <w:r>
              <w:rPr>
                <w:rFonts w:cs="Arial"/>
                <w:sz w:val="20"/>
                <w:szCs w:val="20"/>
                <w:lang w:val="pt-PT"/>
              </w:rPr>
              <w:t>.</w:t>
            </w:r>
          </w:p>
        </w:tc>
      </w:tr>
      <w:tr w:rsidR="00A87269" w:rsidRPr="00DF4A2F" w:rsidTr="00510FF9">
        <w:trPr>
          <w:cantSplit/>
          <w:trHeight w:val="200"/>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autoSpaceDE w:val="0"/>
              <w:autoSpaceDN w:val="0"/>
              <w:adjustRightInd w:val="0"/>
              <w:spacing w:line="240" w:lineRule="auto"/>
              <w:rPr>
                <w:rFonts w:eastAsia="MS Mincho" w:cs="Arial"/>
                <w:sz w:val="20"/>
                <w:szCs w:val="20"/>
                <w:lang w:val="pt-PT"/>
              </w:rPr>
            </w:pPr>
            <w:r w:rsidRPr="00DF4A2F">
              <w:rPr>
                <w:rFonts w:cs="Arial"/>
                <w:sz w:val="20"/>
                <w:szCs w:val="20"/>
                <w:lang w:val="pt-PT"/>
              </w:rPr>
              <w:t>NBR 7503:2013 - Ficha de emergência e envelope para o transporte terrestre de produtos perigosos - Características, dimensões e preenchimento.</w:t>
            </w:r>
          </w:p>
        </w:tc>
      </w:tr>
      <w:tr w:rsidR="00A87269" w:rsidRPr="00DF4A2F" w:rsidTr="00510FF9">
        <w:trPr>
          <w:cantSplit/>
          <w:trHeight w:val="200"/>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autoSpaceDE w:val="0"/>
              <w:autoSpaceDN w:val="0"/>
              <w:adjustRightInd w:val="0"/>
              <w:spacing w:line="240" w:lineRule="auto"/>
              <w:rPr>
                <w:rFonts w:eastAsia="MS Mincho" w:cs="Arial"/>
                <w:sz w:val="20"/>
                <w:szCs w:val="20"/>
              </w:rPr>
            </w:pPr>
            <w:r w:rsidRPr="00DF4A2F">
              <w:rPr>
                <w:rFonts w:cs="Arial"/>
                <w:sz w:val="20"/>
                <w:szCs w:val="20"/>
              </w:rPr>
              <w:t>ABNT NBR 13227:2006 – Agrotóxicos e afins - Determinação de resíduo não</w:t>
            </w:r>
            <w:r>
              <w:rPr>
                <w:rFonts w:cs="Arial"/>
                <w:sz w:val="20"/>
                <w:szCs w:val="20"/>
              </w:rPr>
              <w:t xml:space="preserve"> </w:t>
            </w:r>
            <w:r w:rsidRPr="00DF4A2F">
              <w:rPr>
                <w:rFonts w:cs="Arial"/>
                <w:sz w:val="20"/>
                <w:szCs w:val="20"/>
              </w:rPr>
              <w:t>volátil.</w:t>
            </w:r>
          </w:p>
        </w:tc>
      </w:tr>
      <w:tr w:rsidR="00A87269" w:rsidRPr="00DF4A2F" w:rsidTr="00510FF9">
        <w:trPr>
          <w:cantSplit/>
          <w:trHeight w:val="200"/>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autoSpaceDE w:val="0"/>
              <w:autoSpaceDN w:val="0"/>
              <w:adjustRightInd w:val="0"/>
              <w:spacing w:line="240" w:lineRule="auto"/>
              <w:rPr>
                <w:rFonts w:eastAsia="MS Mincho" w:cs="Arial"/>
                <w:sz w:val="20"/>
                <w:szCs w:val="20"/>
              </w:rPr>
            </w:pPr>
            <w:r w:rsidRPr="00DF4A2F">
              <w:rPr>
                <w:rFonts w:cs="Arial"/>
                <w:sz w:val="20"/>
                <w:szCs w:val="20"/>
              </w:rPr>
              <w:t>ABNT NBR 13230:2008 – Embalagens e acondicionamento plásticos recicláveis - Identificação e simbologia.</w:t>
            </w:r>
          </w:p>
        </w:tc>
      </w:tr>
      <w:tr w:rsidR="00A87269" w:rsidRPr="00DF4A2F" w:rsidTr="00510FF9">
        <w:trPr>
          <w:cantSplit/>
          <w:trHeight w:val="200"/>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rPr>
            </w:pPr>
            <w:r w:rsidRPr="00DF4A2F">
              <w:rPr>
                <w:rFonts w:cs="Arial"/>
                <w:sz w:val="20"/>
                <w:szCs w:val="20"/>
              </w:rPr>
              <w:t>ABNT NBR 13968:1997 - Embalagem rígida vazia de agrotóxico - Procedimentos de lavagem</w:t>
            </w:r>
          </w:p>
        </w:tc>
      </w:tr>
      <w:tr w:rsidR="00A87269" w:rsidRPr="00DF4A2F" w:rsidTr="00510FF9">
        <w:trPr>
          <w:cantSplit/>
          <w:trHeight w:val="200"/>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MS Mincho" w:cs="Arial"/>
                <w:sz w:val="20"/>
                <w:szCs w:val="20"/>
              </w:rPr>
            </w:pPr>
            <w:r w:rsidRPr="00DF4A2F">
              <w:rPr>
                <w:rFonts w:cs="Arial"/>
                <w:sz w:val="20"/>
                <w:szCs w:val="20"/>
              </w:rPr>
              <w:t xml:space="preserve">NBR 14719:2001 - Embalagem rígida vazia de agrotóxico - destinação final da embalagem lavada </w:t>
            </w:r>
            <w:r>
              <w:rPr>
                <w:rFonts w:cs="Arial"/>
                <w:sz w:val="20"/>
                <w:szCs w:val="20"/>
              </w:rPr>
              <w:t>–</w:t>
            </w:r>
            <w:r w:rsidRPr="00DF4A2F">
              <w:rPr>
                <w:rFonts w:cs="Arial"/>
                <w:sz w:val="20"/>
                <w:szCs w:val="20"/>
              </w:rPr>
              <w:t xml:space="preserve"> Procedimento</w:t>
            </w:r>
            <w:r>
              <w:rPr>
                <w:rFonts w:cs="Arial"/>
                <w:sz w:val="20"/>
                <w:szCs w:val="20"/>
              </w:rPr>
              <w:t>.</w:t>
            </w:r>
            <w:r w:rsidRPr="00DF4A2F">
              <w:rPr>
                <w:rFonts w:cs="Arial"/>
                <w:sz w:val="20"/>
                <w:szCs w:val="20"/>
              </w:rPr>
              <w:t xml:space="preserve"> </w:t>
            </w:r>
          </w:p>
        </w:tc>
      </w:tr>
      <w:tr w:rsidR="00A87269" w:rsidRPr="00DF4A2F" w:rsidTr="00510FF9">
        <w:trPr>
          <w:cantSplit/>
          <w:trHeight w:val="200"/>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rPr>
            </w:pPr>
            <w:r w:rsidRPr="00DF4A2F">
              <w:rPr>
                <w:rFonts w:cs="Arial"/>
                <w:sz w:val="20"/>
                <w:szCs w:val="20"/>
              </w:rPr>
              <w:t>NBR 14935:2003 - Embalagem vazia de agrotóxico - Destinação final de embalagem não lavada – Procedimento.</w:t>
            </w:r>
          </w:p>
        </w:tc>
      </w:tr>
    </w:tbl>
    <w:p w:rsidR="00A87269" w:rsidRPr="00DF4A2F" w:rsidRDefault="00A87269" w:rsidP="00A87269">
      <w:pPr>
        <w:autoSpaceDE w:val="0"/>
        <w:autoSpaceDN w:val="0"/>
        <w:adjustRightInd w:val="0"/>
        <w:rPr>
          <w:rFonts w:cs="Arial"/>
          <w:szCs w:val="24"/>
          <w:lang w:eastAsia="pt-BR"/>
        </w:rPr>
      </w:pPr>
    </w:p>
    <w:p w:rsidR="00A87269" w:rsidRPr="00DF4A2F" w:rsidRDefault="00A87269" w:rsidP="00A87269">
      <w:pPr>
        <w:pStyle w:val="Default"/>
        <w:spacing w:line="360" w:lineRule="auto"/>
        <w:ind w:firstLine="709"/>
        <w:jc w:val="both"/>
        <w:rPr>
          <w:color w:val="auto"/>
        </w:rPr>
      </w:pPr>
      <w:r w:rsidRPr="00DF4A2F">
        <w:rPr>
          <w:color w:val="auto"/>
        </w:rPr>
        <w:lastRenderedPageBreak/>
        <w:t>O art. 5º da Resolução CONAMA nº 334 de 2003 dispõe os itens mínimos para o licenciamento de posto e central de resíduos agrossilvospastoris, conforme segue:</w:t>
      </w:r>
    </w:p>
    <w:p w:rsidR="00A87269" w:rsidRPr="00DF4A2F" w:rsidRDefault="00A87269" w:rsidP="00A87269">
      <w:pPr>
        <w:rPr>
          <w:rFonts w:cs="Arial"/>
        </w:rPr>
      </w:pPr>
    </w:p>
    <w:p w:rsidR="00A87269" w:rsidRPr="00DF4A2F" w:rsidRDefault="00A87269" w:rsidP="00A87269">
      <w:pPr>
        <w:rPr>
          <w:rFonts w:cs="Arial"/>
        </w:rPr>
        <w:sectPr w:rsidR="00A87269" w:rsidRPr="00DF4A2F" w:rsidSect="00710E60">
          <w:footerReference w:type="default" r:id="rId51"/>
          <w:type w:val="continuous"/>
          <w:pgSz w:w="11906" w:h="16838"/>
          <w:pgMar w:top="1134" w:right="1134" w:bottom="1134" w:left="1418" w:header="708" w:footer="708" w:gutter="0"/>
          <w:cols w:space="708"/>
          <w:docGrid w:linePitch="360"/>
        </w:sectPr>
      </w:pPr>
    </w:p>
    <w:p w:rsidR="00A87269" w:rsidRPr="00DF4A2F" w:rsidRDefault="00A87269" w:rsidP="00A87269">
      <w:pPr>
        <w:rPr>
          <w:rFonts w:cs="Arial"/>
          <w:bCs/>
          <w:i/>
          <w:sz w:val="20"/>
          <w:szCs w:val="20"/>
        </w:rPr>
      </w:pPr>
      <w:r w:rsidRPr="00DF4A2F">
        <w:rPr>
          <w:rFonts w:cs="Arial"/>
          <w:bCs/>
          <w:i/>
          <w:sz w:val="20"/>
          <w:szCs w:val="20"/>
        </w:rPr>
        <w:lastRenderedPageBreak/>
        <w:t>“Art. 5° O órgão ambiental competente exigirá para o licenciamento ambiental de posto</w:t>
      </w:r>
      <w:r>
        <w:rPr>
          <w:rFonts w:cs="Arial"/>
          <w:bCs/>
          <w:i/>
          <w:sz w:val="20"/>
          <w:szCs w:val="20"/>
        </w:rPr>
        <w:t xml:space="preserve"> </w:t>
      </w:r>
      <w:r w:rsidRPr="00DF4A2F">
        <w:rPr>
          <w:rFonts w:cs="Arial"/>
          <w:bCs/>
          <w:i/>
          <w:sz w:val="20"/>
          <w:szCs w:val="20"/>
        </w:rPr>
        <w:t>e central, no mínimo, os itens relacionados abaixo, exigindo-os, a seu critério, em cada uma de suas etapas:</w:t>
      </w:r>
    </w:p>
    <w:p w:rsidR="00A87269" w:rsidRPr="00DF4A2F" w:rsidRDefault="00A87269" w:rsidP="00A87269">
      <w:pPr>
        <w:rPr>
          <w:rFonts w:cs="Arial"/>
          <w:bCs/>
          <w:i/>
          <w:sz w:val="20"/>
          <w:szCs w:val="20"/>
        </w:rPr>
      </w:pPr>
      <w:r w:rsidRPr="00DF4A2F">
        <w:rPr>
          <w:rFonts w:cs="Arial"/>
          <w:bCs/>
          <w:i/>
          <w:sz w:val="20"/>
          <w:szCs w:val="20"/>
        </w:rPr>
        <w:t>I - projeto básico que deverá seguir, no mínimo, as especificações de construção que constam do anexo II, destacando o sistema de drenagem;</w:t>
      </w:r>
    </w:p>
    <w:p w:rsidR="00A87269" w:rsidRPr="00DF4A2F" w:rsidRDefault="00A87269" w:rsidP="00A87269">
      <w:pPr>
        <w:rPr>
          <w:rFonts w:cs="Arial"/>
          <w:bCs/>
          <w:i/>
          <w:sz w:val="20"/>
          <w:szCs w:val="20"/>
        </w:rPr>
      </w:pPr>
      <w:r w:rsidRPr="00DF4A2F">
        <w:rPr>
          <w:rFonts w:cs="Arial"/>
          <w:bCs/>
          <w:i/>
          <w:sz w:val="20"/>
          <w:szCs w:val="20"/>
        </w:rPr>
        <w:t>II - declaração da Prefeitura Municipal ou do Governo do Distrito Federal, de que o local e o tipo de empreendimento estão de acordo com o Plano Diretor ou similar;</w:t>
      </w:r>
    </w:p>
    <w:p w:rsidR="00A87269" w:rsidRPr="00DF4A2F" w:rsidRDefault="00A87269" w:rsidP="00A87269">
      <w:pPr>
        <w:rPr>
          <w:rFonts w:cs="Arial"/>
          <w:bCs/>
          <w:i/>
          <w:sz w:val="20"/>
          <w:szCs w:val="20"/>
        </w:rPr>
      </w:pPr>
      <w:r w:rsidRPr="00DF4A2F">
        <w:rPr>
          <w:rFonts w:cs="Arial"/>
          <w:bCs/>
          <w:i/>
          <w:sz w:val="20"/>
          <w:szCs w:val="20"/>
        </w:rPr>
        <w:t>III - croqui de localização dos postos e centrais, locando o mesmo dentro da bacia hidrográfica, ou sub-bacia, com rede de drenagem, áreas de preservação permanente, edificações, vegetação, em um raio mínimo de quinhentos metros;</w:t>
      </w:r>
    </w:p>
    <w:p w:rsidR="00A87269" w:rsidRPr="00DF4A2F" w:rsidRDefault="00A87269" w:rsidP="00A87269">
      <w:pPr>
        <w:rPr>
          <w:rFonts w:cs="Arial"/>
          <w:bCs/>
          <w:i/>
          <w:sz w:val="20"/>
          <w:szCs w:val="20"/>
        </w:rPr>
      </w:pPr>
      <w:r w:rsidRPr="00DF4A2F">
        <w:rPr>
          <w:rFonts w:cs="Arial"/>
          <w:bCs/>
          <w:i/>
          <w:sz w:val="20"/>
          <w:szCs w:val="20"/>
        </w:rPr>
        <w:t>IV - termo de compromisso firmado pela empresa registrante de agrotóxicos e afins, ou por sua entidade representativa, garantindo o recolhimento, transporte e destinação final das embalagens vazias recebidas, com previsão de multa diária, conforme legislação pertinente;</w:t>
      </w:r>
    </w:p>
    <w:p w:rsidR="00A87269" w:rsidRPr="00DF4A2F" w:rsidRDefault="00A87269" w:rsidP="00A87269">
      <w:pPr>
        <w:rPr>
          <w:rFonts w:cs="Arial"/>
          <w:bCs/>
          <w:i/>
          <w:sz w:val="20"/>
          <w:szCs w:val="20"/>
        </w:rPr>
      </w:pPr>
      <w:r w:rsidRPr="00DF4A2F">
        <w:rPr>
          <w:rFonts w:cs="Arial"/>
          <w:bCs/>
          <w:i/>
          <w:sz w:val="20"/>
          <w:szCs w:val="20"/>
        </w:rPr>
        <w:t>V - identificação de possíveis riscos de contaminação e medidas de controle associadas;</w:t>
      </w:r>
    </w:p>
    <w:p w:rsidR="00A87269" w:rsidRPr="00DF4A2F" w:rsidRDefault="00A87269" w:rsidP="00A87269">
      <w:pPr>
        <w:rPr>
          <w:rFonts w:cs="Arial"/>
          <w:bCs/>
          <w:i/>
          <w:sz w:val="20"/>
          <w:szCs w:val="20"/>
        </w:rPr>
      </w:pPr>
      <w:r w:rsidRPr="00DF4A2F">
        <w:rPr>
          <w:rFonts w:cs="Arial"/>
          <w:bCs/>
          <w:i/>
          <w:sz w:val="20"/>
          <w:szCs w:val="20"/>
        </w:rPr>
        <w:t>VI - programa de treinamento dos funcionários;</w:t>
      </w:r>
    </w:p>
    <w:p w:rsidR="00A87269" w:rsidRPr="00DF4A2F" w:rsidRDefault="00A87269" w:rsidP="00A87269">
      <w:pPr>
        <w:rPr>
          <w:rFonts w:cs="Arial"/>
          <w:bCs/>
          <w:i/>
          <w:sz w:val="20"/>
          <w:szCs w:val="20"/>
        </w:rPr>
      </w:pPr>
      <w:r w:rsidRPr="00DF4A2F">
        <w:rPr>
          <w:rFonts w:cs="Arial"/>
          <w:bCs/>
          <w:i/>
          <w:sz w:val="20"/>
          <w:szCs w:val="20"/>
        </w:rPr>
        <w:t>VII - programa de monitoramento toxicológico dos funcionários, com exames médicos periódicos, com pesquisa de agrotóxicos no sangue;</w:t>
      </w:r>
    </w:p>
    <w:p w:rsidR="00A87269" w:rsidRPr="00DF4A2F" w:rsidRDefault="00A87269" w:rsidP="00A87269">
      <w:pPr>
        <w:rPr>
          <w:rFonts w:cs="Arial"/>
          <w:bCs/>
          <w:i/>
          <w:sz w:val="20"/>
          <w:szCs w:val="20"/>
        </w:rPr>
      </w:pPr>
      <w:r w:rsidRPr="00DF4A2F">
        <w:rPr>
          <w:rFonts w:cs="Arial"/>
          <w:bCs/>
          <w:i/>
          <w:sz w:val="20"/>
          <w:szCs w:val="20"/>
        </w:rPr>
        <w:lastRenderedPageBreak/>
        <w:t>VIII - programa de monitoramento de solo e da água nas áreas de postos e centrais de recebimento;</w:t>
      </w:r>
    </w:p>
    <w:p w:rsidR="00A87269" w:rsidRPr="00DF4A2F" w:rsidRDefault="00A87269" w:rsidP="00A87269">
      <w:pPr>
        <w:rPr>
          <w:rFonts w:cs="Arial"/>
          <w:bCs/>
          <w:i/>
          <w:sz w:val="20"/>
          <w:szCs w:val="20"/>
        </w:rPr>
      </w:pPr>
      <w:r w:rsidRPr="00DF4A2F">
        <w:rPr>
          <w:rFonts w:cs="Arial"/>
          <w:bCs/>
          <w:i/>
          <w:sz w:val="20"/>
          <w:szCs w:val="20"/>
        </w:rPr>
        <w:t>IX - programa de comunicação social interno e externo alertando sobre os riscos ao meio ambiente e a saúde;</w:t>
      </w:r>
    </w:p>
    <w:p w:rsidR="00A87269" w:rsidRPr="00DF4A2F" w:rsidRDefault="00A87269" w:rsidP="00A87269">
      <w:pPr>
        <w:rPr>
          <w:rFonts w:cs="Arial"/>
          <w:bCs/>
          <w:i/>
          <w:sz w:val="20"/>
          <w:szCs w:val="20"/>
        </w:rPr>
      </w:pPr>
      <w:r w:rsidRPr="00DF4A2F">
        <w:rPr>
          <w:rFonts w:cs="Arial"/>
          <w:bCs/>
          <w:i/>
          <w:sz w:val="20"/>
          <w:szCs w:val="20"/>
        </w:rPr>
        <w:t>X - sistema de controle de recebimento e de destinação de embalagens vazias; e</w:t>
      </w:r>
    </w:p>
    <w:p w:rsidR="00A87269" w:rsidRPr="00DF4A2F" w:rsidRDefault="00A87269" w:rsidP="00A87269">
      <w:pPr>
        <w:rPr>
          <w:rFonts w:cs="Arial"/>
          <w:bCs/>
          <w:i/>
          <w:sz w:val="20"/>
          <w:szCs w:val="20"/>
        </w:rPr>
        <w:sectPr w:rsidR="00A87269" w:rsidRPr="00DF4A2F" w:rsidSect="00710E60">
          <w:footerReference w:type="default" r:id="rId52"/>
          <w:type w:val="continuous"/>
          <w:pgSz w:w="11906" w:h="16838"/>
          <w:pgMar w:top="1134" w:right="1134" w:bottom="1134" w:left="1418" w:header="708" w:footer="708" w:gutter="0"/>
          <w:cols w:num="2" w:space="708"/>
          <w:docGrid w:linePitch="360"/>
        </w:sectPr>
      </w:pPr>
      <w:r w:rsidRPr="00DF4A2F">
        <w:rPr>
          <w:rFonts w:cs="Arial"/>
          <w:bCs/>
          <w:i/>
          <w:sz w:val="20"/>
          <w:szCs w:val="20"/>
        </w:rPr>
        <w:t>XI - responsável técnico pelo funcionamento dos postos e centrais de recebimento”.</w:t>
      </w:r>
    </w:p>
    <w:p w:rsidR="00A87269" w:rsidRPr="00DF4A2F" w:rsidRDefault="00A87269" w:rsidP="002828C8">
      <w:pPr>
        <w:pStyle w:val="Ttulo4"/>
      </w:pPr>
      <w:bookmarkStart w:id="558" w:name="_Toc488825326"/>
      <w:bookmarkStart w:id="559" w:name="_Toc493151492"/>
      <w:bookmarkStart w:id="560" w:name="_Toc497469061"/>
      <w:r w:rsidRPr="00DF4A2F">
        <w:lastRenderedPageBreak/>
        <w:t>Resíduos industriais</w:t>
      </w:r>
      <w:bookmarkEnd w:id="558"/>
      <w:bookmarkEnd w:id="559"/>
      <w:bookmarkEnd w:id="560"/>
    </w:p>
    <w:p w:rsidR="00A87269" w:rsidRPr="00DF4A2F" w:rsidRDefault="00A87269" w:rsidP="00A87269">
      <w:pPr>
        <w:pStyle w:val="Default"/>
        <w:spacing w:line="360" w:lineRule="auto"/>
        <w:ind w:firstLine="709"/>
        <w:jc w:val="both"/>
        <w:rPr>
          <w:color w:val="auto"/>
        </w:rPr>
      </w:pPr>
      <w:r w:rsidRPr="00DF4A2F">
        <w:rPr>
          <w:color w:val="auto"/>
        </w:rPr>
        <w:t>Conhecidos como lixo industrial, os resíduos industriais (RI), segundo a Lei n° 12.305 de 2010, são aqueles “gerados nos processos produtivos e instalações industriais” (art.13).</w:t>
      </w:r>
    </w:p>
    <w:p w:rsidR="00A87269" w:rsidRPr="00DF4A2F" w:rsidRDefault="00A87269" w:rsidP="00A87269">
      <w:pPr>
        <w:pStyle w:val="Default"/>
        <w:spacing w:line="360" w:lineRule="auto"/>
        <w:ind w:firstLine="709"/>
        <w:jc w:val="both"/>
        <w:rPr>
          <w:color w:val="auto"/>
        </w:rPr>
      </w:pPr>
      <w:r w:rsidRPr="00DF4A2F">
        <w:rPr>
          <w:color w:val="auto"/>
        </w:rPr>
        <w:t xml:space="preserve">Por suas variadas características, os RIs necessitam de avaliação específica quanto a sua classificação e tratamento. Pelo uso das normas da ABNT de classificação de resíduos, os RIs podem ser considerados como resíduos perigosos (Classe I), não perigosos e não inertes (Classe II - A) e como não perigosos e inertes (Classe II-B), sendo que este último ocorre apenas em alguns casos. A legislação e regras para os resíduos industriais estão apresentadas no </w:t>
      </w:r>
      <w:r w:rsidRPr="00DF4A2F">
        <w:rPr>
          <w:color w:val="auto"/>
        </w:rPr>
        <w:fldChar w:fldCharType="begin"/>
      </w:r>
      <w:r w:rsidRPr="00DF4A2F">
        <w:rPr>
          <w:color w:val="auto"/>
        </w:rPr>
        <w:instrText xml:space="preserve"> REF _Ref487181825 \h  \* MERGEFORMAT </w:instrText>
      </w:r>
      <w:r w:rsidRPr="00DF4A2F">
        <w:rPr>
          <w:color w:val="auto"/>
        </w:rPr>
      </w:r>
      <w:r w:rsidRPr="00DF4A2F">
        <w:rPr>
          <w:color w:val="auto"/>
        </w:rPr>
        <w:fldChar w:fldCharType="separate"/>
      </w:r>
      <w:r w:rsidR="004D1D76" w:rsidRPr="00DF4A2F">
        <w:t xml:space="preserve">Quadro </w:t>
      </w:r>
      <w:r w:rsidR="004D1D76">
        <w:rPr>
          <w:noProof/>
        </w:rPr>
        <w:t>64</w:t>
      </w:r>
      <w:r w:rsidRPr="00DF4A2F">
        <w:rPr>
          <w:color w:val="auto"/>
        </w:rPr>
        <w:fldChar w:fldCharType="end"/>
      </w:r>
      <w:r w:rsidRPr="00DF4A2F">
        <w:rPr>
          <w:color w:val="auto"/>
        </w:rPr>
        <w:t xml:space="preserve"> e no </w:t>
      </w:r>
      <w:r w:rsidRPr="00DF4A2F">
        <w:rPr>
          <w:color w:val="auto"/>
        </w:rPr>
        <w:fldChar w:fldCharType="begin"/>
      </w:r>
      <w:r w:rsidRPr="00DF4A2F">
        <w:rPr>
          <w:color w:val="auto"/>
        </w:rPr>
        <w:instrText xml:space="preserve"> REF _Ref487181841 \h  \* MERGEFORMAT </w:instrText>
      </w:r>
      <w:r w:rsidRPr="00DF4A2F">
        <w:rPr>
          <w:color w:val="auto"/>
        </w:rPr>
      </w:r>
      <w:r w:rsidRPr="00DF4A2F">
        <w:rPr>
          <w:color w:val="auto"/>
        </w:rPr>
        <w:fldChar w:fldCharType="separate"/>
      </w:r>
      <w:r w:rsidR="004D1D76" w:rsidRPr="00DF4A2F">
        <w:t xml:space="preserve">Quadro </w:t>
      </w:r>
      <w:r w:rsidR="004D1D76">
        <w:rPr>
          <w:noProof/>
        </w:rPr>
        <w:t>65</w:t>
      </w:r>
      <w:r w:rsidRPr="00DF4A2F">
        <w:rPr>
          <w:color w:val="auto"/>
        </w:rPr>
        <w:fldChar w:fldCharType="end"/>
      </w:r>
      <w:r w:rsidRPr="00DF4A2F">
        <w:rPr>
          <w:color w:val="auto"/>
        </w:rPr>
        <w:t>.</w:t>
      </w:r>
    </w:p>
    <w:p w:rsidR="00A87269" w:rsidRPr="00DF4A2F" w:rsidRDefault="00A87269" w:rsidP="00A87269">
      <w:pPr>
        <w:pStyle w:val="Legenda"/>
      </w:pPr>
      <w:bookmarkStart w:id="561" w:name="_Ref487181825"/>
      <w:bookmarkStart w:id="562" w:name="_Toc488825077"/>
      <w:bookmarkStart w:id="563" w:name="_Toc493151614"/>
      <w:bookmarkStart w:id="564" w:name="_Toc497469185"/>
      <w:r w:rsidRPr="00DF4A2F">
        <w:t xml:space="preserve">Quadro </w:t>
      </w:r>
      <w:r w:rsidR="00D71C43">
        <w:fldChar w:fldCharType="begin"/>
      </w:r>
      <w:r w:rsidR="00D71C43">
        <w:instrText xml:space="preserve"> SEQ Quadro \* ARABIC </w:instrText>
      </w:r>
      <w:r w:rsidR="00D71C43">
        <w:fldChar w:fldCharType="separate"/>
      </w:r>
      <w:r w:rsidR="004D1D76">
        <w:rPr>
          <w:noProof/>
        </w:rPr>
        <w:t>64</w:t>
      </w:r>
      <w:r w:rsidR="00D71C43">
        <w:rPr>
          <w:noProof/>
        </w:rPr>
        <w:fldChar w:fldCharType="end"/>
      </w:r>
      <w:bookmarkEnd w:id="561"/>
      <w:r w:rsidRPr="00DF4A2F">
        <w:t xml:space="preserve"> </w:t>
      </w:r>
      <w:r w:rsidRPr="00DF4A2F">
        <w:rPr>
          <w:lang w:val="pt-BR"/>
        </w:rPr>
        <w:t>-</w:t>
      </w:r>
      <w:r w:rsidRPr="00DF4A2F">
        <w:t xml:space="preserve"> Resíduos Industriais – Regras de Licenciamento e Obrigações Legais.</w:t>
      </w:r>
      <w:bookmarkEnd w:id="562"/>
      <w:bookmarkEnd w:id="563"/>
      <w:bookmarkEnd w:id="564"/>
    </w:p>
    <w:tbl>
      <w:tblPr>
        <w:tblW w:w="8755" w:type="dxa"/>
        <w:jc w:val="center"/>
        <w:tblBorders>
          <w:top w:val="single" w:sz="8" w:space="0" w:color="4F81BD"/>
          <w:bottom w:val="single" w:sz="8" w:space="0" w:color="4F81BD"/>
        </w:tblBorders>
        <w:tblLook w:val="04A0" w:firstRow="1" w:lastRow="0" w:firstColumn="1" w:lastColumn="0" w:noHBand="0" w:noVBand="1"/>
      </w:tblPr>
      <w:tblGrid>
        <w:gridCol w:w="8755"/>
      </w:tblGrid>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cs="Arial"/>
                <w:b/>
                <w:sz w:val="20"/>
                <w:szCs w:val="20"/>
              </w:rPr>
            </w:pPr>
            <w:r w:rsidRPr="00DF4A2F">
              <w:rPr>
                <w:rFonts w:cs="Arial"/>
                <w:b/>
                <w:sz w:val="20"/>
                <w:szCs w:val="20"/>
              </w:rPr>
              <w:t>Regras de Licenciamento e Obrigações Legais segundo a Resolução CONAMA nº 313 de 2002.</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cs="Arial"/>
                <w:sz w:val="20"/>
                <w:szCs w:val="20"/>
              </w:rPr>
            </w:pPr>
            <w:r w:rsidRPr="00DF4A2F">
              <w:rPr>
                <w:rFonts w:cs="Arial"/>
                <w:sz w:val="20"/>
                <w:szCs w:val="20"/>
              </w:rPr>
              <w:t>Os resíduos existentes ou gerados pelas atividades industriais serão objeto de controle específico, como parte integrante do processo de licenciamento ambiental.</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rPr>
            </w:pPr>
            <w:r w:rsidRPr="00DF4A2F">
              <w:rPr>
                <w:rFonts w:cs="Arial"/>
                <w:sz w:val="20"/>
                <w:szCs w:val="20"/>
              </w:rPr>
              <w:t>As indústrias deverão indicar as informações que considerarem sigilosas.</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MS Mincho" w:cs="Arial"/>
                <w:sz w:val="20"/>
                <w:szCs w:val="20"/>
              </w:rPr>
            </w:pPr>
            <w:r w:rsidRPr="00DF4A2F">
              <w:rPr>
                <w:rFonts w:cs="Arial"/>
                <w:sz w:val="20"/>
                <w:szCs w:val="20"/>
              </w:rPr>
              <w:t>As concessionárias de energia elétrica e empresas que possuam materiais e equipamentos contendo Bifenilas Policloradas - PCBs deverão apresentar ao órgão estadual de meio ambiente o inventário desses estoques, na forma e prazo a serem definidos pelo Instituto Brasileiro do Meio Ambiente e dos Recursos Naturais Renováveis - IBAMA.</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rPr>
            </w:pPr>
            <w:r w:rsidRPr="00DF4A2F">
              <w:rPr>
                <w:rFonts w:cs="Arial"/>
                <w:sz w:val="20"/>
                <w:szCs w:val="20"/>
              </w:rPr>
              <w:t>Vale ressaltar que as pessoas físicas ou jurídicas que utilizam ou tenham sob sua guarda transformadores, capacitores e demais equipamentos elétricos contendo PCBs, bem como óleos ou outros materiais contaminados por PCBs, ficam obrigadas a providenciar a sua eliminação progressiva até 2020, de acordo com a Lei Estadual nº 12.288 de 2006.</w:t>
            </w: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cs="Arial"/>
                <w:sz w:val="20"/>
                <w:szCs w:val="20"/>
              </w:rPr>
            </w:pPr>
          </w:p>
        </w:tc>
      </w:tr>
      <w:tr w:rsidR="00A87269" w:rsidRPr="00DF4A2F" w:rsidTr="00510FF9">
        <w:trPr>
          <w:jc w:val="center"/>
        </w:trPr>
        <w:tc>
          <w:tcPr>
            <w:tcW w:w="8755"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rPr>
            </w:pPr>
            <w:r w:rsidRPr="00DF4A2F">
              <w:rPr>
                <w:rFonts w:cs="Arial"/>
                <w:sz w:val="20"/>
                <w:szCs w:val="20"/>
              </w:rPr>
              <w:t>As indústrias devem registrar mensalmente e manter na unidade industrial os dados de geração e destinação dos resíduos gerados para efeito de obtenção dos dados para o Inventário Nacional dos Resíduos Industriais.</w:t>
            </w:r>
          </w:p>
        </w:tc>
      </w:tr>
    </w:tbl>
    <w:p w:rsidR="00A87269" w:rsidRPr="00DF4A2F" w:rsidRDefault="00A87269" w:rsidP="00A87269">
      <w:pPr>
        <w:pStyle w:val="Legenda"/>
      </w:pPr>
      <w:bookmarkStart w:id="565" w:name="_Ref487181841"/>
      <w:bookmarkStart w:id="566" w:name="_Toc488825078"/>
      <w:bookmarkStart w:id="567" w:name="_Toc493151615"/>
      <w:bookmarkStart w:id="568" w:name="_Toc497469186"/>
      <w:r w:rsidRPr="00DF4A2F">
        <w:t xml:space="preserve">Quadro </w:t>
      </w:r>
      <w:r w:rsidR="00D71C43">
        <w:fldChar w:fldCharType="begin"/>
      </w:r>
      <w:r w:rsidR="00D71C43">
        <w:instrText xml:space="preserve"> SEQ Quadro \* ARABIC </w:instrText>
      </w:r>
      <w:r w:rsidR="00D71C43">
        <w:fldChar w:fldCharType="separate"/>
      </w:r>
      <w:r w:rsidR="004D1D76">
        <w:rPr>
          <w:noProof/>
        </w:rPr>
        <w:t>65</w:t>
      </w:r>
      <w:r w:rsidR="00D71C43">
        <w:rPr>
          <w:noProof/>
        </w:rPr>
        <w:fldChar w:fldCharType="end"/>
      </w:r>
      <w:bookmarkEnd w:id="565"/>
      <w:r w:rsidRPr="00DF4A2F">
        <w:t xml:space="preserve"> </w:t>
      </w:r>
      <w:r w:rsidRPr="00DF4A2F">
        <w:rPr>
          <w:lang w:val="pt-BR"/>
        </w:rPr>
        <w:t>-</w:t>
      </w:r>
      <w:r w:rsidRPr="00DF4A2F">
        <w:t xml:space="preserve"> Resíduos Industriais – Legislação e Normas.</w:t>
      </w:r>
      <w:bookmarkEnd w:id="566"/>
      <w:bookmarkEnd w:id="567"/>
      <w:bookmarkEnd w:id="568"/>
    </w:p>
    <w:tbl>
      <w:tblPr>
        <w:tblW w:w="0" w:type="auto"/>
        <w:jc w:val="center"/>
        <w:tblBorders>
          <w:top w:val="single" w:sz="8" w:space="0" w:color="4F81BD"/>
          <w:bottom w:val="single" w:sz="8" w:space="0" w:color="4F81BD"/>
        </w:tblBorders>
        <w:tblLayout w:type="fixed"/>
        <w:tblLook w:val="04A0" w:firstRow="1" w:lastRow="0" w:firstColumn="1" w:lastColumn="0" w:noHBand="0" w:noVBand="1"/>
      </w:tblPr>
      <w:tblGrid>
        <w:gridCol w:w="8720"/>
      </w:tblGrid>
      <w:tr w:rsidR="00A87269" w:rsidRPr="00DF4A2F" w:rsidTr="00510FF9">
        <w:trPr>
          <w:trHeight w:val="259"/>
          <w:jc w:val="center"/>
        </w:trPr>
        <w:tc>
          <w:tcPr>
            <w:tcW w:w="8720"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cs="Arial"/>
                <w:b/>
                <w:sz w:val="20"/>
                <w:szCs w:val="20"/>
                <w:u w:val="single"/>
              </w:rPr>
            </w:pPr>
            <w:r w:rsidRPr="00DF4A2F">
              <w:rPr>
                <w:rFonts w:cs="Arial"/>
                <w:b/>
                <w:sz w:val="20"/>
                <w:szCs w:val="20"/>
                <w:u w:val="single"/>
              </w:rPr>
              <w:t>Principais resoluções nacionais</w:t>
            </w:r>
          </w:p>
        </w:tc>
      </w:tr>
      <w:tr w:rsidR="00A87269" w:rsidRPr="00DF4A2F" w:rsidTr="00510FF9">
        <w:trPr>
          <w:trHeight w:val="259"/>
          <w:jc w:val="center"/>
        </w:trPr>
        <w:tc>
          <w:tcPr>
            <w:tcW w:w="8720"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cs="Arial"/>
                <w:sz w:val="20"/>
                <w:szCs w:val="20"/>
              </w:rPr>
            </w:pPr>
            <w:r w:rsidRPr="00DF4A2F">
              <w:rPr>
                <w:rFonts w:cs="Arial"/>
                <w:sz w:val="20"/>
                <w:szCs w:val="20"/>
              </w:rPr>
              <w:t>Resolução CONAMA nº 313, de 22 de novembro de 2002. Dispõe sobre o Inventário Nacional de Resíduos Sólidos Industriais.</w:t>
            </w:r>
          </w:p>
        </w:tc>
      </w:tr>
      <w:tr w:rsidR="00A87269" w:rsidRPr="00DF4A2F" w:rsidTr="00510FF9">
        <w:trPr>
          <w:trHeight w:val="259"/>
          <w:jc w:val="center"/>
        </w:trPr>
        <w:tc>
          <w:tcPr>
            <w:tcW w:w="8720"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b/>
                <w:sz w:val="20"/>
                <w:szCs w:val="20"/>
                <w:u w:val="single"/>
              </w:rPr>
            </w:pPr>
            <w:r w:rsidRPr="00DF4A2F">
              <w:rPr>
                <w:rFonts w:cs="Arial"/>
                <w:b/>
                <w:sz w:val="20"/>
                <w:szCs w:val="20"/>
                <w:u w:val="single"/>
              </w:rPr>
              <w:t>Normas técnicas</w:t>
            </w:r>
          </w:p>
        </w:tc>
      </w:tr>
      <w:tr w:rsidR="00A87269" w:rsidRPr="00DF4A2F" w:rsidTr="00510FF9">
        <w:trPr>
          <w:trHeight w:val="259"/>
          <w:jc w:val="center"/>
        </w:trPr>
        <w:tc>
          <w:tcPr>
            <w:tcW w:w="8720"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MS Mincho" w:cs="Arial"/>
                <w:sz w:val="20"/>
                <w:szCs w:val="20"/>
              </w:rPr>
            </w:pPr>
            <w:r w:rsidRPr="00DF4A2F">
              <w:rPr>
                <w:rFonts w:cs="Arial"/>
                <w:sz w:val="20"/>
                <w:szCs w:val="20"/>
              </w:rPr>
              <w:t xml:space="preserve">ABNT NBR 7500:2013 - </w:t>
            </w:r>
            <w:r w:rsidRPr="00DF4A2F">
              <w:rPr>
                <w:rFonts w:cs="Arial"/>
                <w:sz w:val="20"/>
                <w:szCs w:val="20"/>
                <w:lang w:val="pt-PT"/>
              </w:rPr>
              <w:t>Identificação para o transporte terrestre, manuseio, movimentação e armazenamento de produtos.</w:t>
            </w:r>
          </w:p>
        </w:tc>
      </w:tr>
      <w:tr w:rsidR="00A87269" w:rsidRPr="00DF4A2F" w:rsidTr="00510FF9">
        <w:trPr>
          <w:trHeight w:val="259"/>
          <w:jc w:val="center"/>
        </w:trPr>
        <w:tc>
          <w:tcPr>
            <w:tcW w:w="8720"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autoSpaceDE w:val="0"/>
              <w:autoSpaceDN w:val="0"/>
              <w:adjustRightInd w:val="0"/>
              <w:spacing w:line="240" w:lineRule="auto"/>
              <w:rPr>
                <w:rFonts w:eastAsia="MS Mincho" w:cs="Arial"/>
                <w:sz w:val="20"/>
                <w:szCs w:val="20"/>
                <w:lang w:val="pt-PT"/>
              </w:rPr>
            </w:pPr>
            <w:r w:rsidRPr="00DF4A2F">
              <w:rPr>
                <w:rFonts w:cs="Arial"/>
                <w:sz w:val="20"/>
                <w:szCs w:val="20"/>
                <w:lang w:val="pt-PT"/>
              </w:rPr>
              <w:t xml:space="preserve">NBR 7501:2011 - Transporte terrestre de produtos perigosos </w:t>
            </w:r>
            <w:r>
              <w:rPr>
                <w:rFonts w:cs="Arial"/>
                <w:sz w:val="20"/>
                <w:szCs w:val="20"/>
                <w:lang w:val="pt-PT"/>
              </w:rPr>
              <w:t>–</w:t>
            </w:r>
            <w:r w:rsidRPr="00DF4A2F">
              <w:rPr>
                <w:rFonts w:cs="Arial"/>
                <w:sz w:val="20"/>
                <w:szCs w:val="20"/>
                <w:lang w:val="pt-PT"/>
              </w:rPr>
              <w:t xml:space="preserve"> Terminologia</w:t>
            </w:r>
            <w:r>
              <w:rPr>
                <w:rFonts w:cs="Arial"/>
                <w:sz w:val="20"/>
                <w:szCs w:val="20"/>
                <w:lang w:val="pt-PT"/>
              </w:rPr>
              <w:t>.</w:t>
            </w:r>
          </w:p>
        </w:tc>
      </w:tr>
      <w:tr w:rsidR="00A87269" w:rsidRPr="00DF4A2F" w:rsidTr="00510FF9">
        <w:trPr>
          <w:trHeight w:val="259"/>
          <w:jc w:val="center"/>
        </w:trPr>
        <w:tc>
          <w:tcPr>
            <w:tcW w:w="8720"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autoSpaceDE w:val="0"/>
              <w:autoSpaceDN w:val="0"/>
              <w:adjustRightInd w:val="0"/>
              <w:spacing w:line="240" w:lineRule="auto"/>
              <w:rPr>
                <w:rFonts w:eastAsia="MS Mincho" w:cs="Arial"/>
                <w:sz w:val="20"/>
                <w:szCs w:val="20"/>
                <w:lang w:val="pt-PT"/>
              </w:rPr>
            </w:pPr>
            <w:r w:rsidRPr="00DF4A2F">
              <w:rPr>
                <w:rFonts w:cs="Arial"/>
                <w:sz w:val="20"/>
                <w:szCs w:val="20"/>
                <w:lang w:val="pt-PT"/>
              </w:rPr>
              <w:t>NBR 7503:2013 - Ficha de emergência e envelope para o transporte terrestre de produtos perigosos - Características, dimensões e preenchimento.</w:t>
            </w:r>
          </w:p>
        </w:tc>
      </w:tr>
      <w:tr w:rsidR="00A87269" w:rsidRPr="00DF4A2F" w:rsidTr="00510FF9">
        <w:trPr>
          <w:trHeight w:val="259"/>
          <w:jc w:val="center"/>
        </w:trPr>
        <w:tc>
          <w:tcPr>
            <w:tcW w:w="8720"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autoSpaceDE w:val="0"/>
              <w:autoSpaceDN w:val="0"/>
              <w:adjustRightInd w:val="0"/>
              <w:spacing w:line="240" w:lineRule="auto"/>
              <w:rPr>
                <w:rFonts w:eastAsia="MS Mincho" w:cs="Arial"/>
                <w:sz w:val="20"/>
                <w:szCs w:val="20"/>
                <w:lang w:val="pt-PT"/>
              </w:rPr>
            </w:pPr>
            <w:r w:rsidRPr="00DF4A2F">
              <w:rPr>
                <w:rFonts w:cs="Arial"/>
                <w:sz w:val="20"/>
                <w:szCs w:val="20"/>
              </w:rPr>
              <w:t>ABNT NBR 8418:1984 - Apresentação de projetos de aterros de resíduos industriais perigosos- Procedimento</w:t>
            </w:r>
            <w:r>
              <w:rPr>
                <w:rFonts w:cs="Arial"/>
                <w:sz w:val="20"/>
                <w:szCs w:val="20"/>
              </w:rPr>
              <w:t>.</w:t>
            </w:r>
          </w:p>
        </w:tc>
      </w:tr>
      <w:tr w:rsidR="00A87269" w:rsidRPr="00DF4A2F" w:rsidTr="00510FF9">
        <w:trPr>
          <w:trHeight w:val="259"/>
          <w:jc w:val="center"/>
        </w:trPr>
        <w:tc>
          <w:tcPr>
            <w:tcW w:w="8720"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MS Mincho" w:cs="Arial"/>
                <w:sz w:val="20"/>
                <w:szCs w:val="20"/>
              </w:rPr>
            </w:pPr>
            <w:r w:rsidRPr="00DF4A2F">
              <w:rPr>
                <w:rFonts w:cs="Arial"/>
                <w:sz w:val="20"/>
                <w:szCs w:val="20"/>
              </w:rPr>
              <w:t>ABNT NBR 10.004:2004 – Resíduos sólidos: Classificação.</w:t>
            </w:r>
          </w:p>
        </w:tc>
      </w:tr>
      <w:tr w:rsidR="00A87269" w:rsidRPr="00DF4A2F" w:rsidTr="00510FF9">
        <w:trPr>
          <w:trHeight w:val="259"/>
          <w:jc w:val="center"/>
        </w:trPr>
        <w:tc>
          <w:tcPr>
            <w:tcW w:w="8720"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rPr>
            </w:pPr>
            <w:r w:rsidRPr="00DF4A2F">
              <w:rPr>
                <w:rFonts w:cs="Arial"/>
                <w:sz w:val="20"/>
                <w:szCs w:val="20"/>
              </w:rPr>
              <w:t>ABNT NBR 10.005:2004 – Procedimentos para obtenção de extrato lixiviado de resíduos sólidos.</w:t>
            </w:r>
          </w:p>
        </w:tc>
      </w:tr>
      <w:tr w:rsidR="00A87269" w:rsidRPr="00DF4A2F" w:rsidTr="00510FF9">
        <w:trPr>
          <w:trHeight w:val="259"/>
          <w:jc w:val="center"/>
        </w:trPr>
        <w:tc>
          <w:tcPr>
            <w:tcW w:w="8720"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MS Mincho" w:cs="Arial"/>
                <w:sz w:val="20"/>
                <w:szCs w:val="20"/>
              </w:rPr>
            </w:pPr>
            <w:r w:rsidRPr="00DF4A2F">
              <w:rPr>
                <w:rFonts w:cs="Arial"/>
                <w:sz w:val="20"/>
                <w:szCs w:val="20"/>
              </w:rPr>
              <w:lastRenderedPageBreak/>
              <w:t>ABNT NBR 10.006:2004 – Procedimentos para obtenção de extrato solubilizado de resíduos sólidos.</w:t>
            </w:r>
          </w:p>
        </w:tc>
      </w:tr>
      <w:tr w:rsidR="00A87269" w:rsidRPr="00DF4A2F" w:rsidTr="00510FF9">
        <w:trPr>
          <w:trHeight w:val="259"/>
          <w:jc w:val="center"/>
        </w:trPr>
        <w:tc>
          <w:tcPr>
            <w:tcW w:w="8720" w:type="dxa"/>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rPr>
            </w:pPr>
            <w:r w:rsidRPr="00DF4A2F">
              <w:rPr>
                <w:rFonts w:cs="Arial"/>
                <w:sz w:val="20"/>
                <w:szCs w:val="20"/>
              </w:rPr>
              <w:t>ABNT NBR 10.007:2004 – Amostragem de resíduos sólidos.</w:t>
            </w:r>
          </w:p>
        </w:tc>
      </w:tr>
      <w:tr w:rsidR="00A87269" w:rsidRPr="00DF4A2F" w:rsidTr="00510FF9">
        <w:trPr>
          <w:trHeight w:val="259"/>
          <w:jc w:val="center"/>
        </w:trPr>
        <w:tc>
          <w:tcPr>
            <w:tcW w:w="8720" w:type="dxa"/>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MS Mincho" w:cs="Arial"/>
                <w:sz w:val="20"/>
                <w:szCs w:val="20"/>
              </w:rPr>
            </w:pPr>
            <w:r w:rsidRPr="00DF4A2F">
              <w:rPr>
                <w:rFonts w:cs="Arial"/>
                <w:sz w:val="20"/>
                <w:szCs w:val="20"/>
              </w:rPr>
              <w:t>ABNT NBR 16725:2011 – Resíduo químico — Informações sobre segurança, saúde e meio ambiente — Ficha com dados de segurança de resíduos químicos (FDSR) e rotulagem.</w:t>
            </w:r>
          </w:p>
          <w:p w:rsidR="00A87269" w:rsidRPr="00DF4A2F" w:rsidRDefault="00A87269" w:rsidP="00510FF9">
            <w:pPr>
              <w:spacing w:line="240" w:lineRule="auto"/>
              <w:rPr>
                <w:rFonts w:eastAsia="MS Mincho" w:cs="Arial"/>
                <w:sz w:val="20"/>
                <w:szCs w:val="20"/>
                <w:u w:val="single"/>
              </w:rPr>
            </w:pPr>
            <w:r w:rsidRPr="00DF4A2F">
              <w:rPr>
                <w:rFonts w:cs="Arial"/>
                <w:sz w:val="20"/>
                <w:szCs w:val="20"/>
                <w:u w:val="single"/>
              </w:rPr>
              <w:t>Deliberações COPAM</w:t>
            </w:r>
          </w:p>
          <w:p w:rsidR="00A87269" w:rsidRPr="00DF4A2F" w:rsidRDefault="00A87269" w:rsidP="00510FF9">
            <w:pPr>
              <w:autoSpaceDE w:val="0"/>
              <w:autoSpaceDN w:val="0"/>
              <w:adjustRightInd w:val="0"/>
              <w:spacing w:line="240" w:lineRule="auto"/>
              <w:rPr>
                <w:rFonts w:eastAsia="MS Mincho" w:cs="Arial"/>
                <w:sz w:val="20"/>
                <w:szCs w:val="20"/>
              </w:rPr>
            </w:pPr>
            <w:r w:rsidRPr="00DF4A2F">
              <w:rPr>
                <w:rFonts w:cs="Arial"/>
                <w:sz w:val="20"/>
                <w:szCs w:val="20"/>
              </w:rPr>
              <w:t xml:space="preserve">Deliberação Normativa COPAM nº 136, de 22 de maio de 2009. Altera e complementa a Deliberação Normativa COPAM nº. 90, de 15 de setembro de 2005, que dispõe sobre a declaração de informações relativas às diversas fases de gerenciamento dos resíduos sólidos industriais no Estado de Minas Gerais. </w:t>
            </w:r>
          </w:p>
        </w:tc>
      </w:tr>
    </w:tbl>
    <w:p w:rsidR="00A87269" w:rsidRPr="00DF4A2F" w:rsidRDefault="00A87269" w:rsidP="00A87269">
      <w:pPr>
        <w:rPr>
          <w:rFonts w:cs="Arial"/>
        </w:rPr>
      </w:pPr>
    </w:p>
    <w:p w:rsidR="00A87269" w:rsidRPr="00DF4A2F" w:rsidRDefault="00A87269" w:rsidP="002828C8">
      <w:pPr>
        <w:pStyle w:val="Ttulo4"/>
      </w:pPr>
      <w:bookmarkStart w:id="569" w:name="_Toc488825327"/>
      <w:bookmarkStart w:id="570" w:name="_Toc493151493"/>
      <w:bookmarkStart w:id="571" w:name="_Toc497469062"/>
      <w:r w:rsidRPr="00DF4A2F">
        <w:t>Resíduos de estabelecimentos comerciais e prestação de serviço</w:t>
      </w:r>
      <w:bookmarkEnd w:id="569"/>
      <w:bookmarkEnd w:id="570"/>
      <w:bookmarkEnd w:id="571"/>
    </w:p>
    <w:p w:rsidR="00A87269" w:rsidRPr="00DF4A2F" w:rsidRDefault="00A87269" w:rsidP="00A87269">
      <w:pPr>
        <w:pStyle w:val="Default"/>
        <w:spacing w:line="360" w:lineRule="auto"/>
        <w:ind w:firstLine="709"/>
        <w:jc w:val="both"/>
        <w:rPr>
          <w:color w:val="auto"/>
        </w:rPr>
      </w:pPr>
      <w:r w:rsidRPr="00DF4A2F">
        <w:rPr>
          <w:color w:val="auto"/>
        </w:rPr>
        <w:t>Os resíduos de estabelecimento comerciais e prestação de serviço são aqueles gerados por supermercados, estabelecimento bancários, lojas, bares, restaurantes, entre outros. Sua composição compreende grande quantidade de material reciclável (papel, plástico, embalagens diversas), resíduos de higiene, tais como papel-toalha, papel higiênico e resíduos orgânicos (restos de alimentos).</w:t>
      </w:r>
    </w:p>
    <w:p w:rsidR="00A87269" w:rsidRPr="00DF4A2F" w:rsidRDefault="00A87269" w:rsidP="00A87269">
      <w:pPr>
        <w:pStyle w:val="Default"/>
        <w:spacing w:line="360" w:lineRule="auto"/>
        <w:ind w:firstLine="709"/>
        <w:jc w:val="both"/>
        <w:rPr>
          <w:color w:val="auto"/>
        </w:rPr>
      </w:pPr>
      <w:r w:rsidRPr="00DF4A2F">
        <w:rPr>
          <w:color w:val="auto"/>
        </w:rPr>
        <w:t>Além disso, podem ser encontrados resíduos de significativo impacto ambiental, como pilhas e baterias, pneus inservíveis, óleos comestíveis e óleos lubrificantes usados.</w:t>
      </w:r>
    </w:p>
    <w:p w:rsidR="00A87269" w:rsidRPr="00DF4A2F" w:rsidRDefault="00A87269" w:rsidP="00A87269">
      <w:pPr>
        <w:pStyle w:val="Default"/>
        <w:spacing w:line="360" w:lineRule="auto"/>
        <w:ind w:firstLine="709"/>
        <w:jc w:val="both"/>
        <w:rPr>
          <w:color w:val="auto"/>
        </w:rPr>
      </w:pPr>
      <w:r w:rsidRPr="00DF4A2F">
        <w:rPr>
          <w:color w:val="auto"/>
        </w:rPr>
        <w:t>Esses resíduos não são equiparados aos resíduos domiciliares, pois podem conter características de periculosidade, composição e volume que os tornam sujeitos a elaboração de Plano de Gerenciamento de Resíduos Sólidos.</w:t>
      </w:r>
    </w:p>
    <w:p w:rsidR="00A87269" w:rsidRDefault="00A87269" w:rsidP="00A87269">
      <w:pPr>
        <w:pStyle w:val="Default"/>
        <w:spacing w:line="360" w:lineRule="auto"/>
        <w:ind w:firstLine="709"/>
        <w:jc w:val="both"/>
        <w:rPr>
          <w:color w:val="auto"/>
        </w:rPr>
      </w:pPr>
      <w:r w:rsidRPr="00DF4A2F">
        <w:rPr>
          <w:color w:val="auto"/>
        </w:rPr>
        <w:t>As regras a seguir (</w:t>
      </w:r>
      <w:r w:rsidRPr="00DF4A2F">
        <w:rPr>
          <w:color w:val="auto"/>
        </w:rPr>
        <w:fldChar w:fldCharType="begin"/>
      </w:r>
      <w:r w:rsidRPr="00DF4A2F">
        <w:rPr>
          <w:color w:val="auto"/>
        </w:rPr>
        <w:instrText xml:space="preserve"> REF _Ref487181948 \h  \* MERGEFORMAT </w:instrText>
      </w:r>
      <w:r w:rsidRPr="00DF4A2F">
        <w:rPr>
          <w:color w:val="auto"/>
        </w:rPr>
      </w:r>
      <w:r w:rsidRPr="00DF4A2F">
        <w:rPr>
          <w:color w:val="auto"/>
        </w:rPr>
        <w:fldChar w:fldCharType="separate"/>
      </w:r>
      <w:r w:rsidR="004D1D76" w:rsidRPr="00DF4A2F">
        <w:t xml:space="preserve">Quadro </w:t>
      </w:r>
      <w:r w:rsidR="004D1D76">
        <w:rPr>
          <w:noProof/>
        </w:rPr>
        <w:t>66</w:t>
      </w:r>
      <w:r w:rsidRPr="00DF4A2F">
        <w:rPr>
          <w:color w:val="auto"/>
        </w:rPr>
        <w:fldChar w:fldCharType="end"/>
      </w:r>
      <w:r w:rsidRPr="00DF4A2F">
        <w:rPr>
          <w:color w:val="auto"/>
        </w:rPr>
        <w:t xml:space="preserve">, </w:t>
      </w:r>
      <w:r w:rsidRPr="00DF4A2F">
        <w:rPr>
          <w:color w:val="auto"/>
        </w:rPr>
        <w:fldChar w:fldCharType="begin"/>
      </w:r>
      <w:r w:rsidRPr="00DF4A2F">
        <w:rPr>
          <w:color w:val="auto"/>
        </w:rPr>
        <w:instrText xml:space="preserve"> REF _Ref487181959 \h  \* MERGEFORMAT </w:instrText>
      </w:r>
      <w:r w:rsidRPr="00DF4A2F">
        <w:rPr>
          <w:color w:val="auto"/>
        </w:rPr>
      </w:r>
      <w:r w:rsidRPr="00DF4A2F">
        <w:rPr>
          <w:color w:val="auto"/>
        </w:rPr>
        <w:fldChar w:fldCharType="separate"/>
      </w:r>
      <w:r w:rsidR="004D1D76" w:rsidRPr="00DF4A2F">
        <w:t xml:space="preserve">Quadro </w:t>
      </w:r>
      <w:r w:rsidR="004D1D76">
        <w:rPr>
          <w:noProof/>
        </w:rPr>
        <w:t>67</w:t>
      </w:r>
      <w:r w:rsidRPr="00DF4A2F">
        <w:rPr>
          <w:color w:val="auto"/>
        </w:rPr>
        <w:fldChar w:fldCharType="end"/>
      </w:r>
      <w:r w:rsidRPr="00DF4A2F">
        <w:rPr>
          <w:color w:val="auto"/>
        </w:rPr>
        <w:t xml:space="preserve">, </w:t>
      </w:r>
      <w:r w:rsidRPr="00DF4A2F">
        <w:rPr>
          <w:color w:val="auto"/>
        </w:rPr>
        <w:fldChar w:fldCharType="begin"/>
      </w:r>
      <w:r w:rsidRPr="00DF4A2F">
        <w:rPr>
          <w:color w:val="auto"/>
        </w:rPr>
        <w:instrText xml:space="preserve"> REF _Ref487181975 \h  \* MERGEFORMAT </w:instrText>
      </w:r>
      <w:r w:rsidRPr="00DF4A2F">
        <w:rPr>
          <w:color w:val="auto"/>
        </w:rPr>
      </w:r>
      <w:r w:rsidRPr="00DF4A2F">
        <w:rPr>
          <w:color w:val="auto"/>
        </w:rPr>
        <w:fldChar w:fldCharType="separate"/>
      </w:r>
      <w:r w:rsidR="004D1D76" w:rsidRPr="00DF4A2F">
        <w:t xml:space="preserve">Quadro </w:t>
      </w:r>
      <w:r w:rsidR="004D1D76">
        <w:rPr>
          <w:noProof/>
        </w:rPr>
        <w:t>68</w:t>
      </w:r>
      <w:r w:rsidRPr="00DF4A2F">
        <w:rPr>
          <w:color w:val="auto"/>
        </w:rPr>
        <w:fldChar w:fldCharType="end"/>
      </w:r>
      <w:r w:rsidRPr="00DF4A2F">
        <w:rPr>
          <w:color w:val="auto"/>
        </w:rPr>
        <w:t xml:space="preserve"> e </w:t>
      </w:r>
      <w:r w:rsidRPr="00DF4A2F">
        <w:rPr>
          <w:color w:val="auto"/>
        </w:rPr>
        <w:fldChar w:fldCharType="begin"/>
      </w:r>
      <w:r w:rsidRPr="00DF4A2F">
        <w:rPr>
          <w:color w:val="auto"/>
        </w:rPr>
        <w:instrText xml:space="preserve"> REF _Ref487181984 \h  \* MERGEFORMAT </w:instrText>
      </w:r>
      <w:r w:rsidRPr="00DF4A2F">
        <w:rPr>
          <w:color w:val="auto"/>
        </w:rPr>
      </w:r>
      <w:r w:rsidRPr="00DF4A2F">
        <w:rPr>
          <w:color w:val="auto"/>
        </w:rPr>
        <w:fldChar w:fldCharType="separate"/>
      </w:r>
      <w:r w:rsidR="004D1D76" w:rsidRPr="00DF4A2F">
        <w:t xml:space="preserve">Quadro </w:t>
      </w:r>
      <w:r w:rsidR="004D1D76">
        <w:rPr>
          <w:noProof/>
        </w:rPr>
        <w:t>69</w:t>
      </w:r>
      <w:r w:rsidRPr="00DF4A2F">
        <w:rPr>
          <w:color w:val="auto"/>
        </w:rPr>
        <w:fldChar w:fldCharType="end"/>
      </w:r>
      <w:r w:rsidRPr="00DF4A2F">
        <w:rPr>
          <w:color w:val="auto"/>
        </w:rPr>
        <w:t>) são listadas para os estabelecimentos comerciais e prestadores de serviço que geram resíduos perigosos ou resíduos que, por sua natureza, composição ou volume, não podem ser considerados como resíduos domiciliares.</w:t>
      </w:r>
    </w:p>
    <w:p w:rsidR="00A87269" w:rsidRPr="00DF4A2F" w:rsidRDefault="00A87269" w:rsidP="00A87269">
      <w:pPr>
        <w:pStyle w:val="Legenda"/>
      </w:pPr>
      <w:bookmarkStart w:id="572" w:name="_Ref487181948"/>
      <w:bookmarkStart w:id="573" w:name="_Toc488825079"/>
      <w:bookmarkStart w:id="574" w:name="_Toc493151616"/>
      <w:bookmarkStart w:id="575" w:name="_Toc497469187"/>
      <w:r w:rsidRPr="00DF4A2F">
        <w:t xml:space="preserve">Quadro </w:t>
      </w:r>
      <w:r w:rsidR="00D71C43">
        <w:fldChar w:fldCharType="begin"/>
      </w:r>
      <w:r w:rsidR="00D71C43">
        <w:instrText xml:space="preserve"> SEQ Quadro \* ARABIC </w:instrText>
      </w:r>
      <w:r w:rsidR="00D71C43">
        <w:fldChar w:fldCharType="separate"/>
      </w:r>
      <w:r w:rsidR="004D1D76">
        <w:rPr>
          <w:noProof/>
        </w:rPr>
        <w:t>66</w:t>
      </w:r>
      <w:r w:rsidR="00D71C43">
        <w:rPr>
          <w:noProof/>
        </w:rPr>
        <w:fldChar w:fldCharType="end"/>
      </w:r>
      <w:bookmarkEnd w:id="572"/>
      <w:r w:rsidRPr="00DF4A2F">
        <w:t xml:space="preserve"> </w:t>
      </w:r>
      <w:r w:rsidRPr="00DF4A2F">
        <w:rPr>
          <w:lang w:val="pt-BR"/>
        </w:rPr>
        <w:t>-</w:t>
      </w:r>
      <w:r w:rsidRPr="00DF4A2F">
        <w:t xml:space="preserve"> Resíduos de Estabelecimentos Comerciais – Regras de sobre óleos lubrificantes, pilhas e baterias, pneus inservíveis, embalagens de agrotóxico, lixo eletrônico e lâmpadas fluorescentes.</w:t>
      </w:r>
      <w:bookmarkEnd w:id="573"/>
      <w:bookmarkEnd w:id="574"/>
      <w:bookmarkEnd w:id="575"/>
    </w:p>
    <w:tbl>
      <w:tblPr>
        <w:tblW w:w="0" w:type="auto"/>
        <w:jc w:val="center"/>
        <w:tblBorders>
          <w:top w:val="single" w:sz="8" w:space="0" w:color="4F81BD"/>
          <w:bottom w:val="single" w:sz="8" w:space="0" w:color="4F81BD"/>
        </w:tblBorders>
        <w:tblLook w:val="04A0" w:firstRow="1" w:lastRow="0" w:firstColumn="1" w:lastColumn="0" w:noHBand="0" w:noVBand="1"/>
      </w:tblPr>
      <w:tblGrid>
        <w:gridCol w:w="9570"/>
      </w:tblGrid>
      <w:tr w:rsidR="00A87269" w:rsidRPr="00DF4A2F" w:rsidTr="00665BBB">
        <w:trPr>
          <w:cantSplit/>
          <w:trHeight w:val="269"/>
          <w:tblHeader/>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cs="Arial"/>
                <w:b/>
                <w:sz w:val="20"/>
                <w:szCs w:val="20"/>
              </w:rPr>
            </w:pPr>
            <w:r w:rsidRPr="00DF4A2F">
              <w:rPr>
                <w:rFonts w:cs="Arial"/>
                <w:b/>
                <w:sz w:val="20"/>
                <w:szCs w:val="20"/>
              </w:rPr>
              <w:t>Regras sobre óleos lubrificantes, pilhas e baterias, pneus inservíveis e embalagens de agrotóxicos, lixo eletrônico e lâmpadas fluorescentes (Resoluções CONAMA n° 362/05, n°401/08, n° 416/09)</w:t>
            </w:r>
          </w:p>
        </w:tc>
      </w:tr>
      <w:tr w:rsidR="00A87269" w:rsidRPr="00DF4A2F" w:rsidTr="00665BBB">
        <w:trPr>
          <w:cantSplit/>
          <w:trHeight w:val="269"/>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cs="Arial"/>
                <w:sz w:val="20"/>
                <w:szCs w:val="20"/>
              </w:rPr>
            </w:pPr>
            <w:r w:rsidRPr="00DF4A2F">
              <w:rPr>
                <w:rFonts w:cs="Arial"/>
                <w:sz w:val="20"/>
                <w:szCs w:val="20"/>
              </w:rPr>
              <w:t>Todo óleo lubriﬁcante usado ou contaminado deverá ser recolhido, coletado e ter destinação ﬁnal, de modo que não afete negativamente o meio ambiente e propicie a máxima recuperação dos constituintes nele contidos.</w:t>
            </w:r>
          </w:p>
        </w:tc>
      </w:tr>
      <w:tr w:rsidR="00A87269" w:rsidRPr="00DF4A2F" w:rsidTr="00665BBB">
        <w:trPr>
          <w:cantSplit/>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rPr>
            </w:pPr>
            <w:r w:rsidRPr="00DF4A2F">
              <w:rPr>
                <w:rFonts w:cs="Arial"/>
                <w:sz w:val="20"/>
                <w:szCs w:val="20"/>
              </w:rPr>
              <w:lastRenderedPageBreak/>
              <w:t>Os produtores e importadores são obrigados a coletar todo óleo disponível ou garantir o custeio de toda a coleta de óleo lubriﬁcante usado ou contaminado efetivamente realizada, na proporção do óleo que colocarem no mercado conforme metas progressivas intermediárias e ﬁnais a serem estabelecidas pelos Ministérios de Meio Ambiente e de Minas e Energia em ato normativo conjunto, mesmo que superado o percentual mínimo.</w:t>
            </w:r>
          </w:p>
        </w:tc>
      </w:tr>
      <w:tr w:rsidR="00A87269" w:rsidRPr="00DF4A2F" w:rsidTr="00665BBB">
        <w:trPr>
          <w:cantSplit/>
          <w:trHeight w:val="1324"/>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MS Mincho" w:cs="Arial"/>
                <w:sz w:val="20"/>
                <w:szCs w:val="20"/>
              </w:rPr>
            </w:pPr>
            <w:r w:rsidRPr="00DF4A2F">
              <w:rPr>
                <w:rFonts w:cs="Arial"/>
                <w:sz w:val="20"/>
                <w:szCs w:val="20"/>
              </w:rPr>
              <w:t>Os estabelecimentos que comercializam as pilhas e baterias enquadradas no art. 1º da Resolução CONAMA n° 401 de 2008, bem como a rede de assistência técnica autorizada pelos fabricantes e importadores desses produtos, deverão receber dos usuários as pilhas e baterias usadas, respeitando o mesmo princípio ativo, sendo facultativa a recepção de outras marcas, para repasse aos respectivos fabricantes ou importadores.</w:t>
            </w:r>
          </w:p>
        </w:tc>
      </w:tr>
      <w:tr w:rsidR="00A87269" w:rsidRPr="00DF4A2F" w:rsidTr="00665BBB">
        <w:trPr>
          <w:cantSplit/>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rPr>
            </w:pPr>
            <w:r w:rsidRPr="00DF4A2F">
              <w:rPr>
                <w:rFonts w:cs="Arial"/>
                <w:sz w:val="20"/>
                <w:szCs w:val="20"/>
              </w:rPr>
              <w:t>Os fabricantes e os importadores de pneus novos, com peso unitário superior a 2,0 kg (dois quilos), são obrigados a coletar e dar destinação adequada aos pneus inservíveis existentes no território nacional.</w:t>
            </w:r>
          </w:p>
        </w:tc>
      </w:tr>
      <w:tr w:rsidR="00A87269" w:rsidRPr="00DF4A2F" w:rsidTr="00665BBB">
        <w:trPr>
          <w:cantSplit/>
          <w:trHeight w:val="1324"/>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MS Mincho" w:cs="Arial"/>
                <w:sz w:val="20"/>
                <w:szCs w:val="20"/>
              </w:rPr>
            </w:pPr>
            <w:r w:rsidRPr="00DF4A2F">
              <w:rPr>
                <w:rFonts w:cs="Arial"/>
                <w:sz w:val="20"/>
                <w:szCs w:val="20"/>
              </w:rPr>
              <w:t>Os estabelecimentos de comercialização de pneus são obrigados, no ato da troca de um pneu usado por um pneu novo ou reformado, a receber e armazenar temporariamente os pneus usados entregues pelo consumidor, sem qualquer tipo de ônus para este, adotando procedimentos de controle que identifiquem a sua origem e destino.</w:t>
            </w:r>
          </w:p>
        </w:tc>
      </w:tr>
      <w:tr w:rsidR="00A87269" w:rsidRPr="00DF4A2F" w:rsidTr="00665BBB">
        <w:trPr>
          <w:cantSplit/>
          <w:trHeight w:val="1324"/>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MS Mincho" w:cs="Arial"/>
                <w:sz w:val="20"/>
                <w:szCs w:val="20"/>
              </w:rPr>
            </w:pPr>
            <w:r w:rsidRPr="00DF4A2F">
              <w:rPr>
                <w:rFonts w:cs="Arial"/>
                <w:sz w:val="20"/>
                <w:szCs w:val="20"/>
              </w:rPr>
              <w:t>As empresas produtoras e comercializadoras de agrotóxicos, seus componentes e afins, são responsáveis pela destinação das embalagens vazias dos produtos por elas fabricados e comercializados, após a devolução pelos usuários, e pela dos produtos apreendidos pela ação fiscalizatória e dos impróprios para utilização ou em desuso, com vistas à sua reutilização, reciclagem ou inutilização, obedecidas as normas e instruções dos órgãos registrantes e sanitário-ambientais competentes.</w:t>
            </w:r>
          </w:p>
        </w:tc>
      </w:tr>
      <w:tr w:rsidR="00A87269" w:rsidRPr="00DF4A2F" w:rsidTr="00665BBB">
        <w:trPr>
          <w:cantSplit/>
          <w:trHeight w:val="1324"/>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MS Mincho" w:cs="Arial"/>
                <w:sz w:val="20"/>
                <w:szCs w:val="20"/>
              </w:rPr>
            </w:pPr>
            <w:r w:rsidRPr="00DF4A2F">
              <w:rPr>
                <w:rFonts w:cs="Arial"/>
                <w:sz w:val="20"/>
                <w:szCs w:val="20"/>
              </w:rPr>
              <w:t>A empresa que fabrica, importa ou comercializa produtos tecnológicos eletrônicos (componentes periféricos de computadores; monitores e televisores; acumuladores de energia ou baterias e pilhas; produtos magnetizados) tem responsabilidade de manter pontos de coleta para receber lixo eletrônico a ser descartado pelo consumidor.</w:t>
            </w:r>
          </w:p>
        </w:tc>
      </w:tr>
    </w:tbl>
    <w:p w:rsidR="00A87269" w:rsidRPr="00DF4A2F" w:rsidRDefault="00A87269" w:rsidP="00A87269">
      <w:pPr>
        <w:pStyle w:val="Legenda"/>
      </w:pPr>
      <w:bookmarkStart w:id="576" w:name="_Ref487181959"/>
      <w:bookmarkStart w:id="577" w:name="_Toc488825080"/>
      <w:bookmarkStart w:id="578" w:name="_Toc493151617"/>
      <w:bookmarkStart w:id="579" w:name="_Toc497469188"/>
      <w:r w:rsidRPr="00DF4A2F">
        <w:t xml:space="preserve">Quadro </w:t>
      </w:r>
      <w:r w:rsidR="00D71C43">
        <w:fldChar w:fldCharType="begin"/>
      </w:r>
      <w:r w:rsidR="00D71C43">
        <w:instrText xml:space="preserve"> SEQ Quadro \* ARABIC </w:instrText>
      </w:r>
      <w:r w:rsidR="00D71C43">
        <w:fldChar w:fldCharType="separate"/>
      </w:r>
      <w:r w:rsidR="004D1D76">
        <w:rPr>
          <w:noProof/>
        </w:rPr>
        <w:t>67</w:t>
      </w:r>
      <w:r w:rsidR="00D71C43">
        <w:rPr>
          <w:noProof/>
        </w:rPr>
        <w:fldChar w:fldCharType="end"/>
      </w:r>
      <w:bookmarkEnd w:id="576"/>
      <w:r w:rsidRPr="00DF4A2F">
        <w:rPr>
          <w:lang w:val="pt-BR"/>
        </w:rPr>
        <w:t xml:space="preserve"> </w:t>
      </w:r>
      <w:r w:rsidRPr="00DF4A2F">
        <w:t>- Resíduos de Estabelecimentos Comerciais – Regras de Coleta e Transporte</w:t>
      </w:r>
      <w:bookmarkEnd w:id="577"/>
      <w:bookmarkEnd w:id="578"/>
      <w:bookmarkEnd w:id="579"/>
    </w:p>
    <w:tbl>
      <w:tblPr>
        <w:tblW w:w="0" w:type="auto"/>
        <w:jc w:val="center"/>
        <w:tblBorders>
          <w:top w:val="single" w:sz="8" w:space="0" w:color="4F81BD"/>
          <w:bottom w:val="single" w:sz="8" w:space="0" w:color="4F81BD"/>
        </w:tblBorders>
        <w:tblLook w:val="04A0" w:firstRow="1" w:lastRow="0" w:firstColumn="1" w:lastColumn="0" w:noHBand="0" w:noVBand="1"/>
      </w:tblPr>
      <w:tblGrid>
        <w:gridCol w:w="9570"/>
      </w:tblGrid>
      <w:tr w:rsidR="00A87269" w:rsidRPr="00DF4A2F" w:rsidTr="00665BBB">
        <w:trPr>
          <w:trHeight w:val="269"/>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665BBB">
            <w:pPr>
              <w:pStyle w:val="Legenda"/>
            </w:pPr>
            <w:r w:rsidRPr="00DF4A2F">
              <w:t>Regras de coleta e transporte</w:t>
            </w:r>
          </w:p>
        </w:tc>
      </w:tr>
      <w:tr w:rsidR="00A87269" w:rsidRPr="00DF4A2F" w:rsidTr="00665BBB">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665BBB">
            <w:pPr>
              <w:spacing w:line="240" w:lineRule="auto"/>
              <w:rPr>
                <w:rFonts w:eastAsia="Times New Roman" w:cs="Arial"/>
                <w:sz w:val="20"/>
                <w:szCs w:val="20"/>
              </w:rPr>
            </w:pPr>
            <w:r w:rsidRPr="00DF4A2F">
              <w:rPr>
                <w:rFonts w:eastAsia="Times New Roman" w:cs="Arial"/>
                <w:sz w:val="20"/>
                <w:szCs w:val="20"/>
              </w:rPr>
              <w:t xml:space="preserve">O acondicionamento de resíduos perigosos, como forma temporária de espera para reciclagem, recuperação, tratamento e/ou disposição final, pode ser realizado em </w:t>
            </w:r>
            <w:r w:rsidRPr="00DF4A2F">
              <w:rPr>
                <w:rFonts w:eastAsia="Times New Roman" w:cs="Arial"/>
                <w:i/>
                <w:sz w:val="20"/>
                <w:szCs w:val="20"/>
              </w:rPr>
              <w:t>containers</w:t>
            </w:r>
            <w:r w:rsidRPr="00DF4A2F">
              <w:rPr>
                <w:rFonts w:eastAsia="Times New Roman" w:cs="Arial"/>
                <w:sz w:val="20"/>
                <w:szCs w:val="20"/>
              </w:rPr>
              <w:t>, tambores, tanques e/ou a granel.</w:t>
            </w:r>
          </w:p>
        </w:tc>
      </w:tr>
      <w:tr w:rsidR="00A87269" w:rsidRPr="00DF4A2F" w:rsidTr="00665BBB">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665BBB">
            <w:pPr>
              <w:autoSpaceDE w:val="0"/>
              <w:autoSpaceDN w:val="0"/>
              <w:adjustRightInd w:val="0"/>
              <w:spacing w:line="240" w:lineRule="auto"/>
              <w:rPr>
                <w:rFonts w:eastAsia="Times New Roman" w:cs="Arial"/>
                <w:sz w:val="20"/>
                <w:szCs w:val="20"/>
              </w:rPr>
            </w:pPr>
            <w:r w:rsidRPr="00DF4A2F">
              <w:rPr>
                <w:rFonts w:eastAsia="Times New Roman" w:cs="Arial"/>
                <w:sz w:val="20"/>
                <w:szCs w:val="20"/>
              </w:rPr>
              <w:t>Nenhum resíduo perigoso pode ser armazenado sem análise prévia de suas propriedades físicas e químicas, uma vez que disso depende a sua caracterização como perigoso ou não e o seu armazenamento adequado.</w:t>
            </w:r>
          </w:p>
        </w:tc>
      </w:tr>
      <w:tr w:rsidR="00A87269" w:rsidRPr="00DF4A2F" w:rsidTr="00665BBB">
        <w:trPr>
          <w:trHeight w:val="1324"/>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665BBB">
            <w:pPr>
              <w:autoSpaceDE w:val="0"/>
              <w:autoSpaceDN w:val="0"/>
              <w:adjustRightInd w:val="0"/>
              <w:spacing w:line="240" w:lineRule="auto"/>
              <w:rPr>
                <w:rFonts w:eastAsia="Times New Roman" w:cs="Arial"/>
                <w:sz w:val="20"/>
                <w:szCs w:val="20"/>
              </w:rPr>
            </w:pPr>
            <w:r w:rsidRPr="00DF4A2F">
              <w:rPr>
                <w:rFonts w:eastAsia="Times New Roman" w:cs="Arial"/>
                <w:sz w:val="20"/>
                <w:szCs w:val="20"/>
              </w:rPr>
              <w:t>Um local de armazenamento deve possuir um plano de amostragem de resíduos que tenha: os parâmetros que são analisados em cada resíduo, justificando-se cada um; os métodos de amostragem utilizados; os métodos de análise e ensaios a serem utilizados; a frequência de análise; as características de reatividade, inflamabilidade e corrosividade dos resíduos, bem como as propriedades que os caracterizam como tais; a incompatibilidade com outros resíduos.</w:t>
            </w:r>
          </w:p>
        </w:tc>
      </w:tr>
    </w:tbl>
    <w:p w:rsidR="00A87269" w:rsidRPr="00DF4A2F" w:rsidRDefault="00A87269" w:rsidP="00A87269">
      <w:pPr>
        <w:pStyle w:val="Legenda"/>
      </w:pPr>
      <w:bookmarkStart w:id="580" w:name="_Ref487181975"/>
      <w:bookmarkStart w:id="581" w:name="_Toc488825081"/>
      <w:bookmarkStart w:id="582" w:name="_Toc493151618"/>
      <w:bookmarkStart w:id="583" w:name="_Toc497469189"/>
      <w:r w:rsidRPr="00DF4A2F">
        <w:t xml:space="preserve">Quadro </w:t>
      </w:r>
      <w:r w:rsidR="00D71C43">
        <w:fldChar w:fldCharType="begin"/>
      </w:r>
      <w:r w:rsidR="00D71C43">
        <w:instrText xml:space="preserve"> SEQ Quadro \* ARABIC </w:instrText>
      </w:r>
      <w:r w:rsidR="00D71C43">
        <w:fldChar w:fldCharType="separate"/>
      </w:r>
      <w:r w:rsidR="004D1D76">
        <w:rPr>
          <w:noProof/>
        </w:rPr>
        <w:t>68</w:t>
      </w:r>
      <w:r w:rsidR="00D71C43">
        <w:rPr>
          <w:noProof/>
        </w:rPr>
        <w:fldChar w:fldCharType="end"/>
      </w:r>
      <w:bookmarkEnd w:id="580"/>
      <w:r w:rsidRPr="00DF4A2F">
        <w:t xml:space="preserve"> </w:t>
      </w:r>
      <w:r w:rsidRPr="00DF4A2F">
        <w:rPr>
          <w:lang w:val="pt-BR"/>
        </w:rPr>
        <w:t>-</w:t>
      </w:r>
      <w:r w:rsidRPr="00DF4A2F">
        <w:t xml:space="preserve"> Resíduos de Estabelecimentos Comerciais – Regras de Triagem e Transbordo.</w:t>
      </w:r>
      <w:bookmarkEnd w:id="581"/>
      <w:bookmarkEnd w:id="582"/>
      <w:bookmarkEnd w:id="583"/>
    </w:p>
    <w:tbl>
      <w:tblPr>
        <w:tblW w:w="0" w:type="auto"/>
        <w:jc w:val="center"/>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ook w:val="04A0" w:firstRow="1" w:lastRow="0" w:firstColumn="1" w:lastColumn="0" w:noHBand="0" w:noVBand="1"/>
      </w:tblPr>
      <w:tblGrid>
        <w:gridCol w:w="9570"/>
      </w:tblGrid>
      <w:tr w:rsidR="00A87269" w:rsidRPr="00DF4A2F" w:rsidTr="002828C8">
        <w:trPr>
          <w:jc w:val="center"/>
        </w:trPr>
        <w:tc>
          <w:tcPr>
            <w:tcW w:w="0" w:type="auto"/>
            <w:shd w:val="clear" w:color="auto" w:fill="auto"/>
          </w:tcPr>
          <w:p w:rsidR="00A87269" w:rsidRPr="00DF4A2F" w:rsidRDefault="00A87269" w:rsidP="00510FF9">
            <w:pPr>
              <w:spacing w:line="240" w:lineRule="auto"/>
              <w:rPr>
                <w:rFonts w:eastAsia="Times New Roman" w:cs="Arial"/>
                <w:b/>
                <w:sz w:val="20"/>
                <w:szCs w:val="20"/>
              </w:rPr>
            </w:pPr>
            <w:r w:rsidRPr="00DF4A2F">
              <w:rPr>
                <w:rFonts w:eastAsia="Times New Roman" w:cs="Arial"/>
                <w:b/>
                <w:sz w:val="20"/>
                <w:szCs w:val="20"/>
              </w:rPr>
              <w:t>Regras de Triagem e Transbordo</w:t>
            </w:r>
          </w:p>
        </w:tc>
      </w:tr>
      <w:tr w:rsidR="00A87269" w:rsidRPr="00DF4A2F" w:rsidTr="002828C8">
        <w:trPr>
          <w:jc w:val="center"/>
        </w:trPr>
        <w:tc>
          <w:tcPr>
            <w:tcW w:w="0" w:type="auto"/>
            <w:shd w:val="clear" w:color="auto" w:fill="D3DFEE"/>
          </w:tcPr>
          <w:p w:rsidR="00A87269" w:rsidRPr="00DF4A2F" w:rsidRDefault="00A87269" w:rsidP="00510FF9">
            <w:pPr>
              <w:spacing w:line="240" w:lineRule="auto"/>
              <w:rPr>
                <w:rFonts w:eastAsia="Times New Roman" w:cs="Arial"/>
                <w:sz w:val="20"/>
                <w:szCs w:val="20"/>
              </w:rPr>
            </w:pPr>
            <w:r w:rsidRPr="00DF4A2F">
              <w:rPr>
                <w:rFonts w:eastAsia="Times New Roman" w:cs="Arial"/>
                <w:sz w:val="20"/>
                <w:szCs w:val="20"/>
              </w:rPr>
              <w:t>Resíduos ou substâncias que, ao se misturarem, provocam efeitos indesejáveis, como fogo, liberação de gases tóxicos ou ainda facilitam a lixiviação de substâncias tóxicas, não devem ser colocados em contato.</w:t>
            </w:r>
          </w:p>
        </w:tc>
      </w:tr>
    </w:tbl>
    <w:p w:rsidR="00A87269" w:rsidRPr="00DF4A2F" w:rsidRDefault="00A87269" w:rsidP="00A87269">
      <w:pPr>
        <w:pStyle w:val="Legenda"/>
      </w:pPr>
      <w:bookmarkStart w:id="584" w:name="_Ref487181984"/>
      <w:bookmarkStart w:id="585" w:name="_Toc488825082"/>
      <w:bookmarkStart w:id="586" w:name="_Toc493151619"/>
      <w:bookmarkStart w:id="587" w:name="_Toc497469190"/>
      <w:r w:rsidRPr="00DF4A2F">
        <w:lastRenderedPageBreak/>
        <w:t xml:space="preserve">Quadro </w:t>
      </w:r>
      <w:r w:rsidR="00D71C43">
        <w:fldChar w:fldCharType="begin"/>
      </w:r>
      <w:r w:rsidR="00D71C43">
        <w:instrText xml:space="preserve"> SEQ Quadro \* ARABIC </w:instrText>
      </w:r>
      <w:r w:rsidR="00D71C43">
        <w:fldChar w:fldCharType="separate"/>
      </w:r>
      <w:r w:rsidR="004D1D76">
        <w:rPr>
          <w:noProof/>
        </w:rPr>
        <w:t>69</w:t>
      </w:r>
      <w:r w:rsidR="00D71C43">
        <w:rPr>
          <w:noProof/>
        </w:rPr>
        <w:fldChar w:fldCharType="end"/>
      </w:r>
      <w:bookmarkEnd w:id="584"/>
      <w:r w:rsidRPr="00DF4A2F">
        <w:t xml:space="preserve"> </w:t>
      </w:r>
      <w:r w:rsidRPr="00DF4A2F">
        <w:rPr>
          <w:lang w:val="pt-BR"/>
        </w:rPr>
        <w:t>-</w:t>
      </w:r>
      <w:r w:rsidRPr="00DF4A2F">
        <w:t xml:space="preserve"> Resíduos de Estabelecimentos Comerciais – Legislação e Normas</w:t>
      </w:r>
      <w:bookmarkEnd w:id="585"/>
      <w:bookmarkEnd w:id="586"/>
      <w:bookmarkEnd w:id="587"/>
    </w:p>
    <w:tbl>
      <w:tblPr>
        <w:tblW w:w="0" w:type="auto"/>
        <w:jc w:val="center"/>
        <w:tblBorders>
          <w:top w:val="single" w:sz="8" w:space="0" w:color="4F81BD"/>
          <w:bottom w:val="single" w:sz="8" w:space="0" w:color="4F81BD"/>
        </w:tblBorders>
        <w:tblLook w:val="04A0" w:firstRow="1" w:lastRow="0" w:firstColumn="1" w:lastColumn="0" w:noHBand="0" w:noVBand="1"/>
      </w:tblPr>
      <w:tblGrid>
        <w:gridCol w:w="9570"/>
      </w:tblGrid>
      <w:tr w:rsidR="00A87269" w:rsidRPr="00DF4A2F" w:rsidTr="002828C8">
        <w:trPr>
          <w:cantSplit/>
          <w:trHeight w:val="224"/>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Times New Roman" w:cs="Arial"/>
                <w:b/>
                <w:sz w:val="19"/>
                <w:szCs w:val="19"/>
                <w:u w:val="single"/>
              </w:rPr>
            </w:pPr>
            <w:r w:rsidRPr="00DF4A2F">
              <w:rPr>
                <w:rFonts w:eastAsia="Times New Roman" w:cs="Arial"/>
                <w:b/>
                <w:sz w:val="19"/>
                <w:szCs w:val="19"/>
                <w:u w:val="single"/>
              </w:rPr>
              <w:t>Leis e decretos federais</w:t>
            </w:r>
          </w:p>
        </w:tc>
      </w:tr>
      <w:tr w:rsidR="00A87269" w:rsidRPr="00DF4A2F" w:rsidTr="002828C8">
        <w:trPr>
          <w:cantSplit/>
          <w:trHeight w:val="224"/>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Times New Roman" w:cs="Arial"/>
                <w:sz w:val="19"/>
                <w:szCs w:val="19"/>
              </w:rPr>
            </w:pPr>
            <w:r w:rsidRPr="00DF4A2F">
              <w:rPr>
                <w:rFonts w:eastAsia="Times New Roman" w:cs="Arial"/>
                <w:sz w:val="19"/>
                <w:szCs w:val="19"/>
              </w:rPr>
              <w:t>Lei nº 9.974 de 2000 Altera a Lei nº 7.802 de 1989.</w:t>
            </w:r>
          </w:p>
        </w:tc>
      </w:tr>
      <w:tr w:rsidR="00A87269" w:rsidRPr="00DF4A2F" w:rsidTr="002828C8">
        <w:trPr>
          <w:cantSplit/>
          <w:trHeight w:val="224"/>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Times New Roman" w:cs="Arial"/>
                <w:sz w:val="19"/>
                <w:szCs w:val="19"/>
              </w:rPr>
            </w:pPr>
            <w:r w:rsidRPr="00DF4A2F">
              <w:rPr>
                <w:rFonts w:eastAsia="Times New Roman" w:cs="Arial"/>
                <w:sz w:val="19"/>
                <w:szCs w:val="19"/>
              </w:rPr>
              <w:t>Lei nº 7.802 de 1989 dispõe sobre a pesquisa, a experimentação, a produção, a embalagem e rotulagem, o transporte, o armazenamento, a comercialização, a propaganda comercial, a utilização, a importação, a exportação, o destino final dos resíduos e embalagens, o registro, a classificação, o controle, a inspeção e a fiscalização de agrotóxicos, seus componentes e afins, e dá outras providências.</w:t>
            </w:r>
          </w:p>
        </w:tc>
      </w:tr>
      <w:tr w:rsidR="00A87269" w:rsidRPr="00DF4A2F" w:rsidTr="002828C8">
        <w:trPr>
          <w:cantSplit/>
          <w:trHeight w:val="224"/>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Times New Roman" w:cs="Arial"/>
                <w:b/>
                <w:sz w:val="19"/>
                <w:szCs w:val="19"/>
                <w:u w:val="single"/>
              </w:rPr>
            </w:pPr>
            <w:r w:rsidRPr="00DF4A2F">
              <w:rPr>
                <w:rFonts w:eastAsia="Times New Roman" w:cs="Arial"/>
                <w:b/>
                <w:sz w:val="19"/>
                <w:szCs w:val="19"/>
                <w:u w:val="single"/>
              </w:rPr>
              <w:t>Principais resoluções nacionais</w:t>
            </w:r>
          </w:p>
        </w:tc>
      </w:tr>
      <w:tr w:rsidR="00A87269" w:rsidRPr="00DF4A2F" w:rsidTr="002828C8">
        <w:trPr>
          <w:cantSplit/>
          <w:trHeight w:val="224"/>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Times New Roman" w:cs="Arial"/>
                <w:sz w:val="19"/>
                <w:szCs w:val="19"/>
              </w:rPr>
            </w:pPr>
            <w:r w:rsidRPr="00DF4A2F">
              <w:rPr>
                <w:rFonts w:eastAsia="Times New Roman" w:cs="Arial"/>
                <w:sz w:val="19"/>
                <w:szCs w:val="19"/>
              </w:rPr>
              <w:t>Resolução CONAMA nº 424, de 23 de abril de 2010. Revoga o parágrafo único do art. 16 da Resolução CONAMA nº 401/08.</w:t>
            </w:r>
          </w:p>
        </w:tc>
      </w:tr>
      <w:tr w:rsidR="00A87269" w:rsidRPr="00DF4A2F" w:rsidTr="002828C8">
        <w:trPr>
          <w:cantSplit/>
          <w:trHeight w:val="224"/>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Times New Roman" w:cs="Arial"/>
                <w:sz w:val="19"/>
                <w:szCs w:val="19"/>
              </w:rPr>
            </w:pPr>
            <w:r w:rsidRPr="00DF4A2F">
              <w:rPr>
                <w:rFonts w:eastAsia="Times New Roman" w:cs="Arial"/>
                <w:sz w:val="19"/>
                <w:szCs w:val="19"/>
              </w:rPr>
              <w:t>Resolução CONAMA nº 416, de 01 de outubro de 2009. Dispõe sobre a prevenção à degradação ambiental causada por pneus inservíveis e sua destinação ambientalmente adequada, e dá outras providências. Revoga as resoluções nº 258/99 e nº 301/02.</w:t>
            </w:r>
          </w:p>
        </w:tc>
      </w:tr>
      <w:tr w:rsidR="00A87269" w:rsidRPr="00DF4A2F" w:rsidTr="002828C8">
        <w:trPr>
          <w:cantSplit/>
          <w:trHeight w:val="224"/>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Times New Roman" w:cs="Arial"/>
                <w:sz w:val="19"/>
                <w:szCs w:val="19"/>
              </w:rPr>
            </w:pPr>
            <w:r w:rsidRPr="00DF4A2F">
              <w:rPr>
                <w:rFonts w:eastAsia="Times New Roman" w:cs="Arial"/>
                <w:sz w:val="19"/>
                <w:szCs w:val="19"/>
              </w:rPr>
              <w:t>Resolução CONAMA nº 401, de 04 de novembro de 2008. Estabelece os limites máximos de chumbo, cádmio e mercúrio para pilhas e baterias comercializadas no território nacional e os critérios e padrões para o seu gerenciamento ambientalmente adequado, e dá outras providências. Revoga a Resolução CONAMA nº 257/99 e foi alterada pela Resolução nº 424/10.</w:t>
            </w:r>
          </w:p>
        </w:tc>
      </w:tr>
      <w:tr w:rsidR="00A87269" w:rsidRPr="00DF4A2F" w:rsidTr="002828C8">
        <w:trPr>
          <w:cantSplit/>
          <w:trHeight w:val="224"/>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Times New Roman" w:cs="Arial"/>
                <w:sz w:val="19"/>
                <w:szCs w:val="19"/>
              </w:rPr>
            </w:pPr>
            <w:r w:rsidRPr="00DF4A2F">
              <w:rPr>
                <w:rFonts w:eastAsia="Times New Roman" w:cs="Arial"/>
                <w:sz w:val="19"/>
                <w:szCs w:val="19"/>
              </w:rPr>
              <w:t>Resolução CONAMA nº 362, de 23 de junho de 2005. Dispõe sobre o recolhimento, coleta e destinação final de óleo lubrificante usado ou contaminado.</w:t>
            </w:r>
          </w:p>
        </w:tc>
      </w:tr>
      <w:tr w:rsidR="00A87269" w:rsidRPr="00DF4A2F" w:rsidTr="002828C8">
        <w:trPr>
          <w:cantSplit/>
          <w:trHeight w:val="224"/>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Times New Roman" w:cs="Arial"/>
                <w:b/>
                <w:sz w:val="19"/>
                <w:szCs w:val="19"/>
                <w:u w:val="single"/>
              </w:rPr>
            </w:pPr>
            <w:r w:rsidRPr="00DF4A2F">
              <w:rPr>
                <w:rFonts w:eastAsia="Times New Roman" w:cs="Arial"/>
                <w:b/>
                <w:sz w:val="19"/>
                <w:szCs w:val="19"/>
                <w:u w:val="single"/>
              </w:rPr>
              <w:t>Normas técnicas</w:t>
            </w:r>
          </w:p>
        </w:tc>
      </w:tr>
      <w:tr w:rsidR="00A87269" w:rsidRPr="00DF4A2F" w:rsidTr="002828C8">
        <w:trPr>
          <w:cantSplit/>
          <w:trHeight w:val="224"/>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Times New Roman" w:cs="Arial"/>
                <w:sz w:val="19"/>
                <w:szCs w:val="19"/>
              </w:rPr>
            </w:pPr>
            <w:r w:rsidRPr="00DF4A2F">
              <w:rPr>
                <w:rFonts w:eastAsia="Times New Roman" w:cs="Arial"/>
                <w:sz w:val="19"/>
                <w:szCs w:val="19"/>
              </w:rPr>
              <w:t xml:space="preserve">ABNT NBR 7500:2013 - </w:t>
            </w:r>
            <w:r w:rsidRPr="00DF4A2F">
              <w:rPr>
                <w:rFonts w:eastAsia="Times New Roman" w:cs="Arial"/>
                <w:sz w:val="19"/>
                <w:szCs w:val="19"/>
                <w:lang w:val="pt-PT"/>
              </w:rPr>
              <w:t>Identificação para o transporte terrestre, manuseio, movimentação e armazenamento de produtos.</w:t>
            </w:r>
          </w:p>
        </w:tc>
      </w:tr>
      <w:tr w:rsidR="00A87269" w:rsidRPr="00DF4A2F" w:rsidTr="002828C8">
        <w:trPr>
          <w:cantSplit/>
          <w:trHeight w:val="224"/>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autoSpaceDE w:val="0"/>
              <w:autoSpaceDN w:val="0"/>
              <w:adjustRightInd w:val="0"/>
              <w:spacing w:line="240" w:lineRule="auto"/>
              <w:rPr>
                <w:rFonts w:eastAsia="Times New Roman" w:cs="Arial"/>
                <w:sz w:val="19"/>
                <w:szCs w:val="19"/>
                <w:lang w:val="pt-PT"/>
              </w:rPr>
            </w:pPr>
            <w:r w:rsidRPr="00DF4A2F">
              <w:rPr>
                <w:rFonts w:eastAsia="Times New Roman" w:cs="Arial"/>
                <w:sz w:val="19"/>
                <w:szCs w:val="19"/>
                <w:lang w:val="pt-PT"/>
              </w:rPr>
              <w:t xml:space="preserve">NBR 7501:2011 - Transporte terrestre de produtos perigosos </w:t>
            </w:r>
            <w:r>
              <w:rPr>
                <w:rFonts w:eastAsia="Times New Roman" w:cs="Arial"/>
                <w:sz w:val="19"/>
                <w:szCs w:val="19"/>
                <w:lang w:val="pt-PT"/>
              </w:rPr>
              <w:t>–</w:t>
            </w:r>
            <w:r w:rsidRPr="00DF4A2F">
              <w:rPr>
                <w:rFonts w:eastAsia="Times New Roman" w:cs="Arial"/>
                <w:sz w:val="19"/>
                <w:szCs w:val="19"/>
                <w:lang w:val="pt-PT"/>
              </w:rPr>
              <w:t xml:space="preserve"> Terminologia</w:t>
            </w:r>
            <w:r>
              <w:rPr>
                <w:rFonts w:eastAsia="Times New Roman" w:cs="Arial"/>
                <w:sz w:val="19"/>
                <w:szCs w:val="19"/>
                <w:lang w:val="pt-PT"/>
              </w:rPr>
              <w:t>.</w:t>
            </w:r>
          </w:p>
        </w:tc>
      </w:tr>
      <w:tr w:rsidR="00A87269" w:rsidRPr="00DF4A2F" w:rsidTr="002828C8">
        <w:trPr>
          <w:cantSplit/>
          <w:trHeight w:val="224"/>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autoSpaceDE w:val="0"/>
              <w:autoSpaceDN w:val="0"/>
              <w:adjustRightInd w:val="0"/>
              <w:spacing w:line="240" w:lineRule="auto"/>
              <w:rPr>
                <w:rFonts w:eastAsia="Times New Roman" w:cs="Arial"/>
                <w:sz w:val="19"/>
                <w:szCs w:val="19"/>
                <w:lang w:val="pt-PT"/>
              </w:rPr>
            </w:pPr>
            <w:r w:rsidRPr="00DF4A2F">
              <w:rPr>
                <w:rFonts w:eastAsia="Times New Roman" w:cs="Arial"/>
                <w:sz w:val="19"/>
                <w:szCs w:val="19"/>
                <w:lang w:val="pt-PT"/>
              </w:rPr>
              <w:t>NBR 7503:2013 - Ficha de emergência e envelope para o transporte terrestre de produtos perigosos - Características, dimensões e preenchimento.</w:t>
            </w:r>
          </w:p>
        </w:tc>
      </w:tr>
      <w:tr w:rsidR="00A87269" w:rsidRPr="00DF4A2F" w:rsidTr="002828C8">
        <w:trPr>
          <w:cantSplit/>
          <w:trHeight w:val="224"/>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Times New Roman" w:cs="Arial"/>
                <w:sz w:val="19"/>
                <w:szCs w:val="19"/>
              </w:rPr>
            </w:pPr>
            <w:r w:rsidRPr="00DF4A2F">
              <w:rPr>
                <w:rFonts w:eastAsia="Times New Roman" w:cs="Arial"/>
                <w:sz w:val="19"/>
                <w:szCs w:val="19"/>
              </w:rPr>
              <w:t>ABNT NBR 10004:2004 – Resíduos Sólidos – Classificação</w:t>
            </w:r>
            <w:r>
              <w:rPr>
                <w:rFonts w:eastAsia="Times New Roman" w:cs="Arial"/>
                <w:sz w:val="19"/>
                <w:szCs w:val="19"/>
              </w:rPr>
              <w:t>.</w:t>
            </w:r>
          </w:p>
        </w:tc>
      </w:tr>
      <w:tr w:rsidR="00A87269" w:rsidRPr="00DF4A2F" w:rsidTr="002828C8">
        <w:trPr>
          <w:cantSplit/>
          <w:trHeight w:val="224"/>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Times New Roman" w:cs="Arial"/>
                <w:sz w:val="19"/>
                <w:szCs w:val="19"/>
              </w:rPr>
            </w:pPr>
            <w:r w:rsidRPr="00DF4A2F">
              <w:rPr>
                <w:rFonts w:eastAsia="Times New Roman" w:cs="Arial"/>
                <w:sz w:val="19"/>
                <w:szCs w:val="19"/>
              </w:rPr>
              <w:t>ABNT NBR 10157:1987 – Aterros de resíduos perigosos – Critérios para projeto, construção e operação – Procedimento</w:t>
            </w:r>
            <w:r>
              <w:rPr>
                <w:rFonts w:eastAsia="Times New Roman" w:cs="Arial"/>
                <w:sz w:val="19"/>
                <w:szCs w:val="19"/>
              </w:rPr>
              <w:t>.</w:t>
            </w:r>
          </w:p>
        </w:tc>
      </w:tr>
      <w:tr w:rsidR="00A87269" w:rsidRPr="00DF4A2F" w:rsidTr="002828C8">
        <w:trPr>
          <w:cantSplit/>
          <w:trHeight w:val="224"/>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Times New Roman" w:cs="Arial"/>
                <w:sz w:val="19"/>
                <w:szCs w:val="19"/>
              </w:rPr>
            </w:pPr>
            <w:r w:rsidRPr="00DF4A2F">
              <w:rPr>
                <w:rFonts w:eastAsia="Times New Roman" w:cs="Arial"/>
                <w:sz w:val="19"/>
                <w:szCs w:val="19"/>
              </w:rPr>
              <w:t>ABNT NBR 12235:1992 – Armazenamento de Resíduos Sólidos Perigosos</w:t>
            </w:r>
            <w:r>
              <w:rPr>
                <w:rFonts w:eastAsia="Times New Roman" w:cs="Arial"/>
                <w:sz w:val="19"/>
                <w:szCs w:val="19"/>
              </w:rPr>
              <w:t>.</w:t>
            </w:r>
          </w:p>
        </w:tc>
      </w:tr>
      <w:tr w:rsidR="00A87269" w:rsidRPr="00DF4A2F" w:rsidTr="002828C8">
        <w:trPr>
          <w:cantSplit/>
          <w:trHeight w:val="224"/>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A87269" w:rsidRPr="00DF4A2F" w:rsidRDefault="00A87269" w:rsidP="00510FF9">
            <w:pPr>
              <w:spacing w:line="240" w:lineRule="auto"/>
              <w:rPr>
                <w:rFonts w:eastAsia="Times New Roman" w:cs="Arial"/>
                <w:sz w:val="19"/>
                <w:szCs w:val="19"/>
              </w:rPr>
            </w:pPr>
            <w:r w:rsidRPr="00DF4A2F">
              <w:rPr>
                <w:rFonts w:eastAsia="Times New Roman" w:cs="Arial"/>
                <w:sz w:val="19"/>
                <w:szCs w:val="19"/>
              </w:rPr>
              <w:t>ABNT NBR 14619:2009 – Transporte terrestre de produtos perigosos – Incompatibilidade química</w:t>
            </w:r>
          </w:p>
        </w:tc>
      </w:tr>
      <w:tr w:rsidR="00A87269" w:rsidRPr="00DF4A2F" w:rsidTr="002828C8">
        <w:trPr>
          <w:cantSplit/>
          <w:trHeight w:val="224"/>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A87269" w:rsidRPr="00DF4A2F" w:rsidRDefault="00A87269" w:rsidP="00510FF9">
            <w:pPr>
              <w:spacing w:line="240" w:lineRule="auto"/>
              <w:rPr>
                <w:rFonts w:eastAsia="Times New Roman" w:cs="Arial"/>
                <w:sz w:val="19"/>
                <w:szCs w:val="19"/>
              </w:rPr>
            </w:pPr>
            <w:r w:rsidRPr="00DF4A2F">
              <w:rPr>
                <w:rFonts w:eastAsia="Times New Roman" w:cs="Arial"/>
                <w:sz w:val="19"/>
                <w:szCs w:val="19"/>
              </w:rPr>
              <w:t>ABNT NBR 16156:2013 – Resíduos de equipamentos eletroeletrônicos — Requisitos para atividade de manufatura reversa.</w:t>
            </w:r>
          </w:p>
        </w:tc>
      </w:tr>
    </w:tbl>
    <w:p w:rsidR="00A87269" w:rsidRPr="00DF4A2F" w:rsidRDefault="00A87269" w:rsidP="00A87269">
      <w:pPr>
        <w:rPr>
          <w:rFonts w:cs="Arial"/>
        </w:rPr>
      </w:pPr>
    </w:p>
    <w:p w:rsidR="00A87269" w:rsidRPr="00FC2A41" w:rsidRDefault="00A87269" w:rsidP="002828C8">
      <w:pPr>
        <w:pStyle w:val="Ttulo3"/>
      </w:pPr>
      <w:bookmarkStart w:id="588" w:name="_Toc488825329"/>
      <w:bookmarkStart w:id="589" w:name="_Toc493151494"/>
      <w:bookmarkStart w:id="590" w:name="_Toc488825328"/>
      <w:bookmarkStart w:id="591" w:name="_Toc497469063"/>
      <w:r w:rsidRPr="00FC2A41">
        <w:t>Critérios para pontos de apoio a serem adotados nos serviços públicos de limpeza urbana e manejo de resíduos sólidos</w:t>
      </w:r>
      <w:bookmarkEnd w:id="588"/>
      <w:bookmarkEnd w:id="589"/>
      <w:bookmarkEnd w:id="591"/>
    </w:p>
    <w:p w:rsidR="00A87269" w:rsidRPr="00FC2A41" w:rsidRDefault="00A87269" w:rsidP="00A87269">
      <w:pPr>
        <w:pStyle w:val="Default"/>
        <w:spacing w:line="360" w:lineRule="auto"/>
        <w:ind w:firstLine="709"/>
        <w:jc w:val="both"/>
        <w:rPr>
          <w:color w:val="auto"/>
        </w:rPr>
      </w:pPr>
      <w:r w:rsidRPr="00FC2A41">
        <w:rPr>
          <w:color w:val="auto"/>
        </w:rPr>
        <w:t xml:space="preserve">A gestão dos resíduos urbanos não se resume a uma coleta eficiente e uma disposição correta dos resíduos sólidos. Engloba também o planejamento de diversos procedimentos operacionais a serem adotados nos serviços públicos de limpeza urbana, que podem representar significativa otimização desses serviços, tais como: formas de acondicionamento de resíduos condizentes com a realidade local; fornecimento de Equipamentos de Proteção Individual (EPIs) para todos que compõem a equipe de guarnição; oferta de treinamentos às equipes sobre boas práticas no uso de equipamentos de apoio (EPIs, maquinário, ferramentas, sanitários, etc.); adoção de campanhas educativas para a população sobre o descarte adequado de resíduos; estabelecimento de estrutura adequada para os Pontos de Entrega Voluntária (PEVs); </w:t>
      </w:r>
      <w:r w:rsidRPr="00FC2A41">
        <w:rPr>
          <w:color w:val="auto"/>
        </w:rPr>
        <w:lastRenderedPageBreak/>
        <w:t xml:space="preserve">e formas adequadas de comunicação, tanto para a equipe de guarnição quanto para a população em geral sobre procedimentos a serem adotados. </w:t>
      </w:r>
    </w:p>
    <w:p w:rsidR="00A87269" w:rsidRPr="00FC2A41" w:rsidRDefault="00A87269" w:rsidP="00A87269">
      <w:pPr>
        <w:pStyle w:val="Default"/>
        <w:spacing w:line="360" w:lineRule="auto"/>
        <w:ind w:firstLine="709"/>
        <w:jc w:val="both"/>
        <w:rPr>
          <w:color w:val="auto"/>
        </w:rPr>
      </w:pPr>
      <w:r w:rsidRPr="00FC2A41">
        <w:rPr>
          <w:color w:val="auto"/>
        </w:rPr>
        <w:t>Quanto às formas de comunicação, seja por meio de cartilhas, panfletos, cartazes, chamadas de rádio ou quaisquer outros veículos, os critérios para mensagens devem seguir os princípios estabelecidos pela Política Estadual de Resíduos Sólidos de Minas Gerais (PERS-MG), sendo eles:</w:t>
      </w:r>
    </w:p>
    <w:p w:rsidR="00A87269" w:rsidRPr="00FC2A41" w:rsidRDefault="00A87269" w:rsidP="00A87269">
      <w:pPr>
        <w:pStyle w:val="Default"/>
        <w:numPr>
          <w:ilvl w:val="0"/>
          <w:numId w:val="67"/>
        </w:numPr>
        <w:spacing w:line="360" w:lineRule="auto"/>
        <w:jc w:val="both"/>
        <w:rPr>
          <w:color w:val="auto"/>
        </w:rPr>
      </w:pPr>
      <w:r w:rsidRPr="00FC2A41">
        <w:rPr>
          <w:color w:val="auto"/>
        </w:rPr>
        <w:t xml:space="preserve">a não geração; </w:t>
      </w:r>
    </w:p>
    <w:p w:rsidR="00A87269" w:rsidRPr="00FC2A41" w:rsidRDefault="00A87269" w:rsidP="00A87269">
      <w:pPr>
        <w:pStyle w:val="Default"/>
        <w:numPr>
          <w:ilvl w:val="0"/>
          <w:numId w:val="67"/>
        </w:numPr>
        <w:spacing w:line="360" w:lineRule="auto"/>
        <w:jc w:val="both"/>
        <w:rPr>
          <w:color w:val="auto"/>
        </w:rPr>
      </w:pPr>
      <w:r w:rsidRPr="00FC2A41">
        <w:rPr>
          <w:color w:val="auto"/>
        </w:rPr>
        <w:t xml:space="preserve">a prevenção da geração; </w:t>
      </w:r>
    </w:p>
    <w:p w:rsidR="00A87269" w:rsidRPr="00FC2A41" w:rsidRDefault="00A87269" w:rsidP="00A87269">
      <w:pPr>
        <w:pStyle w:val="Default"/>
        <w:numPr>
          <w:ilvl w:val="0"/>
          <w:numId w:val="67"/>
        </w:numPr>
        <w:spacing w:line="360" w:lineRule="auto"/>
        <w:jc w:val="both"/>
        <w:rPr>
          <w:color w:val="auto"/>
        </w:rPr>
      </w:pPr>
      <w:r w:rsidRPr="00FC2A41">
        <w:rPr>
          <w:color w:val="auto"/>
        </w:rPr>
        <w:t xml:space="preserve">a redução da geração; </w:t>
      </w:r>
    </w:p>
    <w:p w:rsidR="00A87269" w:rsidRPr="00FC2A41" w:rsidRDefault="00A87269" w:rsidP="00A87269">
      <w:pPr>
        <w:pStyle w:val="Default"/>
        <w:numPr>
          <w:ilvl w:val="0"/>
          <w:numId w:val="67"/>
        </w:numPr>
        <w:spacing w:line="360" w:lineRule="auto"/>
        <w:jc w:val="both"/>
        <w:rPr>
          <w:color w:val="auto"/>
        </w:rPr>
      </w:pPr>
      <w:r w:rsidRPr="00FC2A41">
        <w:rPr>
          <w:color w:val="auto"/>
        </w:rPr>
        <w:t xml:space="preserve">a reutilização e o reaproveitamento; </w:t>
      </w:r>
    </w:p>
    <w:p w:rsidR="00A87269" w:rsidRPr="00FC2A41" w:rsidRDefault="00A87269" w:rsidP="00A87269">
      <w:pPr>
        <w:pStyle w:val="Default"/>
        <w:numPr>
          <w:ilvl w:val="0"/>
          <w:numId w:val="67"/>
        </w:numPr>
        <w:spacing w:line="360" w:lineRule="auto"/>
        <w:jc w:val="both"/>
        <w:rPr>
          <w:color w:val="auto"/>
        </w:rPr>
      </w:pPr>
      <w:r w:rsidRPr="00FC2A41">
        <w:rPr>
          <w:color w:val="auto"/>
        </w:rPr>
        <w:t xml:space="preserve">a reciclagem; </w:t>
      </w:r>
    </w:p>
    <w:p w:rsidR="00A87269" w:rsidRPr="00FC2A41" w:rsidRDefault="00A87269" w:rsidP="00A87269">
      <w:pPr>
        <w:pStyle w:val="Default"/>
        <w:numPr>
          <w:ilvl w:val="0"/>
          <w:numId w:val="67"/>
        </w:numPr>
        <w:spacing w:line="360" w:lineRule="auto"/>
        <w:jc w:val="both"/>
        <w:rPr>
          <w:color w:val="auto"/>
        </w:rPr>
      </w:pPr>
      <w:r w:rsidRPr="00FC2A41">
        <w:rPr>
          <w:color w:val="auto"/>
        </w:rPr>
        <w:t xml:space="preserve">o tratamento; </w:t>
      </w:r>
    </w:p>
    <w:p w:rsidR="00A87269" w:rsidRPr="00FC2A41" w:rsidRDefault="00A87269" w:rsidP="00A87269">
      <w:pPr>
        <w:pStyle w:val="Default"/>
        <w:numPr>
          <w:ilvl w:val="0"/>
          <w:numId w:val="67"/>
        </w:numPr>
        <w:spacing w:line="360" w:lineRule="auto"/>
        <w:jc w:val="both"/>
        <w:rPr>
          <w:color w:val="auto"/>
        </w:rPr>
      </w:pPr>
      <w:r w:rsidRPr="00FC2A41">
        <w:rPr>
          <w:color w:val="auto"/>
        </w:rPr>
        <w:t>a disposição final ambientalmente adequada;</w:t>
      </w:r>
    </w:p>
    <w:p w:rsidR="00A87269" w:rsidRPr="00FC2A41" w:rsidRDefault="00A87269" w:rsidP="00A87269">
      <w:pPr>
        <w:pStyle w:val="Default"/>
        <w:numPr>
          <w:ilvl w:val="0"/>
          <w:numId w:val="67"/>
        </w:numPr>
        <w:spacing w:line="360" w:lineRule="auto"/>
        <w:jc w:val="both"/>
        <w:rPr>
          <w:color w:val="auto"/>
        </w:rPr>
      </w:pPr>
      <w:r w:rsidRPr="00FC2A41">
        <w:rPr>
          <w:color w:val="auto"/>
        </w:rPr>
        <w:t>a valorização dos resíduos sólidos.</w:t>
      </w:r>
    </w:p>
    <w:p w:rsidR="00A87269" w:rsidRPr="00FC2A41" w:rsidRDefault="00A87269" w:rsidP="00A87269">
      <w:pPr>
        <w:pStyle w:val="Default"/>
        <w:spacing w:line="360" w:lineRule="auto"/>
        <w:ind w:firstLine="709"/>
        <w:jc w:val="both"/>
        <w:rPr>
          <w:color w:val="auto"/>
        </w:rPr>
      </w:pPr>
      <w:r w:rsidRPr="00FC2A41">
        <w:rPr>
          <w:color w:val="auto"/>
        </w:rPr>
        <w:t xml:space="preserve">A </w:t>
      </w:r>
      <w:r w:rsidRPr="00FC2A41">
        <w:rPr>
          <w:color w:val="auto"/>
        </w:rPr>
        <w:fldChar w:fldCharType="begin"/>
      </w:r>
      <w:r w:rsidRPr="00FC2A41">
        <w:rPr>
          <w:color w:val="auto"/>
        </w:rPr>
        <w:instrText xml:space="preserve"> REF _Ref436144793 \h  \* MERGEFORMAT </w:instrText>
      </w:r>
      <w:r w:rsidRPr="00FC2A41">
        <w:rPr>
          <w:color w:val="auto"/>
        </w:rPr>
      </w:r>
      <w:r w:rsidRPr="00FC2A41">
        <w:rPr>
          <w:color w:val="auto"/>
        </w:rPr>
        <w:fldChar w:fldCharType="separate"/>
      </w:r>
      <w:r w:rsidR="004D1D76" w:rsidRPr="004D1D76">
        <w:rPr>
          <w:color w:val="auto"/>
        </w:rPr>
        <w:t xml:space="preserve">Figura </w:t>
      </w:r>
      <w:r w:rsidR="004D1D76" w:rsidRPr="004D1D76">
        <w:rPr>
          <w:noProof/>
          <w:color w:val="auto"/>
        </w:rPr>
        <w:t>18</w:t>
      </w:r>
      <w:r w:rsidRPr="00FC2A41">
        <w:rPr>
          <w:color w:val="auto"/>
        </w:rPr>
        <w:fldChar w:fldCharType="end"/>
      </w:r>
      <w:r w:rsidRPr="00FC2A41">
        <w:rPr>
          <w:color w:val="auto"/>
        </w:rPr>
        <w:t xml:space="preserve"> apresenta um modelo geral da gestão dos serviços de limpeza urbana e manejo de resíduos sólidos.</w:t>
      </w:r>
    </w:p>
    <w:p w:rsidR="00A87269" w:rsidRPr="00FC2A41" w:rsidRDefault="00A87269" w:rsidP="00A87269">
      <w:pPr>
        <w:pStyle w:val="Legenda"/>
      </w:pPr>
      <w:bookmarkStart w:id="592" w:name="_Ref436144793"/>
      <w:bookmarkStart w:id="593" w:name="_Toc488824957"/>
      <w:bookmarkStart w:id="594" w:name="_Toc493151545"/>
      <w:bookmarkStart w:id="595" w:name="_Toc497469114"/>
      <w:r w:rsidRPr="00FC2A41">
        <w:t xml:space="preserve">Figura </w:t>
      </w:r>
      <w:r w:rsidR="00D71C43">
        <w:fldChar w:fldCharType="begin"/>
      </w:r>
      <w:r w:rsidR="00D71C43">
        <w:instrText xml:space="preserve"> SEQ Figura \* ARABIC </w:instrText>
      </w:r>
      <w:r w:rsidR="00D71C43">
        <w:fldChar w:fldCharType="separate"/>
      </w:r>
      <w:r w:rsidR="004D1D76">
        <w:rPr>
          <w:noProof/>
        </w:rPr>
        <w:t>18</w:t>
      </w:r>
      <w:r w:rsidR="00D71C43">
        <w:rPr>
          <w:noProof/>
        </w:rPr>
        <w:fldChar w:fldCharType="end"/>
      </w:r>
      <w:bookmarkEnd w:id="592"/>
      <w:r w:rsidRPr="00FC2A41">
        <w:t xml:space="preserve"> - Gestão dos resíduos domiciliares</w:t>
      </w:r>
      <w:bookmarkEnd w:id="593"/>
      <w:bookmarkEnd w:id="594"/>
      <w:bookmarkEnd w:id="595"/>
    </w:p>
    <w:p w:rsidR="00A87269" w:rsidRPr="002828C8" w:rsidRDefault="00A87269" w:rsidP="002828C8">
      <w:pPr>
        <w:pStyle w:val="figura"/>
      </w:pPr>
      <w:r w:rsidRPr="002828C8">
        <w:rPr>
          <w:noProof/>
        </w:rPr>
        <w:drawing>
          <wp:inline distT="0" distB="0" distL="0" distR="0" wp14:anchorId="791F161B" wp14:editId="389FF09C">
            <wp:extent cx="5400000" cy="3361905"/>
            <wp:effectExtent l="0" t="0" r="0" b="0"/>
            <wp:docPr id="6" name="Imagem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6"/>
                    <pic:cNvPicPr>
                      <a:picLocks noChangeAspect="1" noChangeArrowheads="1"/>
                    </pic:cNvPicPr>
                  </pic:nvPicPr>
                  <pic:blipFill>
                    <a:blip r:embed="rId53">
                      <a:extLst>
                        <a:ext uri="{28A0092B-C50C-407E-A947-70E740481C1C}">
                          <a14:useLocalDpi xmlns:a14="http://schemas.microsoft.com/office/drawing/2010/main"/>
                        </a:ext>
                      </a:extLst>
                    </a:blip>
                    <a:srcRect/>
                    <a:stretch>
                      <a:fillRect/>
                    </a:stretch>
                  </pic:blipFill>
                  <pic:spPr bwMode="auto">
                    <a:xfrm>
                      <a:off x="0" y="0"/>
                      <a:ext cx="5400000" cy="3361905"/>
                    </a:xfrm>
                    <a:prstGeom prst="rect">
                      <a:avLst/>
                    </a:prstGeom>
                    <a:noFill/>
                    <a:ln>
                      <a:noFill/>
                    </a:ln>
                  </pic:spPr>
                </pic:pic>
              </a:graphicData>
            </a:graphic>
          </wp:inline>
        </w:drawing>
      </w:r>
    </w:p>
    <w:p w:rsidR="00A87269" w:rsidRPr="00FC2A41" w:rsidRDefault="00A87269" w:rsidP="00A87269">
      <w:pPr>
        <w:pStyle w:val="Fonte"/>
        <w:rPr>
          <w:rFonts w:cs="Arial"/>
          <w:sz w:val="20"/>
        </w:rPr>
      </w:pPr>
      <w:r w:rsidRPr="00FC2A41">
        <w:rPr>
          <w:rFonts w:cs="Arial"/>
        </w:rPr>
        <w:t>Fonte: Schalch, 2002.</w:t>
      </w:r>
    </w:p>
    <w:p w:rsidR="00A87269" w:rsidRPr="00FC2A41" w:rsidRDefault="00A87269" w:rsidP="00A87269">
      <w:pPr>
        <w:pStyle w:val="Default"/>
        <w:spacing w:line="360" w:lineRule="auto"/>
        <w:ind w:firstLine="709"/>
        <w:jc w:val="both"/>
        <w:rPr>
          <w:color w:val="auto"/>
        </w:rPr>
      </w:pPr>
      <w:r w:rsidRPr="00FC2A41">
        <w:rPr>
          <w:color w:val="auto"/>
        </w:rPr>
        <w:lastRenderedPageBreak/>
        <w:t>A seguir é apresentado um diagrama dos procedimentos para não geração, redução, reutilização e reciclagem de resíduos sólidos (</w:t>
      </w:r>
      <w:r w:rsidRPr="00FC2A41">
        <w:rPr>
          <w:color w:val="auto"/>
        </w:rPr>
        <w:fldChar w:fldCharType="begin"/>
      </w:r>
      <w:r w:rsidRPr="00FC2A41">
        <w:rPr>
          <w:color w:val="auto"/>
        </w:rPr>
        <w:instrText xml:space="preserve"> REF _Ref436144808 \h  \* MERGEFORMAT </w:instrText>
      </w:r>
      <w:r w:rsidRPr="00FC2A41">
        <w:rPr>
          <w:color w:val="auto"/>
        </w:rPr>
      </w:r>
      <w:r w:rsidRPr="00FC2A41">
        <w:rPr>
          <w:color w:val="auto"/>
        </w:rPr>
        <w:fldChar w:fldCharType="separate"/>
      </w:r>
      <w:r w:rsidR="004D1D76" w:rsidRPr="004D1D76">
        <w:rPr>
          <w:color w:val="auto"/>
        </w:rPr>
        <w:t xml:space="preserve">Figura </w:t>
      </w:r>
      <w:r w:rsidR="004D1D76" w:rsidRPr="004D1D76">
        <w:rPr>
          <w:noProof/>
          <w:color w:val="auto"/>
        </w:rPr>
        <w:t>19</w:t>
      </w:r>
      <w:r w:rsidRPr="00FC2A41">
        <w:rPr>
          <w:color w:val="auto"/>
        </w:rPr>
        <w:fldChar w:fldCharType="end"/>
      </w:r>
      <w:r w:rsidRPr="00FC2A41">
        <w:rPr>
          <w:color w:val="auto"/>
        </w:rPr>
        <w:t>).</w:t>
      </w:r>
    </w:p>
    <w:p w:rsidR="00A87269" w:rsidRPr="00FC2A41" w:rsidRDefault="00A87269" w:rsidP="00A87269">
      <w:pPr>
        <w:pStyle w:val="Legenda"/>
      </w:pPr>
      <w:bookmarkStart w:id="596" w:name="_Ref436144808"/>
      <w:bookmarkStart w:id="597" w:name="_Toc488824958"/>
      <w:bookmarkStart w:id="598" w:name="_Toc493151546"/>
      <w:bookmarkStart w:id="599" w:name="_Toc497469115"/>
      <w:r w:rsidRPr="00FC2A41">
        <w:t xml:space="preserve">Figura </w:t>
      </w:r>
      <w:r w:rsidR="00D71C43">
        <w:fldChar w:fldCharType="begin"/>
      </w:r>
      <w:r w:rsidR="00D71C43">
        <w:instrText xml:space="preserve"> SEQ Figura \* ARABIC </w:instrText>
      </w:r>
      <w:r w:rsidR="00D71C43">
        <w:fldChar w:fldCharType="separate"/>
      </w:r>
      <w:r w:rsidR="004D1D76">
        <w:rPr>
          <w:noProof/>
        </w:rPr>
        <w:t>19</w:t>
      </w:r>
      <w:r w:rsidR="00D71C43">
        <w:rPr>
          <w:noProof/>
        </w:rPr>
        <w:fldChar w:fldCharType="end"/>
      </w:r>
      <w:bookmarkEnd w:id="596"/>
      <w:r w:rsidRPr="00FC2A41">
        <w:t xml:space="preserve"> </w:t>
      </w:r>
      <w:r w:rsidRPr="00FC2A41">
        <w:rPr>
          <w:lang w:val="pt-BR"/>
        </w:rPr>
        <w:t>-</w:t>
      </w:r>
      <w:r w:rsidRPr="00FC2A41">
        <w:t xml:space="preserve"> Procedimentos para não geração, redução, reutilização e reciclagem de resíduos sólidos</w:t>
      </w:r>
      <w:bookmarkEnd w:id="597"/>
      <w:bookmarkEnd w:id="598"/>
      <w:bookmarkEnd w:id="599"/>
    </w:p>
    <w:p w:rsidR="00A87269" w:rsidRPr="00FC2A41" w:rsidRDefault="00A87269" w:rsidP="00A87269">
      <w:pPr>
        <w:pStyle w:val="figura"/>
      </w:pPr>
      <w:r w:rsidRPr="00FC2A41">
        <w:rPr>
          <w:noProof/>
        </w:rPr>
        <w:drawing>
          <wp:inline distT="0" distB="0" distL="0" distR="0" wp14:anchorId="6ADE729A" wp14:editId="72DF674B">
            <wp:extent cx="5400675" cy="3419475"/>
            <wp:effectExtent l="0" t="0" r="9525" b="9525"/>
            <wp:docPr id="29" name="Imagem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7"/>
                    <pic:cNvPicPr>
                      <a:picLocks noChangeAspect="1" noChangeArrowheads="1"/>
                    </pic:cNvPicPr>
                  </pic:nvPicPr>
                  <pic:blipFill>
                    <a:blip r:embed="rId54">
                      <a:extLst>
                        <a:ext uri="{28A0092B-C50C-407E-A947-70E740481C1C}">
                          <a14:useLocalDpi xmlns:a14="http://schemas.microsoft.com/office/drawing/2010/main"/>
                        </a:ext>
                      </a:extLst>
                    </a:blip>
                    <a:srcRect/>
                    <a:stretch>
                      <a:fillRect/>
                    </a:stretch>
                  </pic:blipFill>
                  <pic:spPr bwMode="auto">
                    <a:xfrm>
                      <a:off x="0" y="0"/>
                      <a:ext cx="5400675" cy="3419475"/>
                    </a:xfrm>
                    <a:prstGeom prst="rect">
                      <a:avLst/>
                    </a:prstGeom>
                    <a:noFill/>
                    <a:ln>
                      <a:noFill/>
                    </a:ln>
                  </pic:spPr>
                </pic:pic>
              </a:graphicData>
            </a:graphic>
          </wp:inline>
        </w:drawing>
      </w:r>
    </w:p>
    <w:p w:rsidR="00A87269" w:rsidRPr="00FC2A41" w:rsidRDefault="00A87269" w:rsidP="00A87269">
      <w:pPr>
        <w:pStyle w:val="Fonte"/>
        <w:rPr>
          <w:rFonts w:cs="Arial"/>
        </w:rPr>
      </w:pPr>
      <w:r w:rsidRPr="00FC2A41">
        <w:rPr>
          <w:rFonts w:cs="Arial"/>
        </w:rPr>
        <w:t>Fonte: Schalch, 2002.</w:t>
      </w:r>
    </w:p>
    <w:p w:rsidR="00A87269" w:rsidRPr="00FC2A41" w:rsidRDefault="00A87269" w:rsidP="002828C8">
      <w:pPr>
        <w:pStyle w:val="Ttulo4"/>
      </w:pPr>
      <w:bookmarkStart w:id="600" w:name="_Toc488825330"/>
      <w:bookmarkStart w:id="601" w:name="_Toc493151495"/>
      <w:bookmarkStart w:id="602" w:name="_Toc497469064"/>
      <w:r>
        <w:t>Caracterização f</w:t>
      </w:r>
      <w:r w:rsidRPr="00FC2A41">
        <w:t>ísica</w:t>
      </w:r>
      <w:bookmarkEnd w:id="600"/>
      <w:bookmarkEnd w:id="601"/>
      <w:bookmarkEnd w:id="602"/>
      <w:r w:rsidRPr="00FC2A41">
        <w:t xml:space="preserve"> </w:t>
      </w:r>
    </w:p>
    <w:p w:rsidR="00A87269" w:rsidRPr="00FC2A41" w:rsidRDefault="00A87269" w:rsidP="00A87269">
      <w:pPr>
        <w:pStyle w:val="Default"/>
        <w:spacing w:line="360" w:lineRule="auto"/>
        <w:ind w:firstLine="709"/>
        <w:jc w:val="both"/>
        <w:rPr>
          <w:color w:val="auto"/>
        </w:rPr>
      </w:pPr>
      <w:r w:rsidRPr="00FC2A41">
        <w:rPr>
          <w:color w:val="auto"/>
        </w:rPr>
        <w:t>A caracterização física dos resíduos da coleta regular permite a análise dos tipos recolhidos e suas particularidades e, assim, o planejamento das disposições adequadas para cada um deles.</w:t>
      </w:r>
    </w:p>
    <w:p w:rsidR="00A87269" w:rsidRPr="00FC2A41" w:rsidRDefault="00A87269" w:rsidP="00A87269">
      <w:pPr>
        <w:pStyle w:val="Default"/>
        <w:spacing w:line="360" w:lineRule="auto"/>
        <w:ind w:firstLine="709"/>
        <w:jc w:val="both"/>
        <w:rPr>
          <w:color w:val="auto"/>
        </w:rPr>
      </w:pPr>
      <w:r w:rsidRPr="00FC2A41">
        <w:rPr>
          <w:color w:val="auto"/>
        </w:rPr>
        <w:t xml:space="preserve">Algumas características que podem ser determinadas são a composição gravimétrica, o peso específico, o teor de umidade e a geração </w:t>
      </w:r>
      <w:r w:rsidRPr="00FC2A41">
        <w:rPr>
          <w:i/>
          <w:color w:val="auto"/>
        </w:rPr>
        <w:t>per capita</w:t>
      </w:r>
      <w:r w:rsidRPr="00FC2A41">
        <w:rPr>
          <w:color w:val="auto"/>
        </w:rPr>
        <w:t xml:space="preserve">. </w:t>
      </w:r>
    </w:p>
    <w:p w:rsidR="00A87269" w:rsidRPr="00FC2A41" w:rsidRDefault="00A87269" w:rsidP="00A87269">
      <w:pPr>
        <w:pStyle w:val="Default"/>
        <w:spacing w:line="360" w:lineRule="auto"/>
        <w:ind w:firstLine="709"/>
        <w:jc w:val="both"/>
        <w:rPr>
          <w:color w:val="auto"/>
        </w:rPr>
      </w:pPr>
      <w:r w:rsidRPr="00FC2A41">
        <w:rPr>
          <w:color w:val="auto"/>
        </w:rPr>
        <w:t xml:space="preserve">Uma metodologia muito utilizada no preparo da amostra e obtenção de uma amostra significativa para a caracterização é o quarteamento, que é descrito por Matos e Schalch (2007), que citam a recomendação da </w:t>
      </w:r>
      <w:r w:rsidRPr="00FC2A41">
        <w:rPr>
          <w:i/>
          <w:color w:val="auto"/>
        </w:rPr>
        <w:t>American Society For Testing And Materials</w:t>
      </w:r>
      <w:r w:rsidRPr="00FC2A41">
        <w:rPr>
          <w:color w:val="auto"/>
        </w:rPr>
        <w:t xml:space="preserve"> (ASTM) de utilização de uma amostra de 91 a 140 kg, e utilizam para o referido trabalho uma amostra de 200 kg obtida por quarteamento. </w:t>
      </w:r>
    </w:p>
    <w:p w:rsidR="00A87269" w:rsidRPr="00FC2A41" w:rsidRDefault="00A87269" w:rsidP="00A87269">
      <w:pPr>
        <w:pStyle w:val="Default"/>
        <w:spacing w:line="360" w:lineRule="auto"/>
        <w:ind w:firstLine="709"/>
        <w:jc w:val="both"/>
        <w:rPr>
          <w:color w:val="auto"/>
        </w:rPr>
      </w:pPr>
      <w:r w:rsidRPr="00FC2A41">
        <w:rPr>
          <w:color w:val="auto"/>
        </w:rPr>
        <w:t xml:space="preserve">As etapas abaixo são descritas no Manual de Gerenciamento Integrado de Resíduos Sólidos do Governo Federal (Manual GIRS). </w:t>
      </w:r>
    </w:p>
    <w:p w:rsidR="00A87269" w:rsidRPr="00FC2A41" w:rsidRDefault="00A87269" w:rsidP="00A87269">
      <w:pPr>
        <w:pStyle w:val="Default"/>
        <w:spacing w:line="360" w:lineRule="auto"/>
        <w:ind w:firstLine="709"/>
        <w:jc w:val="both"/>
        <w:rPr>
          <w:color w:val="auto"/>
        </w:rPr>
      </w:pPr>
      <w:r w:rsidRPr="00FC2A41">
        <w:rPr>
          <w:color w:val="auto"/>
        </w:rPr>
        <w:lastRenderedPageBreak/>
        <w:t xml:space="preserve">Preparo da amostra: </w:t>
      </w:r>
    </w:p>
    <w:p w:rsidR="00A87269" w:rsidRPr="00FC2A41" w:rsidRDefault="00A87269" w:rsidP="00A87269">
      <w:pPr>
        <w:pStyle w:val="Default"/>
        <w:numPr>
          <w:ilvl w:val="0"/>
          <w:numId w:val="20"/>
        </w:numPr>
        <w:spacing w:line="360" w:lineRule="auto"/>
        <w:jc w:val="both"/>
        <w:rPr>
          <w:color w:val="auto"/>
        </w:rPr>
      </w:pPr>
      <w:r w:rsidRPr="00FC2A41">
        <w:rPr>
          <w:color w:val="auto"/>
        </w:rPr>
        <w:t>As amostras iniciais devem ser coletadas do lixo ainda sem compactação, cada uma com cerca de 3m</w:t>
      </w:r>
      <w:r w:rsidRPr="00FC2A41">
        <w:rPr>
          <w:color w:val="auto"/>
          <w:vertAlign w:val="superscript"/>
        </w:rPr>
        <w:t>3</w:t>
      </w:r>
      <w:r w:rsidRPr="00FC2A41">
        <w:rPr>
          <w:color w:val="auto"/>
        </w:rPr>
        <w:t xml:space="preserve">. </w:t>
      </w:r>
    </w:p>
    <w:p w:rsidR="00A87269" w:rsidRPr="00FC2A41" w:rsidRDefault="00A87269" w:rsidP="00A87269">
      <w:pPr>
        <w:pStyle w:val="Default"/>
        <w:numPr>
          <w:ilvl w:val="0"/>
          <w:numId w:val="20"/>
        </w:numPr>
        <w:spacing w:line="360" w:lineRule="auto"/>
        <w:jc w:val="both"/>
        <w:rPr>
          <w:color w:val="auto"/>
        </w:rPr>
      </w:pPr>
      <w:r w:rsidRPr="00FC2A41">
        <w:rPr>
          <w:color w:val="auto"/>
        </w:rPr>
        <w:t>É indicado que a coleta seja de segunda a quinta-feira e em diferentes setores do município.</w:t>
      </w:r>
    </w:p>
    <w:p w:rsidR="00A87269" w:rsidRPr="00FC2A41" w:rsidRDefault="00A87269" w:rsidP="00A87269">
      <w:pPr>
        <w:pStyle w:val="Default"/>
        <w:numPr>
          <w:ilvl w:val="0"/>
          <w:numId w:val="20"/>
        </w:numPr>
        <w:spacing w:line="360" w:lineRule="auto"/>
        <w:jc w:val="both"/>
        <w:rPr>
          <w:color w:val="auto"/>
        </w:rPr>
      </w:pPr>
      <w:r w:rsidRPr="00FC2A41">
        <w:rPr>
          <w:color w:val="auto"/>
        </w:rPr>
        <w:t xml:space="preserve">Dispor os resíduos sobre uma lona, estendida em área plana. Os recipientes de acondicionamento devem ser rompidos e os resíduos misturados com auxílio de pás e enxadas. </w:t>
      </w:r>
    </w:p>
    <w:p w:rsidR="00A87269" w:rsidRPr="00FC2A41" w:rsidRDefault="00A87269" w:rsidP="00A87269">
      <w:pPr>
        <w:pStyle w:val="Default"/>
        <w:numPr>
          <w:ilvl w:val="0"/>
          <w:numId w:val="20"/>
        </w:numPr>
        <w:spacing w:line="360" w:lineRule="auto"/>
        <w:jc w:val="both"/>
        <w:rPr>
          <w:color w:val="auto"/>
        </w:rPr>
      </w:pPr>
      <w:r w:rsidRPr="00FC2A41">
        <w:rPr>
          <w:color w:val="auto"/>
        </w:rPr>
        <w:t>A mistura homogeneizada deve ser dividida em quatro partes. A seguir, dois quartos opostos, anteriormente divididos, devem ser misturados, e o processo repetido para essa nova mistura até que se obtenham quartos de cerca de 1m</w:t>
      </w:r>
      <w:r w:rsidRPr="00FC2A41">
        <w:rPr>
          <w:color w:val="auto"/>
          <w:vertAlign w:val="superscript"/>
        </w:rPr>
        <w:t>3</w:t>
      </w:r>
      <w:r w:rsidRPr="00FC2A41">
        <w:rPr>
          <w:color w:val="auto"/>
        </w:rPr>
        <w:t>.</w:t>
      </w:r>
    </w:p>
    <w:p w:rsidR="00A87269" w:rsidRPr="00FC2A41" w:rsidRDefault="00A87269" w:rsidP="00A87269">
      <w:pPr>
        <w:pStyle w:val="Default"/>
        <w:numPr>
          <w:ilvl w:val="0"/>
          <w:numId w:val="20"/>
        </w:numPr>
        <w:spacing w:line="360" w:lineRule="auto"/>
        <w:jc w:val="both"/>
        <w:rPr>
          <w:color w:val="auto"/>
        </w:rPr>
      </w:pPr>
      <w:r w:rsidRPr="00FC2A41">
        <w:rPr>
          <w:color w:val="auto"/>
        </w:rPr>
        <w:t xml:space="preserve">Um dos quartos deve ser utilizado para encher cinco latões de 200 litros cada, que devem ser pesados previamente. </w:t>
      </w:r>
    </w:p>
    <w:p w:rsidR="00A87269" w:rsidRPr="00FC2A41" w:rsidRDefault="00A87269" w:rsidP="00A87269">
      <w:pPr>
        <w:pStyle w:val="Default"/>
        <w:numPr>
          <w:ilvl w:val="0"/>
          <w:numId w:val="20"/>
        </w:numPr>
        <w:spacing w:line="360" w:lineRule="auto"/>
        <w:jc w:val="both"/>
        <w:rPr>
          <w:color w:val="auto"/>
        </w:rPr>
      </w:pPr>
      <w:r w:rsidRPr="00FC2A41">
        <w:rPr>
          <w:color w:val="auto"/>
        </w:rPr>
        <w:t xml:space="preserve">O que sobrar desse quarto de amostra utilizado deve ser picado e colocado em um recipiente de 2 litros, e a seguir fechado hermeticamente. </w:t>
      </w:r>
    </w:p>
    <w:p w:rsidR="00A87269" w:rsidRPr="00FC2A41" w:rsidRDefault="00A87269" w:rsidP="00A87269">
      <w:pPr>
        <w:pStyle w:val="Default"/>
        <w:numPr>
          <w:ilvl w:val="0"/>
          <w:numId w:val="20"/>
        </w:numPr>
        <w:spacing w:line="360" w:lineRule="auto"/>
        <w:jc w:val="both"/>
        <w:rPr>
          <w:color w:val="auto"/>
        </w:rPr>
      </w:pPr>
      <w:r w:rsidRPr="00FC2A41">
        <w:rPr>
          <w:color w:val="auto"/>
        </w:rPr>
        <w:t xml:space="preserve">Os resíduos restantes na lona devem ser encaminhados ao aterro. </w:t>
      </w:r>
    </w:p>
    <w:p w:rsidR="00A87269" w:rsidRPr="00FC2A41" w:rsidRDefault="00A87269" w:rsidP="00A87269">
      <w:pPr>
        <w:pStyle w:val="Default"/>
        <w:spacing w:line="360" w:lineRule="auto"/>
        <w:ind w:firstLine="709"/>
        <w:jc w:val="both"/>
        <w:rPr>
          <w:color w:val="auto"/>
        </w:rPr>
      </w:pPr>
      <w:r w:rsidRPr="00FC2A41">
        <w:rPr>
          <w:color w:val="auto"/>
        </w:rPr>
        <w:t>O peso específico aparente pode ser determinado com os seguintes passos:</w:t>
      </w:r>
    </w:p>
    <w:p w:rsidR="00A87269" w:rsidRPr="00FC2A41" w:rsidRDefault="00A87269" w:rsidP="00A87269">
      <w:pPr>
        <w:pStyle w:val="Default"/>
        <w:numPr>
          <w:ilvl w:val="0"/>
          <w:numId w:val="21"/>
        </w:numPr>
        <w:spacing w:line="360" w:lineRule="auto"/>
        <w:jc w:val="both"/>
        <w:rPr>
          <w:color w:val="auto"/>
        </w:rPr>
      </w:pPr>
      <w:r w:rsidRPr="00FC2A41">
        <w:rPr>
          <w:color w:val="auto"/>
        </w:rPr>
        <w:t>Pesar, em balança aferida, os latões um por um e descontar a massa do latão vazio.</w:t>
      </w:r>
    </w:p>
    <w:p w:rsidR="00A87269" w:rsidRPr="00FC2A41" w:rsidRDefault="00A87269" w:rsidP="00A87269">
      <w:pPr>
        <w:pStyle w:val="Default"/>
        <w:numPr>
          <w:ilvl w:val="0"/>
          <w:numId w:val="21"/>
        </w:numPr>
        <w:spacing w:line="360" w:lineRule="auto"/>
        <w:jc w:val="both"/>
        <w:rPr>
          <w:color w:val="auto"/>
        </w:rPr>
      </w:pPr>
      <w:r w:rsidRPr="00FC2A41">
        <w:rPr>
          <w:color w:val="auto"/>
        </w:rPr>
        <w:t>Somar as massas de todos os latões.</w:t>
      </w:r>
    </w:p>
    <w:p w:rsidR="00A87269" w:rsidRPr="00FC2A41" w:rsidRDefault="00A87269" w:rsidP="00A87269">
      <w:pPr>
        <w:pStyle w:val="Default"/>
        <w:numPr>
          <w:ilvl w:val="0"/>
          <w:numId w:val="21"/>
        </w:numPr>
        <w:spacing w:line="360" w:lineRule="auto"/>
        <w:jc w:val="both"/>
        <w:rPr>
          <w:color w:val="auto"/>
        </w:rPr>
      </w:pPr>
      <w:r w:rsidRPr="00FC2A41">
        <w:rPr>
          <w:color w:val="auto"/>
        </w:rPr>
        <w:t>Determinar o peso aparente através do valor da soma, com a unidade kg/m</w:t>
      </w:r>
      <w:r w:rsidRPr="00FC2A41">
        <w:rPr>
          <w:color w:val="auto"/>
          <w:vertAlign w:val="superscript"/>
        </w:rPr>
        <w:t>3.</w:t>
      </w:r>
    </w:p>
    <w:p w:rsidR="00A87269" w:rsidRPr="00FC2A41" w:rsidRDefault="00A87269" w:rsidP="00A87269">
      <w:pPr>
        <w:pStyle w:val="Default"/>
        <w:spacing w:line="360" w:lineRule="auto"/>
        <w:ind w:firstLine="709"/>
        <w:jc w:val="both"/>
        <w:rPr>
          <w:color w:val="auto"/>
        </w:rPr>
      </w:pPr>
      <w:r w:rsidRPr="00FC2A41">
        <w:rPr>
          <w:color w:val="auto"/>
        </w:rPr>
        <w:t xml:space="preserve">A composição gravimétrica será obtida através das seguintes ações: </w:t>
      </w:r>
    </w:p>
    <w:p w:rsidR="00A87269" w:rsidRPr="00FC2A41" w:rsidRDefault="00A87269" w:rsidP="00A87269">
      <w:pPr>
        <w:pStyle w:val="Default"/>
        <w:numPr>
          <w:ilvl w:val="0"/>
          <w:numId w:val="22"/>
        </w:numPr>
        <w:spacing w:line="360" w:lineRule="auto"/>
        <w:jc w:val="both"/>
        <w:rPr>
          <w:color w:val="auto"/>
        </w:rPr>
      </w:pPr>
      <w:r w:rsidRPr="00FC2A41">
        <w:rPr>
          <w:color w:val="auto"/>
        </w:rPr>
        <w:t>Discriminar quais os componentes se quer identificar.</w:t>
      </w:r>
    </w:p>
    <w:p w:rsidR="00A87269" w:rsidRPr="00FC2A41" w:rsidRDefault="00A87269" w:rsidP="00A87269">
      <w:pPr>
        <w:pStyle w:val="Default"/>
        <w:numPr>
          <w:ilvl w:val="0"/>
          <w:numId w:val="22"/>
        </w:numPr>
        <w:spacing w:line="360" w:lineRule="auto"/>
        <w:jc w:val="both"/>
        <w:rPr>
          <w:color w:val="auto"/>
        </w:rPr>
      </w:pPr>
      <w:r w:rsidRPr="00FC2A41">
        <w:rPr>
          <w:color w:val="auto"/>
        </w:rPr>
        <w:t>Espalhar o conteúdo dos latões em uma lona e separar os resíduos em tipos de interesse.</w:t>
      </w:r>
    </w:p>
    <w:p w:rsidR="00A87269" w:rsidRPr="00FC2A41" w:rsidRDefault="00A87269" w:rsidP="00A87269">
      <w:pPr>
        <w:pStyle w:val="Default"/>
        <w:numPr>
          <w:ilvl w:val="0"/>
          <w:numId w:val="22"/>
        </w:numPr>
        <w:spacing w:line="360" w:lineRule="auto"/>
        <w:jc w:val="both"/>
        <w:rPr>
          <w:color w:val="auto"/>
        </w:rPr>
      </w:pPr>
      <w:r w:rsidRPr="00FC2A41">
        <w:rPr>
          <w:color w:val="auto"/>
        </w:rPr>
        <w:t>Todo o material que não se enquadrar nos tipos listados deverá ser considerado como “</w:t>
      </w:r>
      <w:r w:rsidRPr="00FC2A41">
        <w:rPr>
          <w:i/>
          <w:color w:val="auto"/>
        </w:rPr>
        <w:t>outros”</w:t>
      </w:r>
      <w:r w:rsidRPr="00FC2A41">
        <w:rPr>
          <w:color w:val="auto"/>
        </w:rPr>
        <w:t>.</w:t>
      </w:r>
    </w:p>
    <w:p w:rsidR="00A87269" w:rsidRPr="00FC2A41" w:rsidRDefault="00A87269" w:rsidP="00A87269">
      <w:pPr>
        <w:pStyle w:val="Default"/>
        <w:numPr>
          <w:ilvl w:val="0"/>
          <w:numId w:val="22"/>
        </w:numPr>
        <w:spacing w:line="360" w:lineRule="auto"/>
        <w:jc w:val="both"/>
        <w:rPr>
          <w:color w:val="auto"/>
        </w:rPr>
      </w:pPr>
      <w:r w:rsidRPr="00FC2A41">
        <w:rPr>
          <w:color w:val="auto"/>
        </w:rPr>
        <w:lastRenderedPageBreak/>
        <w:t xml:space="preserve">Pesar os componentes de cada tipo e dividir o peso de cada um pelo peso total da amostra. Assim, será calculada a composição gravimétrica percentual. </w:t>
      </w:r>
    </w:p>
    <w:p w:rsidR="00A87269" w:rsidRPr="00FC2A41" w:rsidRDefault="00A87269" w:rsidP="00A87269">
      <w:pPr>
        <w:pStyle w:val="Default"/>
        <w:spacing w:line="360" w:lineRule="auto"/>
        <w:ind w:firstLine="709"/>
        <w:jc w:val="both"/>
        <w:rPr>
          <w:color w:val="auto"/>
        </w:rPr>
      </w:pPr>
      <w:r w:rsidRPr="00FC2A41">
        <w:rPr>
          <w:color w:val="auto"/>
        </w:rPr>
        <w:t xml:space="preserve">O teor de umidade da amostra pode ser determinado através das seguintes ações: </w:t>
      </w:r>
    </w:p>
    <w:p w:rsidR="00A87269" w:rsidRPr="00FC2A41" w:rsidRDefault="00A87269" w:rsidP="00A87269">
      <w:pPr>
        <w:pStyle w:val="Default"/>
        <w:numPr>
          <w:ilvl w:val="0"/>
          <w:numId w:val="22"/>
        </w:numPr>
        <w:spacing w:line="360" w:lineRule="auto"/>
        <w:jc w:val="both"/>
        <w:rPr>
          <w:color w:val="auto"/>
        </w:rPr>
      </w:pPr>
      <w:r w:rsidRPr="00FC2A41">
        <w:rPr>
          <w:color w:val="auto"/>
        </w:rPr>
        <w:t xml:space="preserve">Pesar uma amostra de 2 litros (separada inicialmente). </w:t>
      </w:r>
    </w:p>
    <w:p w:rsidR="00A87269" w:rsidRPr="00FC2A41" w:rsidRDefault="00A87269" w:rsidP="00A87269">
      <w:pPr>
        <w:pStyle w:val="Default"/>
        <w:numPr>
          <w:ilvl w:val="0"/>
          <w:numId w:val="22"/>
        </w:numPr>
        <w:spacing w:line="360" w:lineRule="auto"/>
        <w:jc w:val="both"/>
        <w:rPr>
          <w:color w:val="auto"/>
        </w:rPr>
      </w:pPr>
      <w:r w:rsidRPr="00FC2A41">
        <w:rPr>
          <w:color w:val="auto"/>
        </w:rPr>
        <w:t>Levar a amostra ao forno (se possível em estufa) a 105 ºC por um dia, ou por dois dias consecutivos a 75 ºC.</w:t>
      </w:r>
    </w:p>
    <w:p w:rsidR="00A87269" w:rsidRPr="00FC2A41" w:rsidRDefault="00A87269" w:rsidP="00A87269">
      <w:pPr>
        <w:pStyle w:val="Default"/>
        <w:numPr>
          <w:ilvl w:val="0"/>
          <w:numId w:val="22"/>
        </w:numPr>
        <w:spacing w:line="360" w:lineRule="auto"/>
        <w:jc w:val="both"/>
        <w:rPr>
          <w:color w:val="auto"/>
        </w:rPr>
      </w:pPr>
      <w:r w:rsidRPr="00FC2A41">
        <w:rPr>
          <w:color w:val="auto"/>
        </w:rPr>
        <w:t xml:space="preserve">Pesar o material seco, repetir a pesagem até que a massa aferida seja constante. </w:t>
      </w:r>
    </w:p>
    <w:p w:rsidR="00A87269" w:rsidRPr="00FC2A41" w:rsidRDefault="00A87269" w:rsidP="00A87269">
      <w:pPr>
        <w:pStyle w:val="Default"/>
        <w:spacing w:line="360" w:lineRule="auto"/>
        <w:ind w:firstLine="709"/>
        <w:jc w:val="both"/>
        <w:rPr>
          <w:color w:val="auto"/>
        </w:rPr>
      </w:pPr>
      <w:r w:rsidRPr="00FC2A41">
        <w:rPr>
          <w:color w:val="auto"/>
        </w:rPr>
        <w:t xml:space="preserve">O teor de umidade percentual será obtido com a diferença entre a massa inicial (úmida) e a massa seca sobre a massa inicial. </w:t>
      </w:r>
    </w:p>
    <w:p w:rsidR="00A87269" w:rsidRPr="00FC2A41" w:rsidRDefault="00A87269" w:rsidP="00A87269">
      <w:pPr>
        <w:pStyle w:val="Default"/>
        <w:spacing w:line="360" w:lineRule="auto"/>
        <w:ind w:firstLine="709"/>
        <w:jc w:val="both"/>
        <w:rPr>
          <w:color w:val="auto"/>
        </w:rPr>
      </w:pPr>
      <w:r w:rsidRPr="00FC2A41">
        <w:rPr>
          <w:color w:val="auto"/>
        </w:rPr>
        <w:t xml:space="preserve">A geração </w:t>
      </w:r>
      <w:r w:rsidRPr="00FC2A41">
        <w:rPr>
          <w:i/>
          <w:color w:val="auto"/>
        </w:rPr>
        <w:t>per capita</w:t>
      </w:r>
      <w:r w:rsidRPr="00FC2A41">
        <w:rPr>
          <w:color w:val="auto"/>
        </w:rPr>
        <w:t xml:space="preserve"> pode ser calculada através das seguintes ações:</w:t>
      </w:r>
    </w:p>
    <w:p w:rsidR="00A87269" w:rsidRPr="00FC2A41" w:rsidRDefault="00A87269" w:rsidP="00A87269">
      <w:pPr>
        <w:pStyle w:val="Default"/>
        <w:numPr>
          <w:ilvl w:val="0"/>
          <w:numId w:val="22"/>
        </w:numPr>
        <w:spacing w:line="360" w:lineRule="auto"/>
        <w:jc w:val="both"/>
        <w:rPr>
          <w:color w:val="auto"/>
        </w:rPr>
      </w:pPr>
      <w:r w:rsidRPr="00FC2A41">
        <w:rPr>
          <w:color w:val="auto"/>
        </w:rPr>
        <w:t>Medir o volume de resíduo que chega ao aterro durante um dia completo de trabalho.</w:t>
      </w:r>
    </w:p>
    <w:p w:rsidR="00A87269" w:rsidRPr="00FC2A41" w:rsidRDefault="00A87269" w:rsidP="00A87269">
      <w:pPr>
        <w:pStyle w:val="Default"/>
        <w:numPr>
          <w:ilvl w:val="0"/>
          <w:numId w:val="22"/>
        </w:numPr>
        <w:spacing w:line="360" w:lineRule="auto"/>
        <w:jc w:val="both"/>
        <w:rPr>
          <w:color w:val="auto"/>
        </w:rPr>
      </w:pPr>
      <w:r w:rsidRPr="00FC2A41">
        <w:rPr>
          <w:color w:val="auto"/>
        </w:rPr>
        <w:t>Com o valor de peso específico, calcular o peso total do volume aferido.</w:t>
      </w:r>
    </w:p>
    <w:p w:rsidR="00A87269" w:rsidRPr="00FC2A41" w:rsidRDefault="00A87269" w:rsidP="00A87269">
      <w:pPr>
        <w:pStyle w:val="Default"/>
        <w:numPr>
          <w:ilvl w:val="0"/>
          <w:numId w:val="22"/>
        </w:numPr>
        <w:spacing w:line="360" w:lineRule="auto"/>
        <w:jc w:val="both"/>
        <w:rPr>
          <w:color w:val="auto"/>
        </w:rPr>
      </w:pPr>
      <w:r w:rsidRPr="00FC2A41">
        <w:rPr>
          <w:color w:val="auto"/>
        </w:rPr>
        <w:t>Avaliar qual foi o percentual da população atendida pela coleta naquele dia, e calcular a população atendida com o cálculo desse percentual em relação ao número de habitantes da área urbana do município.</w:t>
      </w:r>
    </w:p>
    <w:p w:rsidR="00A87269" w:rsidRPr="00FC2A41" w:rsidRDefault="00A87269" w:rsidP="00A87269">
      <w:pPr>
        <w:pStyle w:val="Default"/>
        <w:spacing w:line="360" w:lineRule="auto"/>
        <w:ind w:firstLine="709"/>
        <w:jc w:val="both"/>
        <w:rPr>
          <w:color w:val="auto"/>
        </w:rPr>
      </w:pPr>
      <w:r w:rsidRPr="00FC2A41">
        <w:rPr>
          <w:color w:val="auto"/>
        </w:rPr>
        <w:t xml:space="preserve">A taxa de geração </w:t>
      </w:r>
      <w:r w:rsidRPr="00FC2A41">
        <w:rPr>
          <w:i/>
          <w:color w:val="auto"/>
        </w:rPr>
        <w:t>per capita</w:t>
      </w:r>
      <w:r w:rsidRPr="00FC2A41">
        <w:rPr>
          <w:color w:val="auto"/>
        </w:rPr>
        <w:t xml:space="preserve"> é o quociente do peso total pela população atendida.</w:t>
      </w:r>
    </w:p>
    <w:p w:rsidR="00A87269" w:rsidRPr="00FC2A41" w:rsidRDefault="00A87269" w:rsidP="002828C8">
      <w:pPr>
        <w:pStyle w:val="Ttulo4"/>
      </w:pPr>
      <w:bookmarkStart w:id="603" w:name="_Toc488825331"/>
      <w:bookmarkStart w:id="604" w:name="_Toc493151496"/>
      <w:bookmarkStart w:id="605" w:name="_Toc497469065"/>
      <w:r w:rsidRPr="00FC2A41">
        <w:t>Acondicionamento</w:t>
      </w:r>
      <w:bookmarkEnd w:id="603"/>
      <w:bookmarkEnd w:id="604"/>
      <w:bookmarkEnd w:id="605"/>
      <w:r w:rsidRPr="00FC2A41">
        <w:t xml:space="preserve"> </w:t>
      </w:r>
    </w:p>
    <w:p w:rsidR="00A87269" w:rsidRPr="00FC2A41" w:rsidRDefault="00A87269" w:rsidP="00A87269">
      <w:pPr>
        <w:pStyle w:val="Default"/>
        <w:spacing w:line="360" w:lineRule="auto"/>
        <w:ind w:firstLine="709"/>
        <w:jc w:val="both"/>
        <w:rPr>
          <w:color w:val="auto"/>
        </w:rPr>
      </w:pPr>
      <w:r w:rsidRPr="00FC2A41">
        <w:rPr>
          <w:color w:val="auto"/>
        </w:rPr>
        <w:t xml:space="preserve">Para o acondicionamento adequado dos materiais, </w:t>
      </w:r>
      <w:r w:rsidRPr="00FC2A41">
        <w:rPr>
          <w:i/>
          <w:color w:val="auto"/>
        </w:rPr>
        <w:t>o Manual de Gerenciamento Integrado de Resíduos Sólidos</w:t>
      </w:r>
      <w:r w:rsidRPr="00FC2A41">
        <w:rPr>
          <w:color w:val="auto"/>
        </w:rPr>
        <w:t xml:space="preserve"> ou </w:t>
      </w:r>
      <w:r w:rsidRPr="00FC2A41">
        <w:rPr>
          <w:i/>
          <w:color w:val="auto"/>
        </w:rPr>
        <w:t>Manual GIRS</w:t>
      </w:r>
      <w:r w:rsidRPr="00FC2A41">
        <w:rPr>
          <w:color w:val="auto"/>
        </w:rPr>
        <w:t xml:space="preserve"> afirma que o recipiente para acondicionamento adequado dos resíduos domiciliares deve: </w:t>
      </w:r>
    </w:p>
    <w:p w:rsidR="00A87269" w:rsidRPr="00FC2A41" w:rsidRDefault="00A87269" w:rsidP="00A87269">
      <w:pPr>
        <w:pStyle w:val="Default"/>
        <w:numPr>
          <w:ilvl w:val="0"/>
          <w:numId w:val="22"/>
        </w:numPr>
        <w:spacing w:line="360" w:lineRule="auto"/>
        <w:jc w:val="both"/>
        <w:rPr>
          <w:color w:val="auto"/>
        </w:rPr>
      </w:pPr>
      <w:r w:rsidRPr="00FC2A41">
        <w:rPr>
          <w:color w:val="auto"/>
        </w:rPr>
        <w:t>Ter peso máximo de 30 kg, com a carga para coleta manual.</w:t>
      </w:r>
    </w:p>
    <w:p w:rsidR="00A87269" w:rsidRPr="00FC2A41" w:rsidRDefault="00A87269" w:rsidP="00A87269">
      <w:pPr>
        <w:pStyle w:val="Default"/>
        <w:numPr>
          <w:ilvl w:val="0"/>
          <w:numId w:val="22"/>
        </w:numPr>
        <w:spacing w:line="360" w:lineRule="auto"/>
        <w:jc w:val="both"/>
        <w:rPr>
          <w:color w:val="auto"/>
        </w:rPr>
      </w:pPr>
      <w:r w:rsidRPr="00FC2A41">
        <w:rPr>
          <w:color w:val="auto"/>
        </w:rPr>
        <w:t>Possuir dispositivos que facilitem a locomoção.</w:t>
      </w:r>
    </w:p>
    <w:p w:rsidR="00A87269" w:rsidRPr="00FC2A41" w:rsidRDefault="00A87269" w:rsidP="00A87269">
      <w:pPr>
        <w:pStyle w:val="Default"/>
        <w:numPr>
          <w:ilvl w:val="0"/>
          <w:numId w:val="22"/>
        </w:numPr>
        <w:spacing w:line="360" w:lineRule="auto"/>
        <w:jc w:val="both"/>
        <w:rPr>
          <w:color w:val="auto"/>
        </w:rPr>
      </w:pPr>
      <w:r w:rsidRPr="00FC2A41">
        <w:rPr>
          <w:color w:val="auto"/>
        </w:rPr>
        <w:t>Ser hermético.</w:t>
      </w:r>
    </w:p>
    <w:p w:rsidR="00A87269" w:rsidRPr="00FC2A41" w:rsidRDefault="00A87269" w:rsidP="00A87269">
      <w:pPr>
        <w:pStyle w:val="Default"/>
        <w:numPr>
          <w:ilvl w:val="0"/>
          <w:numId w:val="22"/>
        </w:numPr>
        <w:spacing w:line="360" w:lineRule="auto"/>
        <w:jc w:val="both"/>
        <w:rPr>
          <w:color w:val="auto"/>
        </w:rPr>
      </w:pPr>
      <w:r w:rsidRPr="00FC2A41">
        <w:rPr>
          <w:color w:val="auto"/>
        </w:rPr>
        <w:t>Não permitir o contato com perfurocortantes.</w:t>
      </w:r>
    </w:p>
    <w:p w:rsidR="00A87269" w:rsidRPr="00FC2A41" w:rsidRDefault="00A87269" w:rsidP="00A87269">
      <w:pPr>
        <w:pStyle w:val="Default"/>
        <w:numPr>
          <w:ilvl w:val="0"/>
          <w:numId w:val="22"/>
        </w:numPr>
        <w:spacing w:line="360" w:lineRule="auto"/>
        <w:jc w:val="both"/>
        <w:rPr>
          <w:color w:val="auto"/>
        </w:rPr>
      </w:pPr>
      <w:r w:rsidRPr="00FC2A41">
        <w:rPr>
          <w:color w:val="auto"/>
        </w:rPr>
        <w:t>Ter preço acessível.</w:t>
      </w:r>
    </w:p>
    <w:p w:rsidR="00A87269" w:rsidRPr="00FC2A41" w:rsidRDefault="00A87269" w:rsidP="00A87269">
      <w:pPr>
        <w:pStyle w:val="Default"/>
        <w:numPr>
          <w:ilvl w:val="0"/>
          <w:numId w:val="22"/>
        </w:numPr>
        <w:spacing w:line="360" w:lineRule="auto"/>
        <w:jc w:val="both"/>
        <w:rPr>
          <w:color w:val="auto"/>
        </w:rPr>
      </w:pPr>
      <w:r w:rsidRPr="00FC2A41">
        <w:rPr>
          <w:color w:val="auto"/>
        </w:rPr>
        <w:t>Permitir um transporte sem muitos ruídos.</w:t>
      </w:r>
    </w:p>
    <w:p w:rsidR="00A87269" w:rsidRPr="00FC2A41" w:rsidRDefault="00A87269" w:rsidP="00A87269">
      <w:pPr>
        <w:pStyle w:val="Default"/>
        <w:numPr>
          <w:ilvl w:val="0"/>
          <w:numId w:val="22"/>
        </w:numPr>
        <w:spacing w:line="360" w:lineRule="auto"/>
        <w:jc w:val="both"/>
        <w:rPr>
          <w:color w:val="auto"/>
        </w:rPr>
      </w:pPr>
      <w:r w:rsidRPr="00FC2A41">
        <w:rPr>
          <w:color w:val="auto"/>
        </w:rPr>
        <w:lastRenderedPageBreak/>
        <w:t xml:space="preserve">Não reter resíduos no fundo. </w:t>
      </w:r>
    </w:p>
    <w:p w:rsidR="00A87269" w:rsidRPr="00FC2A41" w:rsidRDefault="00A87269" w:rsidP="00A87269">
      <w:pPr>
        <w:pStyle w:val="Default"/>
        <w:spacing w:line="360" w:lineRule="auto"/>
        <w:ind w:firstLine="709"/>
        <w:jc w:val="both"/>
        <w:rPr>
          <w:color w:val="auto"/>
        </w:rPr>
      </w:pPr>
      <w:r w:rsidRPr="00FC2A41">
        <w:rPr>
          <w:color w:val="auto"/>
        </w:rPr>
        <w:t xml:space="preserve">É recomendado que sejam recipientes sem retorno, que aumentam a produtividade da coleta. Considerando essas características, os sacos plásticos são muito indicados quando a coleta for manual, sendo facilmente fechados, com locomoção silenciosa e sem retorno. Os sacos plásticos a serem utilizados no acondicionamento do lixo domiciliar devem seguir as características estabelecidas pela norma técnica NBR 9191, da ABNT. </w:t>
      </w:r>
    </w:p>
    <w:p w:rsidR="00A87269" w:rsidRPr="00FC2A41" w:rsidRDefault="00A87269" w:rsidP="00A87269">
      <w:pPr>
        <w:pStyle w:val="Default"/>
        <w:spacing w:line="360" w:lineRule="auto"/>
        <w:ind w:firstLine="709"/>
        <w:jc w:val="both"/>
        <w:rPr>
          <w:color w:val="auto"/>
        </w:rPr>
      </w:pPr>
      <w:r w:rsidRPr="00FC2A41">
        <w:rPr>
          <w:color w:val="auto"/>
        </w:rPr>
        <w:t xml:space="preserve">Os </w:t>
      </w:r>
      <w:r w:rsidRPr="00FC2A41">
        <w:rPr>
          <w:i/>
          <w:color w:val="auto"/>
        </w:rPr>
        <w:t>containers</w:t>
      </w:r>
      <w:r w:rsidRPr="00FC2A41">
        <w:rPr>
          <w:color w:val="auto"/>
        </w:rPr>
        <w:t xml:space="preserve"> ou coletores de plástico devem ser equipados com tampa e estar devidamente sinalizados indicando o tipo de material que podem receber. Podem ter rodas ou não. Esses recipientes são fabricados em polietileno de alta densidade (PEAD) e contêm, em sua composição, materiais recicláveis e aditivos que protegem contra a ação de raios ultravioleta. Esses coletores são utilizados para resíduos domiciliares urbanos e públicos, sendo muito indicados para edifícios. Na limpeza pública podem ser transportados pelos trabalhadores, e para acondicionamento de grandes geradores devem ter cores distintas. Existem no Brasil </w:t>
      </w:r>
      <w:r w:rsidRPr="00FC2A41">
        <w:rPr>
          <w:i/>
          <w:color w:val="auto"/>
        </w:rPr>
        <w:t>containers</w:t>
      </w:r>
      <w:r w:rsidRPr="00FC2A41">
        <w:rPr>
          <w:color w:val="auto"/>
        </w:rPr>
        <w:t xml:space="preserve"> com volumes de 120, 240 e 360 litros – com duas rodas, e de 760 e 1.100 litros, com quatro rodas. Ainda podem ser utilizados </w:t>
      </w:r>
      <w:r w:rsidRPr="00FC2A41">
        <w:rPr>
          <w:i/>
          <w:color w:val="auto"/>
        </w:rPr>
        <w:t>containers</w:t>
      </w:r>
      <w:r w:rsidRPr="00FC2A41">
        <w:rPr>
          <w:color w:val="auto"/>
        </w:rPr>
        <w:t xml:space="preserve"> de metal que possuem quatro rodízios e podem ter volume entre 750 e 1500 litros. Esses recipientes são basculados por caminhões compactadores.</w:t>
      </w:r>
    </w:p>
    <w:p w:rsidR="00A87269" w:rsidRPr="00FC2A41" w:rsidRDefault="00A87269" w:rsidP="002828C8">
      <w:pPr>
        <w:pStyle w:val="Ttulo4"/>
      </w:pPr>
      <w:bookmarkStart w:id="606" w:name="_Toc488825332"/>
      <w:bookmarkStart w:id="607" w:name="_Toc493151497"/>
      <w:bookmarkStart w:id="608" w:name="_Toc497469066"/>
      <w:r w:rsidRPr="00FC2A41">
        <w:t>Coleta e transporte</w:t>
      </w:r>
      <w:bookmarkEnd w:id="606"/>
      <w:bookmarkEnd w:id="607"/>
      <w:bookmarkEnd w:id="608"/>
    </w:p>
    <w:p w:rsidR="00A87269" w:rsidRPr="00FC2A41" w:rsidRDefault="00A87269" w:rsidP="00A87269">
      <w:pPr>
        <w:pStyle w:val="Default"/>
        <w:spacing w:line="360" w:lineRule="auto"/>
        <w:ind w:firstLine="709"/>
        <w:jc w:val="both"/>
        <w:rPr>
          <w:color w:val="auto"/>
        </w:rPr>
      </w:pPr>
      <w:r w:rsidRPr="00FC2A41">
        <w:rPr>
          <w:color w:val="auto"/>
        </w:rPr>
        <w:t>Por conta das características climáticas do país, o tempo entre a geração do resíduo domiciliar e sua disposição não deve ser maior que uma semana, o que evita mau cheiro excessivo e proliferação de vetores. A frequência mínima recomendada para a coleta de resíduos domésticos orgânicos num país de clima quente é de três vezes por semana.</w:t>
      </w:r>
    </w:p>
    <w:p w:rsidR="00A87269" w:rsidRPr="00FC2A41" w:rsidRDefault="00A87269" w:rsidP="00A87269">
      <w:pPr>
        <w:pStyle w:val="Default"/>
        <w:spacing w:line="360" w:lineRule="auto"/>
        <w:ind w:firstLine="709"/>
        <w:jc w:val="both"/>
        <w:rPr>
          <w:color w:val="auto"/>
        </w:rPr>
      </w:pPr>
      <w:r w:rsidRPr="00FC2A41">
        <w:rPr>
          <w:color w:val="auto"/>
        </w:rPr>
        <w:t>Para redução significativa dos custos e otimização da frota, a coleta deve ser realizada em dois turnos. O número de itinerários de coleta deve ser dividido pelos quatro possíveis períodos dos turnos, obtendo-se o número de veículos que a frota deverá conter. Por exemplo: para 8 itinerários, estima-se 8/4 = 2 veículos de coleta. E deve ser incluída uma reserva de 10% da frota para frotas de 10 veículos ou mais e pelo menos 1 veículo para frotas menores.</w:t>
      </w:r>
    </w:p>
    <w:p w:rsidR="00A87269" w:rsidRPr="00FC2A41" w:rsidRDefault="00A87269" w:rsidP="00A87269">
      <w:pPr>
        <w:pStyle w:val="Default"/>
        <w:spacing w:line="360" w:lineRule="auto"/>
        <w:ind w:firstLine="709"/>
        <w:jc w:val="both"/>
        <w:rPr>
          <w:color w:val="auto"/>
        </w:rPr>
      </w:pPr>
      <w:r w:rsidRPr="00FC2A41">
        <w:rPr>
          <w:color w:val="auto"/>
        </w:rPr>
        <w:lastRenderedPageBreak/>
        <w:t>Os turnos podem ser de meio dia (12 horas) cada um, com uma carga de trabalho de 8 horas por turno. Isso permite que reparos e manutenções dos veículos sejam realizados nas demais horas do turno.</w:t>
      </w:r>
    </w:p>
    <w:p w:rsidR="00A87269" w:rsidRPr="00FC2A41" w:rsidRDefault="00A87269" w:rsidP="00A87269">
      <w:pPr>
        <w:pStyle w:val="Default"/>
        <w:spacing w:line="360" w:lineRule="auto"/>
        <w:ind w:firstLine="709"/>
        <w:jc w:val="both"/>
        <w:rPr>
          <w:color w:val="auto"/>
        </w:rPr>
      </w:pPr>
      <w:r w:rsidRPr="00FC2A41">
        <w:rPr>
          <w:color w:val="auto"/>
        </w:rPr>
        <w:t>No Brasil, a tendência é adotar grupos de trabalho (guarnições) por veículo de coleta de 3 a 4 trabalhadores, sendo o mais indicado 3 trabalhadores na coleta e 1 motorista.</w:t>
      </w:r>
    </w:p>
    <w:p w:rsidR="00A87269" w:rsidRPr="00FC2A41" w:rsidRDefault="00A87269" w:rsidP="00A87269">
      <w:pPr>
        <w:pStyle w:val="Default"/>
        <w:spacing w:line="360" w:lineRule="auto"/>
        <w:ind w:firstLine="709"/>
        <w:jc w:val="both"/>
        <w:rPr>
          <w:color w:val="auto"/>
        </w:rPr>
      </w:pPr>
      <w:r w:rsidRPr="00FC2A41">
        <w:rPr>
          <w:color w:val="auto"/>
        </w:rPr>
        <w:t xml:space="preserve">Para que a coleta seja equilibrada em quantidade de trabalho, cada guarnição deve ser alocada para roteiros que exijam um mesmo esforço físico. Áreas com muito lixo e pequena extensão se equivalem a áreas com pouco lixo e grande extensão, sendo considerado o seguinte conceito físico: </w:t>
      </w:r>
      <w:r w:rsidRPr="00FC2A41">
        <w:rPr>
          <w:i/>
          <w:color w:val="auto"/>
        </w:rPr>
        <w:t>trabalho=força x deslocamento</w:t>
      </w:r>
      <w:r w:rsidRPr="00FC2A41">
        <w:rPr>
          <w:color w:val="auto"/>
        </w:rPr>
        <w:t>. É importante considerar as características físicas individuais dos componentes das guarnições, para que se busque um equilíbrio.</w:t>
      </w:r>
    </w:p>
    <w:p w:rsidR="00A87269" w:rsidRPr="00FC2A41" w:rsidRDefault="00A87269" w:rsidP="00A87269">
      <w:pPr>
        <w:pStyle w:val="Default"/>
        <w:spacing w:line="360" w:lineRule="auto"/>
        <w:ind w:firstLine="709"/>
        <w:jc w:val="both"/>
        <w:rPr>
          <w:color w:val="auto"/>
        </w:rPr>
      </w:pPr>
      <w:r w:rsidRPr="00FC2A41">
        <w:rPr>
          <w:color w:val="auto"/>
        </w:rPr>
        <w:t>As rotinas de coleta devem ser amplamente divulgadas (através de cartazes, folhetos explicativos, chamadas nas rádios locais, etc.) de forma que a população sempre tenha conhecimento, em todos os bairros da cidade, dos dias e horários em que deve disponibilizar os resíduos para a coleta convencional e coleta seletiva.</w:t>
      </w:r>
    </w:p>
    <w:p w:rsidR="00A87269" w:rsidRPr="00FC2A41" w:rsidRDefault="00A87269" w:rsidP="00A87269">
      <w:pPr>
        <w:pStyle w:val="Default"/>
        <w:spacing w:line="360" w:lineRule="auto"/>
        <w:ind w:firstLine="709"/>
        <w:jc w:val="both"/>
        <w:rPr>
          <w:b/>
          <w:color w:val="auto"/>
        </w:rPr>
      </w:pPr>
      <w:r w:rsidRPr="00FC2A41">
        <w:rPr>
          <w:b/>
          <w:color w:val="auto"/>
        </w:rPr>
        <w:t>Veículos para coleta</w:t>
      </w:r>
    </w:p>
    <w:p w:rsidR="00A87269" w:rsidRPr="00FC2A41" w:rsidRDefault="00A87269" w:rsidP="00A87269">
      <w:pPr>
        <w:pStyle w:val="Default"/>
        <w:spacing w:line="360" w:lineRule="auto"/>
        <w:ind w:firstLine="709"/>
        <w:jc w:val="both"/>
        <w:rPr>
          <w:color w:val="auto"/>
        </w:rPr>
      </w:pPr>
      <w:r w:rsidRPr="00FC2A41">
        <w:rPr>
          <w:color w:val="auto"/>
        </w:rPr>
        <w:t>O veículo para a coleta domiciliar, de acordo com o Manual GIRS, deve:</w:t>
      </w:r>
    </w:p>
    <w:p w:rsidR="00A87269" w:rsidRPr="00FC2A41" w:rsidRDefault="00A87269" w:rsidP="00A87269">
      <w:pPr>
        <w:pStyle w:val="Default"/>
        <w:numPr>
          <w:ilvl w:val="0"/>
          <w:numId w:val="15"/>
        </w:numPr>
        <w:spacing w:line="360" w:lineRule="auto"/>
        <w:jc w:val="both"/>
        <w:rPr>
          <w:color w:val="auto"/>
        </w:rPr>
      </w:pPr>
      <w:r w:rsidRPr="00FC2A41">
        <w:rPr>
          <w:color w:val="auto"/>
        </w:rPr>
        <w:t>Apresentar uma altura máxima de 1,20 m do solo ao patamar de carregamento do veículo.</w:t>
      </w:r>
    </w:p>
    <w:p w:rsidR="00A87269" w:rsidRPr="00FC2A41" w:rsidRDefault="00A87269" w:rsidP="00A87269">
      <w:pPr>
        <w:pStyle w:val="Default"/>
        <w:numPr>
          <w:ilvl w:val="0"/>
          <w:numId w:val="15"/>
        </w:numPr>
        <w:spacing w:line="360" w:lineRule="auto"/>
        <w:jc w:val="both"/>
        <w:rPr>
          <w:color w:val="auto"/>
        </w:rPr>
      </w:pPr>
      <w:r w:rsidRPr="00FC2A41">
        <w:rPr>
          <w:color w:val="auto"/>
        </w:rPr>
        <w:t>Impedir que lixo e/ou chorume sejam derramados nas vias públicas.</w:t>
      </w:r>
    </w:p>
    <w:p w:rsidR="00A87269" w:rsidRPr="00FC2A41" w:rsidRDefault="00A87269" w:rsidP="00A87269">
      <w:pPr>
        <w:pStyle w:val="Default"/>
        <w:numPr>
          <w:ilvl w:val="0"/>
          <w:numId w:val="15"/>
        </w:numPr>
        <w:spacing w:line="360" w:lineRule="auto"/>
        <w:jc w:val="both"/>
        <w:rPr>
          <w:color w:val="auto"/>
        </w:rPr>
      </w:pPr>
      <w:r w:rsidRPr="00FC2A41">
        <w:rPr>
          <w:color w:val="auto"/>
        </w:rPr>
        <w:t>Ter uma taxa de compactação de no mínimo 3:1, sendo que o volume dos resíduos será reduzido a um terço (1/3) após a compactação.</w:t>
      </w:r>
    </w:p>
    <w:p w:rsidR="00A87269" w:rsidRPr="00FC2A41" w:rsidRDefault="00A87269" w:rsidP="00A87269">
      <w:pPr>
        <w:pStyle w:val="Default"/>
        <w:numPr>
          <w:ilvl w:val="0"/>
          <w:numId w:val="15"/>
        </w:numPr>
        <w:spacing w:line="360" w:lineRule="auto"/>
        <w:jc w:val="both"/>
        <w:rPr>
          <w:color w:val="auto"/>
        </w:rPr>
      </w:pPr>
      <w:r w:rsidRPr="00FC2A41">
        <w:rPr>
          <w:color w:val="auto"/>
        </w:rPr>
        <w:t>Permitir que dois recipientes sejam esvaziados simultaneamente, sem atraso na coleta.</w:t>
      </w:r>
    </w:p>
    <w:p w:rsidR="00A87269" w:rsidRPr="00FC2A41" w:rsidRDefault="00A87269" w:rsidP="00A87269">
      <w:pPr>
        <w:pStyle w:val="Default"/>
        <w:numPr>
          <w:ilvl w:val="0"/>
          <w:numId w:val="15"/>
        </w:numPr>
        <w:spacing w:line="360" w:lineRule="auto"/>
        <w:jc w:val="both"/>
        <w:rPr>
          <w:color w:val="auto"/>
        </w:rPr>
      </w:pPr>
      <w:r w:rsidRPr="00FC2A41">
        <w:rPr>
          <w:color w:val="auto"/>
        </w:rPr>
        <w:t>Preferencialmente ter o local de carregamento na traseira do veículo.</w:t>
      </w:r>
    </w:p>
    <w:p w:rsidR="00A87269" w:rsidRPr="00FC2A41" w:rsidRDefault="00A87269" w:rsidP="00A87269">
      <w:pPr>
        <w:pStyle w:val="Default"/>
        <w:numPr>
          <w:ilvl w:val="0"/>
          <w:numId w:val="15"/>
        </w:numPr>
        <w:spacing w:line="360" w:lineRule="auto"/>
        <w:jc w:val="both"/>
        <w:rPr>
          <w:color w:val="auto"/>
        </w:rPr>
      </w:pPr>
      <w:r w:rsidRPr="00FC2A41">
        <w:rPr>
          <w:color w:val="auto"/>
        </w:rPr>
        <w:t>Ter local seguro e adequado para transporte dos trabalhadores.</w:t>
      </w:r>
    </w:p>
    <w:p w:rsidR="00A87269" w:rsidRPr="00FC2A41" w:rsidRDefault="00A87269" w:rsidP="00A87269">
      <w:pPr>
        <w:pStyle w:val="Default"/>
        <w:numPr>
          <w:ilvl w:val="0"/>
          <w:numId w:val="15"/>
        </w:numPr>
        <w:spacing w:line="360" w:lineRule="auto"/>
        <w:jc w:val="both"/>
        <w:rPr>
          <w:color w:val="auto"/>
        </w:rPr>
      </w:pPr>
      <w:r w:rsidRPr="00FC2A41">
        <w:rPr>
          <w:color w:val="auto"/>
        </w:rPr>
        <w:t>Conseguir descarregar em no máximo 3 minutos, no local de destino.</w:t>
      </w:r>
    </w:p>
    <w:p w:rsidR="00A87269" w:rsidRPr="00FC2A41" w:rsidRDefault="00A87269" w:rsidP="00A87269">
      <w:pPr>
        <w:pStyle w:val="Default"/>
        <w:numPr>
          <w:ilvl w:val="0"/>
          <w:numId w:val="15"/>
        </w:numPr>
        <w:spacing w:line="360" w:lineRule="auto"/>
        <w:jc w:val="both"/>
        <w:rPr>
          <w:color w:val="auto"/>
        </w:rPr>
      </w:pPr>
      <w:r w:rsidRPr="00FC2A41">
        <w:rPr>
          <w:color w:val="auto"/>
        </w:rPr>
        <w:t>Poder carregar no mínimo 1,5 m³ no vestíbulo (compartimento de carga).</w:t>
      </w:r>
    </w:p>
    <w:p w:rsidR="00A87269" w:rsidRPr="00FC2A41" w:rsidRDefault="00A87269" w:rsidP="00A87269">
      <w:pPr>
        <w:pStyle w:val="Default"/>
        <w:numPr>
          <w:ilvl w:val="0"/>
          <w:numId w:val="15"/>
        </w:numPr>
        <w:spacing w:line="360" w:lineRule="auto"/>
        <w:jc w:val="both"/>
        <w:rPr>
          <w:color w:val="auto"/>
        </w:rPr>
      </w:pPr>
      <w:r w:rsidRPr="00FC2A41">
        <w:rPr>
          <w:color w:val="auto"/>
        </w:rPr>
        <w:t>Ser manobrável e com tração suficiente para a topografia local.</w:t>
      </w:r>
    </w:p>
    <w:p w:rsidR="00A87269" w:rsidRPr="00FC2A41" w:rsidRDefault="00A87269" w:rsidP="00A87269">
      <w:pPr>
        <w:pStyle w:val="Default"/>
        <w:numPr>
          <w:ilvl w:val="0"/>
          <w:numId w:val="15"/>
        </w:numPr>
        <w:spacing w:line="360" w:lineRule="auto"/>
        <w:jc w:val="both"/>
        <w:rPr>
          <w:color w:val="auto"/>
        </w:rPr>
      </w:pPr>
      <w:r w:rsidRPr="00FC2A41">
        <w:rPr>
          <w:color w:val="auto"/>
        </w:rPr>
        <w:t xml:space="preserve">Permitir a descarga (basculamento) de </w:t>
      </w:r>
      <w:r w:rsidRPr="00FC2A41">
        <w:rPr>
          <w:i/>
          <w:color w:val="auto"/>
        </w:rPr>
        <w:t>containers</w:t>
      </w:r>
      <w:r w:rsidRPr="00FC2A41">
        <w:rPr>
          <w:color w:val="auto"/>
        </w:rPr>
        <w:t xml:space="preserve"> de vários tipos.</w:t>
      </w:r>
    </w:p>
    <w:p w:rsidR="00A87269" w:rsidRPr="00FC2A41" w:rsidRDefault="00A87269" w:rsidP="00A87269">
      <w:pPr>
        <w:pStyle w:val="Default"/>
        <w:numPr>
          <w:ilvl w:val="0"/>
          <w:numId w:val="15"/>
        </w:numPr>
        <w:spacing w:line="360" w:lineRule="auto"/>
        <w:jc w:val="both"/>
        <w:rPr>
          <w:color w:val="auto"/>
        </w:rPr>
      </w:pPr>
      <w:r w:rsidRPr="00FC2A41">
        <w:rPr>
          <w:color w:val="auto"/>
        </w:rPr>
        <w:lastRenderedPageBreak/>
        <w:t>Não sobrecarregar o chassi do caminhão, distribuindo os resíduos uniformemente.</w:t>
      </w:r>
    </w:p>
    <w:p w:rsidR="00A87269" w:rsidRPr="00FC2A41" w:rsidRDefault="00A87269" w:rsidP="00A87269">
      <w:pPr>
        <w:pStyle w:val="Default"/>
        <w:numPr>
          <w:ilvl w:val="0"/>
          <w:numId w:val="15"/>
        </w:numPr>
        <w:spacing w:line="360" w:lineRule="auto"/>
        <w:jc w:val="both"/>
        <w:rPr>
          <w:color w:val="auto"/>
        </w:rPr>
      </w:pPr>
      <w:r w:rsidRPr="00FC2A41">
        <w:rPr>
          <w:color w:val="auto"/>
        </w:rPr>
        <w:t>Ter capacidade suficiente para o menor número de viagens possível.</w:t>
      </w:r>
    </w:p>
    <w:p w:rsidR="00A87269" w:rsidRPr="00FC2A41" w:rsidRDefault="00A87269" w:rsidP="00A87269">
      <w:pPr>
        <w:pStyle w:val="Default"/>
        <w:spacing w:line="360" w:lineRule="auto"/>
        <w:ind w:firstLine="709"/>
        <w:jc w:val="both"/>
        <w:rPr>
          <w:color w:val="auto"/>
        </w:rPr>
      </w:pPr>
      <w:r w:rsidRPr="00FC2A41">
        <w:rPr>
          <w:color w:val="auto"/>
        </w:rPr>
        <w:t>Para a escolha do tipo de veículo para a coleta é necessário que se analise o custo benefício das opções, através do maior número de características listadas anteriormente e da adequação à realidade do município.</w:t>
      </w:r>
    </w:p>
    <w:p w:rsidR="00A87269" w:rsidRPr="00FC2A41" w:rsidRDefault="00A87269" w:rsidP="00A87269">
      <w:pPr>
        <w:pStyle w:val="Default"/>
        <w:spacing w:line="360" w:lineRule="auto"/>
        <w:ind w:firstLine="709"/>
        <w:jc w:val="both"/>
        <w:rPr>
          <w:color w:val="auto"/>
        </w:rPr>
      </w:pPr>
      <w:r w:rsidRPr="00FC2A41">
        <w:rPr>
          <w:color w:val="auto"/>
        </w:rPr>
        <w:t>Algumas opções de viaturas são expostas a seguir:</w:t>
      </w:r>
    </w:p>
    <w:p w:rsidR="00A87269" w:rsidRPr="00FC2A41" w:rsidRDefault="00A87269" w:rsidP="00A87269">
      <w:pPr>
        <w:pStyle w:val="Default"/>
        <w:numPr>
          <w:ilvl w:val="0"/>
          <w:numId w:val="16"/>
        </w:numPr>
        <w:spacing w:line="360" w:lineRule="auto"/>
        <w:jc w:val="both"/>
        <w:rPr>
          <w:color w:val="auto"/>
        </w:rPr>
      </w:pPr>
      <w:r w:rsidRPr="00FC2A41">
        <w:rPr>
          <w:color w:val="auto"/>
        </w:rPr>
        <w:t>Baú ou “Prefeitura”: é um coletor sem compactação, com capacidade de caçamba entre 4 e 12 m³. O chassi pode transportar de 7 a 12 toneladas de peso bruto total (PBT), que é calculado pela soma dos pesos do chassi, da caçamba e da carga. A caçamba é basculada hidraulicamente para vazar a carga de resíduos. Apesar de demandar menor investimento, exige maior esforço dos trabalhadores para que os recipientes sejam erguidos a mais de 2 metros de altura da caçamba.</w:t>
      </w:r>
    </w:p>
    <w:p w:rsidR="00A87269" w:rsidRPr="00FC2A41" w:rsidRDefault="00A87269" w:rsidP="00A87269">
      <w:pPr>
        <w:pStyle w:val="Default"/>
        <w:numPr>
          <w:ilvl w:val="0"/>
          <w:numId w:val="16"/>
        </w:numPr>
        <w:spacing w:line="360" w:lineRule="auto"/>
        <w:jc w:val="both"/>
        <w:rPr>
          <w:color w:val="auto"/>
        </w:rPr>
      </w:pPr>
      <w:r w:rsidRPr="00FC2A41">
        <w:rPr>
          <w:color w:val="auto"/>
        </w:rPr>
        <w:t xml:space="preserve">Coletores compactadores: é um modelo de compactador que pode suportar um volume de 6,10, 12, 15 ou 19 m³. O basculamento pode ser por dispositivo hidráulico e ser independente dos </w:t>
      </w:r>
      <w:r w:rsidRPr="00FC2A41">
        <w:rPr>
          <w:i/>
          <w:color w:val="auto"/>
        </w:rPr>
        <w:t>containers</w:t>
      </w:r>
      <w:r w:rsidRPr="00FC2A41">
        <w:rPr>
          <w:color w:val="auto"/>
        </w:rPr>
        <w:t xml:space="preserve"> plásticos padronizados, sendo que o chassi pode admitir uma carga de 9, 12, 14, 16 e 23 toneladas. São indicados para a coleta domiciliar e podem transitar por terrenos irregulares.</w:t>
      </w:r>
    </w:p>
    <w:p w:rsidR="00A87269" w:rsidRPr="00FC2A41" w:rsidRDefault="00A87269" w:rsidP="00A87269">
      <w:pPr>
        <w:pStyle w:val="Default"/>
        <w:numPr>
          <w:ilvl w:val="0"/>
          <w:numId w:val="16"/>
        </w:numPr>
        <w:spacing w:line="360" w:lineRule="auto"/>
        <w:jc w:val="both"/>
        <w:rPr>
          <w:color w:val="auto"/>
        </w:rPr>
      </w:pPr>
      <w:r w:rsidRPr="00FC2A41">
        <w:rPr>
          <w:color w:val="auto"/>
        </w:rPr>
        <w:t>Poliguindastes duplos para caixas estacionárias de 5 m³: possui grande capacidade de transporte, levando duas caixas estacionárias cheias ou, se necessário, várias caixas compactadoras de 10 a 30 m³ de lixo solto.</w:t>
      </w:r>
    </w:p>
    <w:p w:rsidR="00A87269" w:rsidRPr="00FC2A41" w:rsidRDefault="00A87269" w:rsidP="00A87269">
      <w:pPr>
        <w:pStyle w:val="Default"/>
        <w:spacing w:line="360" w:lineRule="auto"/>
        <w:ind w:firstLine="709"/>
        <w:jc w:val="both"/>
        <w:rPr>
          <w:b/>
          <w:color w:val="auto"/>
        </w:rPr>
      </w:pPr>
      <w:r w:rsidRPr="00FC2A41">
        <w:rPr>
          <w:b/>
          <w:color w:val="auto"/>
        </w:rPr>
        <w:t>Roteiros</w:t>
      </w:r>
    </w:p>
    <w:p w:rsidR="00A87269" w:rsidRPr="00FC2A41" w:rsidRDefault="00A87269" w:rsidP="00A87269">
      <w:pPr>
        <w:pStyle w:val="Default"/>
        <w:spacing w:line="360" w:lineRule="auto"/>
        <w:ind w:firstLine="709"/>
        <w:jc w:val="both"/>
        <w:rPr>
          <w:color w:val="auto"/>
        </w:rPr>
      </w:pPr>
      <w:r w:rsidRPr="00FC2A41">
        <w:rPr>
          <w:color w:val="auto"/>
        </w:rPr>
        <w:t>O planejamento de roteiros deve ser progressivo. A coleta deve ter início na área mais distante do local de disposição e deve ir se aproximando dela ao longo do dia, o que diminui as distâncias percorridas e o tempo dispendido.</w:t>
      </w:r>
    </w:p>
    <w:p w:rsidR="00A87269" w:rsidRPr="00FC2A41" w:rsidRDefault="00A87269" w:rsidP="00A87269">
      <w:pPr>
        <w:pStyle w:val="Default"/>
        <w:spacing w:line="360" w:lineRule="auto"/>
        <w:ind w:firstLine="709"/>
        <w:jc w:val="both"/>
        <w:rPr>
          <w:color w:val="auto"/>
        </w:rPr>
      </w:pPr>
      <w:r w:rsidRPr="00FC2A41">
        <w:rPr>
          <w:color w:val="auto"/>
        </w:rPr>
        <w:t xml:space="preserve">Os responsáveis pelos serviços públicos de limpeza urbana e manejo de resíduos sólidos devem prever roteiros que propiciem curtos períodos de descanso aos trabalhadores, considerando pelo menos 10 minutos a cada 150 minutos de trabalho, em locais apropriados para que os servidores possam tomar água, sentar um pouco e fazer uso de sanitários. Mensagens educativas devem ser colocadas nos pontos que </w:t>
      </w:r>
      <w:r w:rsidRPr="00FC2A41">
        <w:rPr>
          <w:color w:val="auto"/>
        </w:rPr>
        <w:lastRenderedPageBreak/>
        <w:t>servem de apoio à guarnição orientando-a para o uso cuidadoso dos equipamentos disponibilizados para o conforto de cada um e de todos os colaboradores que estão em serviço.</w:t>
      </w:r>
    </w:p>
    <w:p w:rsidR="00A87269" w:rsidRPr="00FC2A41" w:rsidRDefault="00A87269" w:rsidP="00A87269">
      <w:pPr>
        <w:pStyle w:val="Default"/>
        <w:spacing w:line="360" w:lineRule="auto"/>
        <w:ind w:firstLine="709"/>
        <w:jc w:val="both"/>
        <w:rPr>
          <w:color w:val="auto"/>
        </w:rPr>
      </w:pPr>
      <w:r w:rsidRPr="00FC2A41">
        <w:rPr>
          <w:color w:val="auto"/>
        </w:rPr>
        <w:t>Alguns critérios para a implementação de mensagens educativas são:</w:t>
      </w:r>
    </w:p>
    <w:p w:rsidR="00A87269" w:rsidRPr="00FC2A41" w:rsidRDefault="00A87269" w:rsidP="00A87269">
      <w:pPr>
        <w:pStyle w:val="Default"/>
        <w:spacing w:line="360" w:lineRule="auto"/>
        <w:ind w:firstLine="709"/>
        <w:jc w:val="both"/>
        <w:rPr>
          <w:color w:val="auto"/>
        </w:rPr>
      </w:pPr>
      <w:r w:rsidRPr="00FC2A41">
        <w:rPr>
          <w:color w:val="auto"/>
        </w:rPr>
        <w:t>- Colocação em locais de fácil visualização.</w:t>
      </w:r>
    </w:p>
    <w:p w:rsidR="00A87269" w:rsidRPr="00FC2A41" w:rsidRDefault="00A87269" w:rsidP="00A87269">
      <w:pPr>
        <w:pStyle w:val="Default"/>
        <w:spacing w:line="360" w:lineRule="auto"/>
        <w:ind w:firstLine="709"/>
        <w:jc w:val="both"/>
        <w:rPr>
          <w:color w:val="auto"/>
        </w:rPr>
      </w:pPr>
      <w:r w:rsidRPr="00FC2A41">
        <w:rPr>
          <w:color w:val="auto"/>
        </w:rPr>
        <w:t>- Uso de linguagem acessível.</w:t>
      </w:r>
    </w:p>
    <w:p w:rsidR="00A87269" w:rsidRPr="00FC2A41" w:rsidRDefault="00A87269" w:rsidP="00A87269">
      <w:pPr>
        <w:pStyle w:val="Default"/>
        <w:spacing w:line="360" w:lineRule="auto"/>
        <w:ind w:firstLine="709"/>
        <w:jc w:val="both"/>
        <w:rPr>
          <w:color w:val="auto"/>
        </w:rPr>
      </w:pPr>
      <w:r w:rsidRPr="00FC2A41">
        <w:rPr>
          <w:color w:val="auto"/>
        </w:rPr>
        <w:t>- Uso de ilustrações.</w:t>
      </w:r>
    </w:p>
    <w:p w:rsidR="00A87269" w:rsidRPr="00FC2A41" w:rsidRDefault="00A87269" w:rsidP="00A87269">
      <w:pPr>
        <w:pStyle w:val="Default"/>
        <w:spacing w:line="360" w:lineRule="auto"/>
        <w:ind w:firstLine="709"/>
        <w:jc w:val="both"/>
        <w:rPr>
          <w:color w:val="auto"/>
        </w:rPr>
      </w:pPr>
      <w:r w:rsidRPr="00FC2A41">
        <w:rPr>
          <w:color w:val="auto"/>
        </w:rPr>
        <w:t xml:space="preserve">Para dimensionar os roteiros da coleta regular é preciso ter conhecimento das quantidades de resíduos produzidas por tipo de gerador (domicílios, estabelecimentos públicos, pequenos comércios, etc.). A obtenção desses números dá-se pelo levantamento dos geradores em bairros de classe econômica alta, média e baixa. </w:t>
      </w:r>
    </w:p>
    <w:p w:rsidR="00A87269" w:rsidRPr="00FC2A41" w:rsidRDefault="00A87269" w:rsidP="00A87269">
      <w:pPr>
        <w:pStyle w:val="Default"/>
        <w:spacing w:line="360" w:lineRule="auto"/>
        <w:ind w:firstLine="709"/>
        <w:jc w:val="both"/>
        <w:rPr>
          <w:color w:val="auto"/>
        </w:rPr>
      </w:pPr>
      <w:r w:rsidRPr="00FC2A41">
        <w:rPr>
          <w:color w:val="auto"/>
        </w:rPr>
        <w:t>A partir dos dados de projeção populacional, calcula-se a quantidade média de resíduos gerada por habitante, por dia.</w:t>
      </w:r>
    </w:p>
    <w:p w:rsidR="00A87269" w:rsidRPr="00FC2A41" w:rsidRDefault="00A87269" w:rsidP="00A87269">
      <w:pPr>
        <w:pStyle w:val="Default"/>
        <w:spacing w:line="360" w:lineRule="auto"/>
        <w:ind w:firstLine="709"/>
        <w:jc w:val="both"/>
        <w:rPr>
          <w:color w:val="auto"/>
        </w:rPr>
      </w:pPr>
      <w:r w:rsidRPr="00FC2A41">
        <w:rPr>
          <w:color w:val="auto"/>
        </w:rPr>
        <w:t xml:space="preserve">O índice médio de geração </w:t>
      </w:r>
      <w:r w:rsidRPr="00FC2A41">
        <w:rPr>
          <w:i/>
          <w:color w:val="auto"/>
        </w:rPr>
        <w:t>per capita</w:t>
      </w:r>
      <w:r w:rsidRPr="00FC2A41">
        <w:rPr>
          <w:color w:val="auto"/>
        </w:rPr>
        <w:t xml:space="preserve"> diária pode variar entre 0,35 kg e 1,00 kg. Se o índice para o município for de 0,80 kg e a população de 20 mil habitantes, a quantidade de lixo a ser recolhida em um dia de coleta será: 20.000 hab. x 0,80 kg/hab./dia = 16.000 kg/dia. Esse dado também deve ser considerado na definição do número de veículos da coleta regular. A determinação pode ser feita juntamente com a caracterização física dos resíduos.</w:t>
      </w:r>
    </w:p>
    <w:p w:rsidR="00A87269" w:rsidRPr="00FC2A41" w:rsidRDefault="00A87269" w:rsidP="00A87269">
      <w:pPr>
        <w:pStyle w:val="Default"/>
        <w:spacing w:line="360" w:lineRule="auto"/>
        <w:ind w:firstLine="709"/>
        <w:jc w:val="both"/>
        <w:rPr>
          <w:color w:val="auto"/>
        </w:rPr>
      </w:pPr>
      <w:r w:rsidRPr="00FC2A41">
        <w:rPr>
          <w:color w:val="auto"/>
        </w:rPr>
        <w:t xml:space="preserve">No traçado das rotas dos veículos coletores devem ser evitados trechos em que não haja coleta. A coleta deve ser realizada de cima para baixo em áreas íngremes, economizando energia e esforço dos trabalhadores. É recomendado que sejam testados diferentes roteiros e que os tempos sejam comparados, para buscar maior eficácia na coleta. De forma geral, o traçado do roteiro deve atender a condições como: obedecer ao sentido do tráfego, evitar manobras à esquerda em vias de sentido duplo, evitar passar duas vezes por um mesmo trecho, evitar áreas improdutivas. Um método muito utilizado para definição de itinerários é conhecido como “heurístico”, que inclui as condições de tráfego e de topografia, conforme mostrado no esquema da </w:t>
      </w:r>
      <w:r w:rsidRPr="00FC2A41">
        <w:rPr>
          <w:color w:val="auto"/>
        </w:rPr>
        <w:fldChar w:fldCharType="begin"/>
      </w:r>
      <w:r w:rsidRPr="00FC2A41">
        <w:rPr>
          <w:color w:val="auto"/>
        </w:rPr>
        <w:instrText xml:space="preserve"> REF _Ref484614188 \h  \* MERGEFORMAT </w:instrText>
      </w:r>
      <w:r w:rsidRPr="00FC2A41">
        <w:rPr>
          <w:color w:val="auto"/>
        </w:rPr>
      </w:r>
      <w:r w:rsidRPr="00FC2A41">
        <w:rPr>
          <w:color w:val="auto"/>
        </w:rPr>
        <w:fldChar w:fldCharType="separate"/>
      </w:r>
      <w:r w:rsidR="004D1D76" w:rsidRPr="004D1D76">
        <w:rPr>
          <w:color w:val="auto"/>
        </w:rPr>
        <w:t xml:space="preserve">Figura </w:t>
      </w:r>
      <w:r w:rsidR="004D1D76" w:rsidRPr="004D1D76">
        <w:rPr>
          <w:noProof/>
          <w:color w:val="auto"/>
        </w:rPr>
        <w:t>20</w:t>
      </w:r>
      <w:r w:rsidRPr="00FC2A41">
        <w:rPr>
          <w:color w:val="auto"/>
        </w:rPr>
        <w:fldChar w:fldCharType="end"/>
      </w:r>
      <w:r w:rsidRPr="00FC2A41">
        <w:rPr>
          <w:color w:val="auto"/>
        </w:rPr>
        <w:t>.</w:t>
      </w:r>
    </w:p>
    <w:p w:rsidR="00A87269" w:rsidRPr="00FC2A41" w:rsidRDefault="00A87269" w:rsidP="00A87269">
      <w:pPr>
        <w:pStyle w:val="Default"/>
        <w:spacing w:line="360" w:lineRule="auto"/>
        <w:ind w:firstLine="709"/>
        <w:jc w:val="both"/>
        <w:rPr>
          <w:color w:val="auto"/>
        </w:rPr>
      </w:pPr>
    </w:p>
    <w:p w:rsidR="00A87269" w:rsidRPr="00FC2A41" w:rsidRDefault="00A87269" w:rsidP="00A87269">
      <w:pPr>
        <w:pStyle w:val="Legenda"/>
      </w:pPr>
      <w:bookmarkStart w:id="609" w:name="_Ref484614188"/>
      <w:bookmarkStart w:id="610" w:name="_Toc488824959"/>
      <w:bookmarkStart w:id="611" w:name="_Toc493151547"/>
      <w:bookmarkStart w:id="612" w:name="_Toc497469116"/>
      <w:r w:rsidRPr="00FC2A41">
        <w:lastRenderedPageBreak/>
        <w:t xml:space="preserve">Figura </w:t>
      </w:r>
      <w:r w:rsidR="00D71C43">
        <w:fldChar w:fldCharType="begin"/>
      </w:r>
      <w:r w:rsidR="00D71C43">
        <w:instrText xml:space="preserve"> SEQ Figura \* ARABIC </w:instrText>
      </w:r>
      <w:r w:rsidR="00D71C43">
        <w:fldChar w:fldCharType="separate"/>
      </w:r>
      <w:r w:rsidR="004D1D76">
        <w:rPr>
          <w:noProof/>
        </w:rPr>
        <w:t>20</w:t>
      </w:r>
      <w:r w:rsidR="00D71C43">
        <w:rPr>
          <w:noProof/>
        </w:rPr>
        <w:fldChar w:fldCharType="end"/>
      </w:r>
      <w:bookmarkEnd w:id="609"/>
      <w:r w:rsidRPr="00FC2A41">
        <w:rPr>
          <w:lang w:val="pt-BR"/>
        </w:rPr>
        <w:t xml:space="preserve"> -</w:t>
      </w:r>
      <w:r w:rsidRPr="00FC2A41">
        <w:t xml:space="preserve"> Método heurístico de traçado de itinerários de coleta</w:t>
      </w:r>
      <w:bookmarkEnd w:id="610"/>
      <w:bookmarkEnd w:id="611"/>
      <w:bookmarkEnd w:id="612"/>
    </w:p>
    <w:p w:rsidR="00A87269" w:rsidRPr="00FC2A41" w:rsidRDefault="00A87269" w:rsidP="00A87269">
      <w:pPr>
        <w:pStyle w:val="figura"/>
      </w:pPr>
      <w:r w:rsidRPr="00FC2A41">
        <w:rPr>
          <w:noProof/>
        </w:rPr>
        <w:drawing>
          <wp:inline distT="0" distB="0" distL="0" distR="0" wp14:anchorId="7F8A90EB" wp14:editId="01E67E23">
            <wp:extent cx="3240000" cy="2531250"/>
            <wp:effectExtent l="0" t="0" r="0" b="254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240000" cy="2531250"/>
                    </a:xfrm>
                    <a:prstGeom prst="rect">
                      <a:avLst/>
                    </a:prstGeom>
                  </pic:spPr>
                </pic:pic>
              </a:graphicData>
            </a:graphic>
          </wp:inline>
        </w:drawing>
      </w:r>
    </w:p>
    <w:p w:rsidR="00A87269" w:rsidRPr="00FC2A41" w:rsidRDefault="00A87269" w:rsidP="00A87269">
      <w:pPr>
        <w:pStyle w:val="Fonte"/>
      </w:pPr>
      <w:r w:rsidRPr="00FC2A41">
        <w:t>Fonte: Manual GIRS, 2001.</w:t>
      </w:r>
    </w:p>
    <w:p w:rsidR="00A87269" w:rsidRPr="00FC2A41" w:rsidRDefault="00A87269" w:rsidP="002828C8">
      <w:pPr>
        <w:pStyle w:val="Ttulo4"/>
      </w:pPr>
      <w:bookmarkStart w:id="613" w:name="_Toc488825333"/>
      <w:bookmarkStart w:id="614" w:name="_Toc493151498"/>
      <w:bookmarkStart w:id="615" w:name="_Toc497469067"/>
      <w:r w:rsidRPr="00FC2A41">
        <w:t>Transbordo</w:t>
      </w:r>
      <w:bookmarkEnd w:id="613"/>
      <w:r w:rsidRPr="00FC2A41">
        <w:t xml:space="preserve"> de rejeitos</w:t>
      </w:r>
      <w:bookmarkEnd w:id="614"/>
      <w:bookmarkEnd w:id="615"/>
    </w:p>
    <w:p w:rsidR="00A87269" w:rsidRPr="00FC2A41" w:rsidRDefault="00A87269" w:rsidP="00A87269">
      <w:pPr>
        <w:pStyle w:val="Default"/>
        <w:spacing w:line="360" w:lineRule="auto"/>
        <w:ind w:firstLine="709"/>
        <w:jc w:val="both"/>
        <w:rPr>
          <w:color w:val="auto"/>
        </w:rPr>
      </w:pPr>
      <w:r w:rsidRPr="00FC2A41">
        <w:rPr>
          <w:color w:val="auto"/>
        </w:rPr>
        <w:t xml:space="preserve">Por conta da instalação de aterros sanitários em áreas distantes dos centros de coleta, alguns municípios optam pela implantação de estações intermediárias, chamadas de estações de transferência e transbordo. Elas são construídas quando a distância entre o centro de coleta e o aterro (destino final) é maior que 25 km, ou então, em casos de tráfego rodoviário muito intenso, visando otimizar o processo de coleta. </w:t>
      </w:r>
    </w:p>
    <w:p w:rsidR="00A87269" w:rsidRPr="00FC2A41" w:rsidRDefault="00A87269" w:rsidP="00A87269">
      <w:pPr>
        <w:pStyle w:val="Default"/>
        <w:spacing w:line="360" w:lineRule="auto"/>
        <w:ind w:firstLine="709"/>
        <w:jc w:val="both"/>
        <w:rPr>
          <w:color w:val="auto"/>
        </w:rPr>
      </w:pPr>
      <w:r w:rsidRPr="00FC2A41">
        <w:rPr>
          <w:color w:val="auto"/>
        </w:rPr>
        <w:t>Para implantar uma estação de transferência devem ser identificados, por meio de estudo de viabilidade econômico-ambiental, os benefícios para o setor público de resíduos.</w:t>
      </w:r>
    </w:p>
    <w:p w:rsidR="00A87269" w:rsidRPr="00FC2A41" w:rsidRDefault="00A87269" w:rsidP="00A87269">
      <w:pPr>
        <w:pStyle w:val="Default"/>
        <w:spacing w:line="360" w:lineRule="auto"/>
        <w:ind w:firstLine="709"/>
        <w:jc w:val="both"/>
        <w:rPr>
          <w:color w:val="auto"/>
        </w:rPr>
      </w:pPr>
      <w:r w:rsidRPr="00FC2A41">
        <w:rPr>
          <w:color w:val="auto"/>
        </w:rPr>
        <w:t>Essas centrais podem ser: com transbordo direto, com armazenamento, com compactação e sem compactação.</w:t>
      </w:r>
    </w:p>
    <w:p w:rsidR="00A87269" w:rsidRPr="00FC2A41" w:rsidRDefault="00A87269" w:rsidP="002828C8">
      <w:pPr>
        <w:pStyle w:val="Ttulo4"/>
      </w:pPr>
      <w:bookmarkStart w:id="616" w:name="_Toc488825334"/>
      <w:bookmarkStart w:id="617" w:name="_Toc493151499"/>
      <w:bookmarkStart w:id="618" w:name="_Toc497469068"/>
      <w:r w:rsidRPr="00FC2A41">
        <w:t>Pontos de Entrega Voluntária (PEVs)</w:t>
      </w:r>
      <w:bookmarkEnd w:id="616"/>
      <w:bookmarkEnd w:id="617"/>
      <w:bookmarkEnd w:id="618"/>
    </w:p>
    <w:p w:rsidR="00A87269" w:rsidRPr="00FC2A41" w:rsidRDefault="00A87269" w:rsidP="00A87269">
      <w:pPr>
        <w:pStyle w:val="Default"/>
        <w:spacing w:line="360" w:lineRule="auto"/>
        <w:ind w:firstLine="709"/>
        <w:jc w:val="both"/>
        <w:rPr>
          <w:color w:val="auto"/>
        </w:rPr>
      </w:pPr>
      <w:r w:rsidRPr="00FC2A41">
        <w:rPr>
          <w:color w:val="auto"/>
        </w:rPr>
        <w:t xml:space="preserve">A fim de inibir a disposição de resíduos em locais impróprios e incentivar a participação da população na coleta seletiva a Prefeitura Municipal pode investir na instalação de Pontos de Entrega Voluntária (PEVs) de resíduos recicláveis. </w:t>
      </w:r>
    </w:p>
    <w:p w:rsidR="00A87269" w:rsidRPr="00FC2A41" w:rsidRDefault="00A87269" w:rsidP="00A87269">
      <w:pPr>
        <w:pStyle w:val="Default"/>
        <w:spacing w:line="360" w:lineRule="auto"/>
        <w:ind w:firstLine="709"/>
        <w:jc w:val="both"/>
        <w:rPr>
          <w:color w:val="auto"/>
        </w:rPr>
      </w:pPr>
      <w:r w:rsidRPr="00FC2A41">
        <w:rPr>
          <w:color w:val="auto"/>
        </w:rPr>
        <w:t xml:space="preserve">O PEV é um ponto de entrega voluntária com uma área de transbordo e triagem de pequeno porte, destinada à entrega voluntária de pequenas quantidades de resíduos de construção civil e resíduos volumosos, integrante do sistema público de limpeza urbana e que pode ser implantado nas comunidades distantes da zona urbana. </w:t>
      </w:r>
      <w:r w:rsidRPr="00FC2A41">
        <w:rPr>
          <w:color w:val="auto"/>
        </w:rPr>
        <w:lastRenderedPageBreak/>
        <w:t>Duas sugestões do Manual GIRS (IBAM, 2001) para a viabilização da instalação dos pontos são: parcerias com empresas, através de disponibilização publicitária nesses locais, e parcerias com indústrias recicladoras que custeariam toda a implantação dos PEVs.</w:t>
      </w:r>
    </w:p>
    <w:p w:rsidR="00A87269" w:rsidRPr="00FC2A41" w:rsidRDefault="00A87269" w:rsidP="00A87269">
      <w:pPr>
        <w:pStyle w:val="Default"/>
        <w:spacing w:line="360" w:lineRule="auto"/>
        <w:ind w:firstLine="709"/>
        <w:jc w:val="both"/>
        <w:rPr>
          <w:color w:val="auto"/>
        </w:rPr>
      </w:pPr>
      <w:r w:rsidRPr="00FC2A41">
        <w:rPr>
          <w:color w:val="auto"/>
        </w:rPr>
        <w:t xml:space="preserve">Os recipientes podem ser plásticos ou metálicos, como latões de 200 litros, ou </w:t>
      </w:r>
      <w:r w:rsidRPr="00FC2A41">
        <w:rPr>
          <w:i/>
          <w:color w:val="auto"/>
        </w:rPr>
        <w:t xml:space="preserve">containers. </w:t>
      </w:r>
      <w:r w:rsidRPr="00FC2A41">
        <w:rPr>
          <w:color w:val="auto"/>
        </w:rPr>
        <w:t xml:space="preserve">Também podem ser de alvenaria, formando pequenas caixas ou baias, onde os materiais são depositados. Esses recipientes são identificados por cores, seguindo as normas de padronização e devem ser protegidos das chuvas e demais intempéries por uma pequena cobertura. </w:t>
      </w:r>
    </w:p>
    <w:p w:rsidR="00A87269" w:rsidRPr="00FC2A41" w:rsidRDefault="00A87269" w:rsidP="00A87269">
      <w:pPr>
        <w:pStyle w:val="Default"/>
        <w:spacing w:line="360" w:lineRule="auto"/>
        <w:ind w:firstLine="709"/>
        <w:jc w:val="both"/>
        <w:rPr>
          <w:color w:val="auto"/>
        </w:rPr>
      </w:pPr>
      <w:r w:rsidRPr="00FC2A41">
        <w:rPr>
          <w:color w:val="auto"/>
        </w:rPr>
        <w:t xml:space="preserve">A Resolução CONAMA nº 275, de 25 de abril de 2001, estabelece o código de cores para os diferentes tipos de resíduos, a ser adotado na identificação de coletores e transportadores, bem como nas campanhas informativas para a coleta seletiva. Esse padrão é apresentado na </w:t>
      </w:r>
      <w:r w:rsidRPr="00FC2A41">
        <w:rPr>
          <w:color w:val="auto"/>
        </w:rPr>
        <w:fldChar w:fldCharType="begin"/>
      </w:r>
      <w:r w:rsidRPr="00FC2A41">
        <w:rPr>
          <w:color w:val="auto"/>
        </w:rPr>
        <w:instrText xml:space="preserve"> REF _Ref483842739 \h </w:instrText>
      </w:r>
      <w:r w:rsidRPr="00FC2A41">
        <w:rPr>
          <w:color w:val="auto"/>
        </w:rPr>
      </w:r>
      <w:r w:rsidRPr="00FC2A41">
        <w:rPr>
          <w:color w:val="auto"/>
        </w:rPr>
        <w:fldChar w:fldCharType="separate"/>
      </w:r>
      <w:r w:rsidR="004D1D76" w:rsidRPr="00FC2A41">
        <w:t xml:space="preserve">Figura </w:t>
      </w:r>
      <w:r w:rsidR="004D1D76">
        <w:rPr>
          <w:noProof/>
        </w:rPr>
        <w:t>21</w:t>
      </w:r>
      <w:r w:rsidRPr="00FC2A41">
        <w:rPr>
          <w:color w:val="auto"/>
        </w:rPr>
        <w:fldChar w:fldCharType="end"/>
      </w:r>
      <w:r w:rsidRPr="00FC2A41">
        <w:rPr>
          <w:color w:val="auto"/>
        </w:rPr>
        <w:t xml:space="preserve">. </w:t>
      </w:r>
    </w:p>
    <w:p w:rsidR="00A87269" w:rsidRPr="00FC2A41" w:rsidRDefault="00A87269" w:rsidP="00A87269">
      <w:pPr>
        <w:pStyle w:val="Legenda"/>
        <w:rPr>
          <w:lang w:val="pt-BR"/>
        </w:rPr>
      </w:pPr>
      <w:bookmarkStart w:id="619" w:name="_Ref483842739"/>
      <w:bookmarkStart w:id="620" w:name="_Toc488824960"/>
      <w:bookmarkStart w:id="621" w:name="_Toc493151548"/>
      <w:bookmarkStart w:id="622" w:name="_Toc497469117"/>
      <w:r w:rsidRPr="00FC2A41">
        <w:t xml:space="preserve">Figura </w:t>
      </w:r>
      <w:r w:rsidR="00D71C43">
        <w:fldChar w:fldCharType="begin"/>
      </w:r>
      <w:r w:rsidR="00D71C43">
        <w:instrText xml:space="preserve"> SEQ Figura \* ARABIC </w:instrText>
      </w:r>
      <w:r w:rsidR="00D71C43">
        <w:fldChar w:fldCharType="separate"/>
      </w:r>
      <w:r w:rsidR="004D1D76">
        <w:rPr>
          <w:noProof/>
        </w:rPr>
        <w:t>21</w:t>
      </w:r>
      <w:r w:rsidR="00D71C43">
        <w:rPr>
          <w:noProof/>
        </w:rPr>
        <w:fldChar w:fldCharType="end"/>
      </w:r>
      <w:bookmarkEnd w:id="619"/>
      <w:r w:rsidRPr="00FC2A41">
        <w:t xml:space="preserve"> - Código de cores da coleta seletiva</w:t>
      </w:r>
      <w:bookmarkEnd w:id="620"/>
      <w:bookmarkEnd w:id="621"/>
      <w:bookmarkEnd w:id="622"/>
    </w:p>
    <w:p w:rsidR="00A87269" w:rsidRPr="00FC2A41" w:rsidRDefault="00A87269" w:rsidP="00A87269">
      <w:pPr>
        <w:pStyle w:val="figura"/>
        <w:rPr>
          <w:szCs w:val="24"/>
        </w:rPr>
      </w:pPr>
      <w:r w:rsidRPr="00FC2A41">
        <w:rPr>
          <w:noProof/>
        </w:rPr>
        <w:drawing>
          <wp:inline distT="0" distB="0" distL="0" distR="0" wp14:anchorId="0281B473" wp14:editId="44F447F1">
            <wp:extent cx="3543300" cy="3538331"/>
            <wp:effectExtent l="57150" t="57150" r="57150" b="4318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547392" cy="3542417"/>
                    </a:xfrm>
                    <a:prstGeom prst="rect">
                      <a:avLst/>
                    </a:prstGeom>
                    <a:effectLst>
                      <a:softEdge rad="12700"/>
                    </a:effectLst>
                    <a:scene3d>
                      <a:camera prst="orthographicFront"/>
                      <a:lightRig rig="threePt" dir="t"/>
                    </a:scene3d>
                    <a:sp3d contourW="6350"/>
                  </pic:spPr>
                </pic:pic>
              </a:graphicData>
            </a:graphic>
          </wp:inline>
        </w:drawing>
      </w:r>
    </w:p>
    <w:p w:rsidR="00A87269" w:rsidRPr="00FC2A41" w:rsidRDefault="00A87269" w:rsidP="00A87269">
      <w:pPr>
        <w:pStyle w:val="Fonte"/>
      </w:pPr>
      <w:r w:rsidRPr="00FC2A41">
        <w:t>Fonte: IBAM, 2001.</w:t>
      </w:r>
    </w:p>
    <w:p w:rsidR="00A87269" w:rsidRPr="00FC2A41" w:rsidRDefault="00A87269" w:rsidP="00A87269">
      <w:pPr>
        <w:ind w:firstLine="708"/>
        <w:contextualSpacing/>
        <w:rPr>
          <w:rFonts w:cs="Arial"/>
          <w:szCs w:val="24"/>
        </w:rPr>
      </w:pPr>
      <w:r w:rsidRPr="00FC2A41">
        <w:rPr>
          <w:rFonts w:cs="Arial"/>
          <w:szCs w:val="24"/>
          <w:lang w:eastAsia="pt-BR"/>
        </w:rPr>
        <w:t xml:space="preserve">Os PEVs devem ser instalados preferencialmente em lugares protegidos, de fácil acesso e visualização, frequentados por grande número de pessoas, como postos de </w:t>
      </w:r>
      <w:r w:rsidRPr="00FC2A41">
        <w:rPr>
          <w:rFonts w:cs="Arial"/>
          <w:szCs w:val="24"/>
          <w:lang w:eastAsia="pt-BR"/>
        </w:rPr>
        <w:lastRenderedPageBreak/>
        <w:t>gasolina, escolas, hospitais, supermercados, terminais de transporte coletivo, conjuntos habitacionais e outros.</w:t>
      </w:r>
      <w:r w:rsidRPr="00FC2A41">
        <w:rPr>
          <w:rFonts w:cs="Arial"/>
          <w:szCs w:val="24"/>
        </w:rPr>
        <w:t xml:space="preserve"> Esses locais podem ser aproveitados ou adaptados para abrigar bancos para descanso, armários públicos, bebedouros e outros equipamentos urbanos com a finalidade de dar apoio à guarnição envolvida com a coleta e o transporte de resíduos sólidos. Todas essas funções dadas ao local devem estar devidamente indicadas à guarnição e à população em geral, através de placas, cartazes e painéis explicativos.</w:t>
      </w:r>
    </w:p>
    <w:p w:rsidR="00A87269" w:rsidRPr="00FC2A41" w:rsidRDefault="00A87269" w:rsidP="00A87269">
      <w:pPr>
        <w:ind w:firstLine="708"/>
        <w:contextualSpacing/>
        <w:rPr>
          <w:rFonts w:cs="Arial"/>
          <w:szCs w:val="24"/>
          <w:lang w:eastAsia="pt-BR"/>
        </w:rPr>
      </w:pPr>
      <w:r w:rsidRPr="00FC2A41">
        <w:rPr>
          <w:rFonts w:cs="Arial"/>
          <w:szCs w:val="24"/>
          <w:lang w:eastAsia="pt-BR"/>
        </w:rPr>
        <w:t xml:space="preserve">Para ajudar a população a depositar corretamente os resíduos nos diferentes </w:t>
      </w:r>
      <w:r w:rsidRPr="00FC2A41">
        <w:rPr>
          <w:rFonts w:cs="Arial"/>
          <w:i/>
          <w:szCs w:val="24"/>
          <w:lang w:eastAsia="pt-BR"/>
        </w:rPr>
        <w:t>containers</w:t>
      </w:r>
      <w:r w:rsidRPr="00FC2A41">
        <w:rPr>
          <w:rFonts w:cs="Arial"/>
          <w:szCs w:val="24"/>
          <w:lang w:eastAsia="pt-BR"/>
        </w:rPr>
        <w:t>, uma boa opção tem sido a utilização de recipientes construídos com telas metálicas que possibilitam a visualização de seu conteúdo. Dessa forma, inibe-se a disposição inadequada dos resíduos.</w:t>
      </w:r>
    </w:p>
    <w:p w:rsidR="00A87269" w:rsidRPr="00FC2A41" w:rsidRDefault="00A87269" w:rsidP="002828C8">
      <w:pPr>
        <w:pStyle w:val="Ttulo4"/>
      </w:pPr>
      <w:bookmarkStart w:id="623" w:name="_Toc493151500"/>
      <w:bookmarkStart w:id="624" w:name="_Toc497469069"/>
      <w:r w:rsidRPr="00FC2A41">
        <w:t>Área de Transbordo e Triagem de Resíduos</w:t>
      </w:r>
      <w:bookmarkEnd w:id="623"/>
      <w:bookmarkEnd w:id="624"/>
    </w:p>
    <w:p w:rsidR="00A87269" w:rsidRPr="00FC2A41" w:rsidRDefault="00A87269" w:rsidP="00A87269">
      <w:pPr>
        <w:ind w:firstLine="708"/>
        <w:contextualSpacing/>
        <w:rPr>
          <w:rFonts w:cs="Arial"/>
          <w:szCs w:val="24"/>
          <w:lang w:eastAsia="pt-BR"/>
        </w:rPr>
      </w:pPr>
      <w:r w:rsidRPr="00FC2A41">
        <w:rPr>
          <w:rFonts w:cs="Arial"/>
          <w:szCs w:val="24"/>
          <w:lang w:eastAsia="pt-BR"/>
        </w:rPr>
        <w:t>O município deverá definir um local para receber resíduos de construção civil em caráter provisório, ou seja, para ser armazenado antes de ser utilizado de forma definitiva. Esses espaços devem ser instalados observando normas operacionais específicas, de modo a evitar danos ou riscos à saúde pública e à segurança e a minimizar os impactos ambientais adversos (Resolução CONAMA 307/2002).</w:t>
      </w:r>
    </w:p>
    <w:p w:rsidR="00A87269" w:rsidRPr="00FC2A41" w:rsidRDefault="00A87269" w:rsidP="00A87269">
      <w:pPr>
        <w:ind w:firstLine="708"/>
        <w:contextualSpacing/>
      </w:pPr>
      <w:r w:rsidRPr="00FC2A41">
        <w:t xml:space="preserve">A área deve ser licenciada para transbordo e triagem de pequeno porte, destinados ao recebimento de pequenas quantidades de resíduos volumosos, resíduos da construção civil, podas e ainda materiais recicláveis. Conforme a NBR 15.112/20047, alguns critérios e aspectos técnicos devem ser analisados na implantação dessa atividade, tais como: </w:t>
      </w:r>
    </w:p>
    <w:p w:rsidR="00A87269" w:rsidRPr="00FC2A41" w:rsidRDefault="00A87269" w:rsidP="00A87269">
      <w:pPr>
        <w:pStyle w:val="PargrafodaLista"/>
        <w:numPr>
          <w:ilvl w:val="0"/>
          <w:numId w:val="66"/>
        </w:numPr>
        <w:rPr>
          <w:szCs w:val="24"/>
        </w:rPr>
      </w:pPr>
      <w:r w:rsidRPr="00FC2A41">
        <w:rPr>
          <w:szCs w:val="24"/>
        </w:rPr>
        <w:t>Isolamento da área através de cercamento do perímetro da área de operação, de maneira a controlar a entrada de pessoas e animais.</w:t>
      </w:r>
    </w:p>
    <w:p w:rsidR="00A87269" w:rsidRPr="00FC2A41" w:rsidRDefault="00A87269" w:rsidP="00A87269">
      <w:pPr>
        <w:pStyle w:val="PargrafodaLista"/>
        <w:numPr>
          <w:ilvl w:val="0"/>
          <w:numId w:val="66"/>
        </w:numPr>
        <w:rPr>
          <w:szCs w:val="24"/>
        </w:rPr>
      </w:pPr>
      <w:r w:rsidRPr="00FC2A41">
        <w:rPr>
          <w:szCs w:val="24"/>
        </w:rPr>
        <w:t>Identificação visível e descritiva das atividades desenvolvidas.</w:t>
      </w:r>
    </w:p>
    <w:p w:rsidR="00A87269" w:rsidRPr="00FC2A41" w:rsidRDefault="00A87269" w:rsidP="00A87269">
      <w:pPr>
        <w:pStyle w:val="PargrafodaLista"/>
        <w:numPr>
          <w:ilvl w:val="0"/>
          <w:numId w:val="66"/>
        </w:numPr>
        <w:rPr>
          <w:szCs w:val="24"/>
        </w:rPr>
      </w:pPr>
      <w:r w:rsidRPr="00FC2A41">
        <w:rPr>
          <w:szCs w:val="24"/>
        </w:rPr>
        <w:t>Adoção de dispositivos de proteção contra descargas atmosféricas e de combate a incêndio.</w:t>
      </w:r>
    </w:p>
    <w:p w:rsidR="00A87269" w:rsidRPr="00FC2A41" w:rsidRDefault="00A87269" w:rsidP="00A87269">
      <w:pPr>
        <w:pStyle w:val="PargrafodaLista"/>
        <w:numPr>
          <w:ilvl w:val="0"/>
          <w:numId w:val="66"/>
        </w:numPr>
        <w:rPr>
          <w:szCs w:val="24"/>
        </w:rPr>
      </w:pPr>
      <w:r w:rsidRPr="00FC2A41">
        <w:rPr>
          <w:szCs w:val="24"/>
        </w:rPr>
        <w:t>Adoção de dispositivos de proteção ambiental como forma de controlar a poeira e ruídos.</w:t>
      </w:r>
    </w:p>
    <w:p w:rsidR="00A87269" w:rsidRPr="00FC2A41" w:rsidRDefault="00A87269" w:rsidP="00A87269">
      <w:pPr>
        <w:pStyle w:val="PargrafodaLista"/>
        <w:numPr>
          <w:ilvl w:val="0"/>
          <w:numId w:val="66"/>
        </w:numPr>
        <w:rPr>
          <w:szCs w:val="24"/>
        </w:rPr>
      </w:pPr>
      <w:r w:rsidRPr="00FC2A41">
        <w:rPr>
          <w:szCs w:val="24"/>
        </w:rPr>
        <w:t>Adoção de dispositivos de drenagem superficial e revestimento primário do piso.</w:t>
      </w:r>
    </w:p>
    <w:p w:rsidR="00A87269" w:rsidRPr="00FC2A41" w:rsidRDefault="00A87269" w:rsidP="00A87269">
      <w:pPr>
        <w:pStyle w:val="PargrafodaLista"/>
        <w:numPr>
          <w:ilvl w:val="0"/>
          <w:numId w:val="66"/>
        </w:numPr>
        <w:rPr>
          <w:szCs w:val="24"/>
        </w:rPr>
      </w:pPr>
      <w:r w:rsidRPr="00FC2A41">
        <w:rPr>
          <w:szCs w:val="24"/>
        </w:rPr>
        <w:lastRenderedPageBreak/>
        <w:t>Viabilização de acesso, operação e estocagem, utilizáveis em qualquer condição climática.</w:t>
      </w:r>
    </w:p>
    <w:p w:rsidR="00A87269" w:rsidRPr="00FC2A41" w:rsidRDefault="00A87269" w:rsidP="00A87269">
      <w:pPr>
        <w:ind w:firstLine="708"/>
        <w:contextualSpacing/>
      </w:pPr>
      <w:r w:rsidRPr="00FC2A41">
        <w:t xml:space="preserve">A </w:t>
      </w:r>
      <w:r w:rsidRPr="00FC2A41">
        <w:fldChar w:fldCharType="begin"/>
      </w:r>
      <w:r w:rsidRPr="00FC2A41">
        <w:instrText xml:space="preserve"> REF _Ref492473079 \h  \* MERGEFORMAT </w:instrText>
      </w:r>
      <w:r w:rsidRPr="00FC2A41">
        <w:fldChar w:fldCharType="separate"/>
      </w:r>
      <w:r w:rsidR="004D1D76" w:rsidRPr="00FC2A41">
        <w:t xml:space="preserve">Figura </w:t>
      </w:r>
      <w:r w:rsidR="004D1D76">
        <w:t>22</w:t>
      </w:r>
      <w:r w:rsidRPr="00FC2A41">
        <w:fldChar w:fldCharType="end"/>
      </w:r>
      <w:r w:rsidRPr="00FC2A41">
        <w:t xml:space="preserve"> apresenta uma ilustração de como pode ser feita a distribuição das diversas funções dentro da área licenciada.</w:t>
      </w:r>
    </w:p>
    <w:p w:rsidR="00A87269" w:rsidRPr="00FC2A41" w:rsidRDefault="00A87269" w:rsidP="00A87269">
      <w:pPr>
        <w:ind w:firstLine="708"/>
        <w:contextualSpacing/>
      </w:pPr>
    </w:p>
    <w:p w:rsidR="00A87269" w:rsidRPr="00FC2A41" w:rsidRDefault="00A87269" w:rsidP="00A87269">
      <w:pPr>
        <w:pStyle w:val="Legenda"/>
      </w:pPr>
      <w:bookmarkStart w:id="625" w:name="_Ref492473079"/>
      <w:bookmarkStart w:id="626" w:name="_Toc493151549"/>
      <w:bookmarkStart w:id="627" w:name="_Toc497469118"/>
      <w:r w:rsidRPr="00FC2A41">
        <w:t xml:space="preserve">Figura </w:t>
      </w:r>
      <w:r w:rsidR="00D71C43">
        <w:fldChar w:fldCharType="begin"/>
      </w:r>
      <w:r w:rsidR="00D71C43">
        <w:instrText xml:space="preserve"> SEQ Figura \* ARABIC </w:instrText>
      </w:r>
      <w:r w:rsidR="00D71C43">
        <w:fldChar w:fldCharType="separate"/>
      </w:r>
      <w:r w:rsidR="004D1D76">
        <w:rPr>
          <w:noProof/>
        </w:rPr>
        <w:t>22</w:t>
      </w:r>
      <w:r w:rsidR="00D71C43">
        <w:rPr>
          <w:noProof/>
        </w:rPr>
        <w:fldChar w:fldCharType="end"/>
      </w:r>
      <w:bookmarkEnd w:id="625"/>
      <w:r w:rsidRPr="00FC2A41">
        <w:t xml:space="preserve"> - Área de Transbordo e Triagem de resíduos sólidos</w:t>
      </w:r>
      <w:bookmarkEnd w:id="626"/>
      <w:bookmarkEnd w:id="627"/>
    </w:p>
    <w:p w:rsidR="00A87269" w:rsidRPr="00FC2A41" w:rsidRDefault="00A87269" w:rsidP="00A87269">
      <w:pPr>
        <w:rPr>
          <w:szCs w:val="24"/>
        </w:rPr>
      </w:pPr>
      <w:r w:rsidRPr="00FC2A41">
        <w:rPr>
          <w:noProof/>
          <w:lang w:eastAsia="pt-BR"/>
        </w:rPr>
        <w:drawing>
          <wp:inline distT="0" distB="0" distL="0" distR="0" wp14:anchorId="6A78C0CF" wp14:editId="3589BCB6">
            <wp:extent cx="5939790" cy="3329305"/>
            <wp:effectExtent l="19050" t="19050" r="22860" b="23495"/>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b="13924"/>
                    <a:stretch/>
                  </pic:blipFill>
                  <pic:spPr bwMode="auto">
                    <a:xfrm>
                      <a:off x="0" y="0"/>
                      <a:ext cx="5939790" cy="3329305"/>
                    </a:xfrm>
                    <a:prstGeom prst="rect">
                      <a:avLst/>
                    </a:prstGeom>
                    <a:ln w="19050">
                      <a:solidFill>
                        <a:schemeClr val="tx1"/>
                      </a:solidFill>
                    </a:ln>
                    <a:effectLst>
                      <a:softEdge rad="25400"/>
                    </a:effectLst>
                    <a:extLst>
                      <a:ext uri="{53640926-AAD7-44D8-BBD7-CCE9431645EC}">
                        <a14:shadowObscured xmlns:a14="http://schemas.microsoft.com/office/drawing/2010/main"/>
                      </a:ext>
                    </a:extLst>
                  </pic:spPr>
                </pic:pic>
              </a:graphicData>
            </a:graphic>
          </wp:inline>
        </w:drawing>
      </w:r>
    </w:p>
    <w:p w:rsidR="00A87269" w:rsidRPr="00FC2A41" w:rsidRDefault="00A87269" w:rsidP="00A87269">
      <w:pPr>
        <w:pStyle w:val="Fonte"/>
      </w:pPr>
      <w:r w:rsidRPr="00FC2A41">
        <w:t xml:space="preserve">Fonte: Ministério das Cidades / Ministério do Meio Ambiente, 2008 – “Elementos para a organização da coleta seletiva e projetos de galpões de triagem”. </w:t>
      </w:r>
    </w:p>
    <w:p w:rsidR="00A87269" w:rsidRPr="00FC2A41" w:rsidRDefault="00A87269" w:rsidP="002828C8">
      <w:pPr>
        <w:pStyle w:val="Ttulo4"/>
      </w:pPr>
      <w:bookmarkStart w:id="628" w:name="_Toc488825336"/>
      <w:bookmarkStart w:id="629" w:name="_Toc493151501"/>
      <w:bookmarkStart w:id="630" w:name="_Toc497469070"/>
      <w:r w:rsidRPr="00FC2A41">
        <w:t>Central de Triagem de Resíduos</w:t>
      </w:r>
      <w:bookmarkEnd w:id="628"/>
      <w:r w:rsidRPr="00FC2A41">
        <w:t xml:space="preserve"> (CTR)</w:t>
      </w:r>
      <w:bookmarkEnd w:id="629"/>
      <w:bookmarkEnd w:id="630"/>
    </w:p>
    <w:p w:rsidR="00A87269" w:rsidRPr="00FC2A41" w:rsidRDefault="00A87269" w:rsidP="00A87269">
      <w:pPr>
        <w:spacing w:before="120" w:after="120"/>
        <w:ind w:firstLine="708"/>
        <w:contextualSpacing/>
        <w:rPr>
          <w:rFonts w:cs="Arial"/>
        </w:rPr>
      </w:pPr>
      <w:r w:rsidRPr="00FC2A41">
        <w:rPr>
          <w:rFonts w:cs="Arial"/>
        </w:rPr>
        <w:t>Para a implantação de uma Central de Triagem de materiais recicláveis, algumas premissas precisam ser consideradas, tais como:</w:t>
      </w:r>
    </w:p>
    <w:p w:rsidR="00A87269" w:rsidRPr="00FC2A41" w:rsidRDefault="00A87269" w:rsidP="00A87269">
      <w:pPr>
        <w:pStyle w:val="Default"/>
        <w:numPr>
          <w:ilvl w:val="0"/>
          <w:numId w:val="17"/>
        </w:numPr>
        <w:spacing w:line="360" w:lineRule="auto"/>
        <w:jc w:val="both"/>
        <w:rPr>
          <w:color w:val="auto"/>
        </w:rPr>
      </w:pPr>
      <w:r w:rsidRPr="00FC2A41">
        <w:rPr>
          <w:color w:val="auto"/>
        </w:rPr>
        <w:t>Ao menos três tipos de materiais recicláveis devem possuir mercado consumidor.</w:t>
      </w:r>
    </w:p>
    <w:p w:rsidR="00A87269" w:rsidRPr="00FC2A41" w:rsidRDefault="00A87269" w:rsidP="00A87269">
      <w:pPr>
        <w:pStyle w:val="Default"/>
        <w:numPr>
          <w:ilvl w:val="0"/>
          <w:numId w:val="17"/>
        </w:numPr>
        <w:spacing w:line="360" w:lineRule="auto"/>
        <w:jc w:val="both"/>
        <w:rPr>
          <w:color w:val="auto"/>
        </w:rPr>
      </w:pPr>
      <w:r w:rsidRPr="00FC2A41">
        <w:rPr>
          <w:color w:val="auto"/>
        </w:rPr>
        <w:t>O serviço de coleta deve ser razoavelmente eficaz e regular.</w:t>
      </w:r>
    </w:p>
    <w:p w:rsidR="00A87269" w:rsidRPr="00FC2A41" w:rsidRDefault="00A87269" w:rsidP="00A87269">
      <w:pPr>
        <w:pStyle w:val="Default"/>
        <w:numPr>
          <w:ilvl w:val="0"/>
          <w:numId w:val="17"/>
        </w:numPr>
        <w:spacing w:line="360" w:lineRule="auto"/>
        <w:jc w:val="both"/>
        <w:rPr>
          <w:color w:val="auto"/>
        </w:rPr>
      </w:pPr>
      <w:r w:rsidRPr="00FC2A41">
        <w:rPr>
          <w:color w:val="auto"/>
        </w:rPr>
        <w:t xml:space="preserve">Existência de área disponível que abrigue a instalação industrial, a área de compostagem, o aterro para rejeitos e emergências com o lixo bruto, </w:t>
      </w:r>
      <w:r w:rsidRPr="00FC2A41">
        <w:rPr>
          <w:color w:val="auto"/>
        </w:rPr>
        <w:lastRenderedPageBreak/>
        <w:t>cuja localização seja próxima aos centros consumidores e tenha fácil acesso.</w:t>
      </w:r>
    </w:p>
    <w:p w:rsidR="00A87269" w:rsidRPr="00FC2A41" w:rsidRDefault="00A87269" w:rsidP="00A87269">
      <w:pPr>
        <w:pStyle w:val="Default"/>
        <w:numPr>
          <w:ilvl w:val="0"/>
          <w:numId w:val="17"/>
        </w:numPr>
        <w:spacing w:line="360" w:lineRule="auto"/>
        <w:jc w:val="both"/>
        <w:rPr>
          <w:color w:val="auto"/>
        </w:rPr>
      </w:pPr>
      <w:r w:rsidRPr="00FC2A41">
        <w:rPr>
          <w:color w:val="auto"/>
        </w:rPr>
        <w:t>Escolher local tal que o composto orgânico possa ser absorvido por um mercado consumidor que esteja a, no máximo, 200 km (Cartilha de Limpeza Urbana do IBAM, s.d.).</w:t>
      </w:r>
    </w:p>
    <w:p w:rsidR="00A87269" w:rsidRPr="00FC2A41" w:rsidRDefault="00A87269" w:rsidP="00A87269">
      <w:pPr>
        <w:pStyle w:val="Default"/>
        <w:numPr>
          <w:ilvl w:val="0"/>
          <w:numId w:val="17"/>
        </w:numPr>
        <w:spacing w:line="360" w:lineRule="auto"/>
        <w:jc w:val="both"/>
        <w:rPr>
          <w:color w:val="auto"/>
        </w:rPr>
      </w:pPr>
      <w:r w:rsidRPr="00FC2A41">
        <w:rPr>
          <w:color w:val="auto"/>
        </w:rPr>
        <w:t>Definir a fonte dos recursos financeiros, se públicos ou privados.</w:t>
      </w:r>
    </w:p>
    <w:p w:rsidR="00A87269" w:rsidRPr="00FC2A41" w:rsidRDefault="00A87269" w:rsidP="00A87269">
      <w:pPr>
        <w:spacing w:before="120" w:after="120"/>
        <w:ind w:firstLine="708"/>
        <w:contextualSpacing/>
        <w:rPr>
          <w:rFonts w:cs="Arial"/>
        </w:rPr>
      </w:pPr>
      <w:r w:rsidRPr="00FC2A41">
        <w:rPr>
          <w:rFonts w:cs="Arial"/>
        </w:rPr>
        <w:t>Os seguintes procedimentos devem ser adotados:</w:t>
      </w:r>
    </w:p>
    <w:p w:rsidR="00A87269" w:rsidRPr="00FC2A41" w:rsidRDefault="00A87269" w:rsidP="00A87269">
      <w:pPr>
        <w:pStyle w:val="Default"/>
        <w:numPr>
          <w:ilvl w:val="0"/>
          <w:numId w:val="17"/>
        </w:numPr>
        <w:spacing w:line="360" w:lineRule="auto"/>
        <w:jc w:val="both"/>
        <w:rPr>
          <w:color w:val="auto"/>
        </w:rPr>
      </w:pPr>
      <w:r w:rsidRPr="00FC2A41">
        <w:rPr>
          <w:color w:val="auto"/>
        </w:rPr>
        <w:t>Efetuar análise quantitativa e qualitativa dos resíduos recolhidos.</w:t>
      </w:r>
    </w:p>
    <w:p w:rsidR="00A87269" w:rsidRPr="00FC2A41" w:rsidRDefault="00A87269" w:rsidP="00A87269">
      <w:pPr>
        <w:pStyle w:val="Default"/>
        <w:numPr>
          <w:ilvl w:val="0"/>
          <w:numId w:val="17"/>
        </w:numPr>
        <w:spacing w:line="360" w:lineRule="auto"/>
        <w:jc w:val="both"/>
        <w:rPr>
          <w:color w:val="auto"/>
        </w:rPr>
      </w:pPr>
      <w:r w:rsidRPr="00FC2A41">
        <w:rPr>
          <w:color w:val="auto"/>
        </w:rPr>
        <w:t>Efetuar análise de mercado para venda dos produtos recuperados e do composto orgânico.</w:t>
      </w:r>
    </w:p>
    <w:p w:rsidR="00A87269" w:rsidRPr="00FC2A41" w:rsidRDefault="00A87269" w:rsidP="00A87269">
      <w:pPr>
        <w:pStyle w:val="Default"/>
        <w:numPr>
          <w:ilvl w:val="0"/>
          <w:numId w:val="17"/>
        </w:numPr>
        <w:spacing w:line="360" w:lineRule="auto"/>
        <w:jc w:val="both"/>
        <w:rPr>
          <w:color w:val="auto"/>
        </w:rPr>
      </w:pPr>
      <w:r w:rsidRPr="00FC2A41">
        <w:rPr>
          <w:color w:val="auto"/>
        </w:rPr>
        <w:t>Efetuar identificação de catadores.</w:t>
      </w:r>
    </w:p>
    <w:p w:rsidR="00A87269" w:rsidRPr="00FC2A41" w:rsidRDefault="00A87269" w:rsidP="00A87269">
      <w:pPr>
        <w:pStyle w:val="Default"/>
        <w:numPr>
          <w:ilvl w:val="0"/>
          <w:numId w:val="17"/>
        </w:numPr>
        <w:spacing w:line="360" w:lineRule="auto"/>
        <w:jc w:val="both"/>
        <w:rPr>
          <w:color w:val="auto"/>
        </w:rPr>
      </w:pPr>
      <w:r w:rsidRPr="00FC2A41">
        <w:rPr>
          <w:color w:val="auto"/>
        </w:rPr>
        <w:t>Escolher tecnologia mais adequada. Quanto maior a mecanização e automatização, maiores os investimentos necessários. No Brasil, é indicada a separação manual sempre que possível, a fim de gerar empregos.</w:t>
      </w:r>
    </w:p>
    <w:p w:rsidR="00A87269" w:rsidRPr="00FC2A41" w:rsidRDefault="00A87269" w:rsidP="00A87269">
      <w:pPr>
        <w:pStyle w:val="Default"/>
        <w:numPr>
          <w:ilvl w:val="0"/>
          <w:numId w:val="17"/>
        </w:numPr>
        <w:spacing w:line="360" w:lineRule="auto"/>
        <w:jc w:val="both"/>
        <w:rPr>
          <w:color w:val="auto"/>
        </w:rPr>
      </w:pPr>
      <w:r w:rsidRPr="00FC2A41">
        <w:rPr>
          <w:color w:val="auto"/>
        </w:rPr>
        <w:t>Analisar os custos de instalação e operação e o investimento necessário.</w:t>
      </w:r>
    </w:p>
    <w:p w:rsidR="00A87269" w:rsidRPr="00FC2A41" w:rsidRDefault="00A87269" w:rsidP="00A87269">
      <w:pPr>
        <w:pStyle w:val="Default"/>
        <w:numPr>
          <w:ilvl w:val="0"/>
          <w:numId w:val="17"/>
        </w:numPr>
        <w:spacing w:line="360" w:lineRule="auto"/>
        <w:jc w:val="both"/>
        <w:rPr>
          <w:color w:val="auto"/>
        </w:rPr>
      </w:pPr>
      <w:r w:rsidRPr="00FC2A41">
        <w:rPr>
          <w:color w:val="auto"/>
        </w:rPr>
        <w:t>Decidir sobre a viabilidade econômica, a partir de: análise da produção estimada e dos preços dos produtos; dos custos com mão de obra, energia, combustível, transporte, equipamentos, manutenção; redução dos custos com transporte de lixo bruto e com a operação de aterros, que receberão menos resíduos.</w:t>
      </w:r>
    </w:p>
    <w:p w:rsidR="00A87269" w:rsidRPr="00FC2A41" w:rsidRDefault="00A87269" w:rsidP="00A87269">
      <w:pPr>
        <w:pStyle w:val="Default"/>
        <w:numPr>
          <w:ilvl w:val="0"/>
          <w:numId w:val="17"/>
        </w:numPr>
        <w:spacing w:line="360" w:lineRule="auto"/>
        <w:jc w:val="both"/>
        <w:rPr>
          <w:color w:val="auto"/>
        </w:rPr>
      </w:pPr>
      <w:r w:rsidRPr="00FC2A41">
        <w:rPr>
          <w:color w:val="auto"/>
        </w:rPr>
        <w:t>Capacitar funcionários para implantação, operação e manutenção da usina.</w:t>
      </w:r>
    </w:p>
    <w:p w:rsidR="00A87269" w:rsidRPr="00FC2A41" w:rsidRDefault="00A87269" w:rsidP="00A87269">
      <w:pPr>
        <w:pStyle w:val="Default"/>
        <w:spacing w:line="360" w:lineRule="auto"/>
        <w:ind w:firstLine="709"/>
        <w:jc w:val="both"/>
        <w:rPr>
          <w:color w:val="auto"/>
        </w:rPr>
      </w:pPr>
      <w:r w:rsidRPr="00FC2A41">
        <w:rPr>
          <w:color w:val="auto"/>
        </w:rPr>
        <w:t>De modo geral, os materiais recuperados são: papel e papelão; plástico duro (PVC, polietileno de alta densidade, PET); plástico filme (polietileno de baixa densidade); garrafas inteiras; vidro claro e misto, metal ferroso (latas, chaparia, etc.); metal não ferroso (alumínio, cobre, chumbo, antimônio, etc.); composto orgânico.</w:t>
      </w:r>
    </w:p>
    <w:p w:rsidR="00A87269" w:rsidRPr="00FC2A41" w:rsidRDefault="00A87269" w:rsidP="002828C8">
      <w:pPr>
        <w:pStyle w:val="Ttulo4"/>
      </w:pPr>
      <w:bookmarkStart w:id="631" w:name="_Toc488825337"/>
      <w:bookmarkStart w:id="632" w:name="_Toc493151502"/>
      <w:bookmarkStart w:id="633" w:name="_Toc497469071"/>
      <w:r w:rsidRPr="00FC2A41">
        <w:t>Aterro sanitário</w:t>
      </w:r>
      <w:bookmarkEnd w:id="631"/>
      <w:bookmarkEnd w:id="632"/>
      <w:bookmarkEnd w:id="633"/>
    </w:p>
    <w:p w:rsidR="00A87269" w:rsidRPr="00FC2A41" w:rsidRDefault="00A87269" w:rsidP="00A87269">
      <w:pPr>
        <w:pStyle w:val="Default"/>
        <w:spacing w:line="360" w:lineRule="auto"/>
        <w:ind w:firstLine="709"/>
        <w:jc w:val="both"/>
        <w:rPr>
          <w:color w:val="auto"/>
        </w:rPr>
      </w:pPr>
      <w:r w:rsidRPr="00FC2A41">
        <w:rPr>
          <w:color w:val="auto"/>
        </w:rPr>
        <w:t>De acordo com o Manual GIRS, um aterro sanitário deve conter:</w:t>
      </w:r>
    </w:p>
    <w:p w:rsidR="00A87269" w:rsidRPr="00FC2A41" w:rsidRDefault="00A87269" w:rsidP="00A87269">
      <w:pPr>
        <w:pStyle w:val="Default"/>
        <w:numPr>
          <w:ilvl w:val="0"/>
          <w:numId w:val="18"/>
        </w:numPr>
        <w:spacing w:line="360" w:lineRule="auto"/>
        <w:jc w:val="both"/>
        <w:rPr>
          <w:color w:val="auto"/>
        </w:rPr>
      </w:pPr>
      <w:r w:rsidRPr="00FC2A41">
        <w:rPr>
          <w:color w:val="auto"/>
        </w:rPr>
        <w:t>Unidades operacionais.</w:t>
      </w:r>
    </w:p>
    <w:p w:rsidR="00A87269" w:rsidRPr="00FC2A41" w:rsidRDefault="00A87269" w:rsidP="00A87269">
      <w:pPr>
        <w:pStyle w:val="Default"/>
        <w:numPr>
          <w:ilvl w:val="0"/>
          <w:numId w:val="18"/>
        </w:numPr>
        <w:spacing w:line="360" w:lineRule="auto"/>
        <w:jc w:val="both"/>
        <w:rPr>
          <w:color w:val="auto"/>
        </w:rPr>
      </w:pPr>
      <w:r w:rsidRPr="00FC2A41">
        <w:rPr>
          <w:color w:val="auto"/>
        </w:rPr>
        <w:lastRenderedPageBreak/>
        <w:t>Células para resíduos domiciliares.</w:t>
      </w:r>
    </w:p>
    <w:p w:rsidR="00A87269" w:rsidRPr="00FC2A41" w:rsidRDefault="00A87269" w:rsidP="00A87269">
      <w:pPr>
        <w:pStyle w:val="Default"/>
        <w:numPr>
          <w:ilvl w:val="0"/>
          <w:numId w:val="18"/>
        </w:numPr>
        <w:spacing w:line="360" w:lineRule="auto"/>
        <w:jc w:val="both"/>
        <w:rPr>
          <w:color w:val="auto"/>
        </w:rPr>
      </w:pPr>
      <w:r w:rsidRPr="00FC2A41">
        <w:rPr>
          <w:color w:val="auto"/>
        </w:rPr>
        <w:t>Células para resíduos de serviço de saúde, caso seja necessário.</w:t>
      </w:r>
    </w:p>
    <w:p w:rsidR="00A87269" w:rsidRPr="00FC2A41" w:rsidRDefault="00A87269" w:rsidP="00A87269">
      <w:pPr>
        <w:pStyle w:val="Default"/>
        <w:numPr>
          <w:ilvl w:val="0"/>
          <w:numId w:val="18"/>
        </w:numPr>
        <w:spacing w:line="360" w:lineRule="auto"/>
        <w:jc w:val="both"/>
        <w:rPr>
          <w:color w:val="auto"/>
        </w:rPr>
      </w:pPr>
      <w:r w:rsidRPr="00FC2A41">
        <w:rPr>
          <w:color w:val="auto"/>
        </w:rPr>
        <w:t>Impermeabilização de fundo.</w:t>
      </w:r>
    </w:p>
    <w:p w:rsidR="00A87269" w:rsidRPr="00FC2A41" w:rsidRDefault="00A87269" w:rsidP="00A87269">
      <w:pPr>
        <w:pStyle w:val="Default"/>
        <w:numPr>
          <w:ilvl w:val="0"/>
          <w:numId w:val="18"/>
        </w:numPr>
        <w:spacing w:line="360" w:lineRule="auto"/>
        <w:jc w:val="both"/>
        <w:rPr>
          <w:color w:val="auto"/>
        </w:rPr>
      </w:pPr>
      <w:r w:rsidRPr="00FC2A41">
        <w:rPr>
          <w:color w:val="auto"/>
        </w:rPr>
        <w:t>Impermeabilização superior (opcional).</w:t>
      </w:r>
    </w:p>
    <w:p w:rsidR="00A87269" w:rsidRPr="00FC2A41" w:rsidRDefault="00A87269" w:rsidP="00A87269">
      <w:pPr>
        <w:pStyle w:val="Default"/>
        <w:numPr>
          <w:ilvl w:val="0"/>
          <w:numId w:val="18"/>
        </w:numPr>
        <w:spacing w:line="360" w:lineRule="auto"/>
        <w:jc w:val="both"/>
        <w:rPr>
          <w:color w:val="auto"/>
        </w:rPr>
      </w:pPr>
      <w:r w:rsidRPr="00FC2A41">
        <w:rPr>
          <w:color w:val="auto"/>
        </w:rPr>
        <w:t>Sistema de coleta e tratamento de chorume.</w:t>
      </w:r>
    </w:p>
    <w:p w:rsidR="00A87269" w:rsidRPr="00FC2A41" w:rsidRDefault="00A87269" w:rsidP="00A87269">
      <w:pPr>
        <w:pStyle w:val="Default"/>
        <w:numPr>
          <w:ilvl w:val="0"/>
          <w:numId w:val="18"/>
        </w:numPr>
        <w:spacing w:line="360" w:lineRule="auto"/>
        <w:jc w:val="both"/>
        <w:rPr>
          <w:color w:val="auto"/>
        </w:rPr>
      </w:pPr>
      <w:r w:rsidRPr="00FC2A41">
        <w:rPr>
          <w:color w:val="auto"/>
        </w:rPr>
        <w:t>Sistema de coleta e queima de biogás (pode também ser beneficiado).</w:t>
      </w:r>
    </w:p>
    <w:p w:rsidR="00A87269" w:rsidRPr="00FC2A41" w:rsidRDefault="00A87269" w:rsidP="00A87269">
      <w:pPr>
        <w:pStyle w:val="Default"/>
        <w:numPr>
          <w:ilvl w:val="0"/>
          <w:numId w:val="18"/>
        </w:numPr>
        <w:spacing w:line="360" w:lineRule="auto"/>
        <w:jc w:val="both"/>
        <w:rPr>
          <w:color w:val="auto"/>
        </w:rPr>
      </w:pPr>
      <w:r w:rsidRPr="00FC2A41">
        <w:rPr>
          <w:color w:val="auto"/>
        </w:rPr>
        <w:t>Sistema para drenagem e afastamento de águas pluviais.</w:t>
      </w:r>
    </w:p>
    <w:p w:rsidR="00A87269" w:rsidRPr="00FC2A41" w:rsidRDefault="00A87269" w:rsidP="00A87269">
      <w:pPr>
        <w:pStyle w:val="Default"/>
        <w:numPr>
          <w:ilvl w:val="0"/>
          <w:numId w:val="18"/>
        </w:numPr>
        <w:spacing w:line="360" w:lineRule="auto"/>
        <w:jc w:val="both"/>
        <w:rPr>
          <w:color w:val="auto"/>
        </w:rPr>
      </w:pPr>
      <w:r w:rsidRPr="00FC2A41">
        <w:rPr>
          <w:color w:val="auto"/>
        </w:rPr>
        <w:t>Sistemas de monitoramento ambiental, geotécnico e topográfico.</w:t>
      </w:r>
    </w:p>
    <w:p w:rsidR="00A87269" w:rsidRPr="00FC2A41" w:rsidRDefault="00A87269" w:rsidP="00A87269">
      <w:pPr>
        <w:pStyle w:val="Default"/>
        <w:numPr>
          <w:ilvl w:val="0"/>
          <w:numId w:val="18"/>
        </w:numPr>
        <w:spacing w:line="360" w:lineRule="auto"/>
        <w:jc w:val="both"/>
        <w:rPr>
          <w:color w:val="auto"/>
        </w:rPr>
      </w:pPr>
      <w:r w:rsidRPr="00FC2A41">
        <w:rPr>
          <w:color w:val="auto"/>
        </w:rPr>
        <w:t>Local para estocagem de materiais.</w:t>
      </w:r>
    </w:p>
    <w:p w:rsidR="00A87269" w:rsidRPr="00FC2A41" w:rsidRDefault="00A87269" w:rsidP="00A87269">
      <w:pPr>
        <w:pStyle w:val="Default"/>
        <w:numPr>
          <w:ilvl w:val="0"/>
          <w:numId w:val="18"/>
        </w:numPr>
        <w:spacing w:line="360" w:lineRule="auto"/>
        <w:jc w:val="both"/>
        <w:rPr>
          <w:color w:val="auto"/>
        </w:rPr>
      </w:pPr>
      <w:r w:rsidRPr="00FC2A41">
        <w:rPr>
          <w:color w:val="auto"/>
        </w:rPr>
        <w:t>Unidades de apoio.</w:t>
      </w:r>
    </w:p>
    <w:p w:rsidR="00A87269" w:rsidRPr="00FC2A41" w:rsidRDefault="00A87269" w:rsidP="00A87269">
      <w:pPr>
        <w:pStyle w:val="Default"/>
        <w:numPr>
          <w:ilvl w:val="0"/>
          <w:numId w:val="18"/>
        </w:numPr>
        <w:spacing w:line="360" w:lineRule="auto"/>
        <w:jc w:val="both"/>
        <w:rPr>
          <w:color w:val="auto"/>
        </w:rPr>
      </w:pPr>
      <w:r w:rsidRPr="00FC2A41">
        <w:rPr>
          <w:color w:val="auto"/>
        </w:rPr>
        <w:t>Cerca e barreira vegetal.</w:t>
      </w:r>
    </w:p>
    <w:p w:rsidR="00A87269" w:rsidRPr="00FC2A41" w:rsidRDefault="00A87269" w:rsidP="00A87269">
      <w:pPr>
        <w:pStyle w:val="Default"/>
        <w:numPr>
          <w:ilvl w:val="0"/>
          <w:numId w:val="18"/>
        </w:numPr>
        <w:spacing w:line="360" w:lineRule="auto"/>
        <w:jc w:val="both"/>
        <w:rPr>
          <w:color w:val="auto"/>
        </w:rPr>
      </w:pPr>
      <w:r w:rsidRPr="00FC2A41">
        <w:rPr>
          <w:color w:val="auto"/>
        </w:rPr>
        <w:t>Vias de acesso e para serviços internos.</w:t>
      </w:r>
    </w:p>
    <w:p w:rsidR="00A87269" w:rsidRPr="00FC2A41" w:rsidRDefault="00A87269" w:rsidP="00A87269">
      <w:pPr>
        <w:pStyle w:val="Default"/>
        <w:numPr>
          <w:ilvl w:val="0"/>
          <w:numId w:val="18"/>
        </w:numPr>
        <w:spacing w:line="360" w:lineRule="auto"/>
        <w:jc w:val="both"/>
        <w:rPr>
          <w:color w:val="auto"/>
        </w:rPr>
      </w:pPr>
      <w:r w:rsidRPr="00FC2A41">
        <w:rPr>
          <w:color w:val="auto"/>
        </w:rPr>
        <w:t>Sistema de controle dos resíduos.</w:t>
      </w:r>
    </w:p>
    <w:p w:rsidR="00A87269" w:rsidRPr="00FC2A41" w:rsidRDefault="00A87269" w:rsidP="00A87269">
      <w:pPr>
        <w:pStyle w:val="Default"/>
        <w:numPr>
          <w:ilvl w:val="0"/>
          <w:numId w:val="18"/>
        </w:numPr>
        <w:spacing w:line="360" w:lineRule="auto"/>
        <w:jc w:val="both"/>
        <w:rPr>
          <w:color w:val="auto"/>
        </w:rPr>
      </w:pPr>
      <w:r w:rsidRPr="00FC2A41">
        <w:rPr>
          <w:color w:val="auto"/>
        </w:rPr>
        <w:t>Balança para os veículos.</w:t>
      </w:r>
    </w:p>
    <w:p w:rsidR="00A87269" w:rsidRPr="00FC2A41" w:rsidRDefault="00A87269" w:rsidP="00A87269">
      <w:pPr>
        <w:pStyle w:val="Default"/>
        <w:numPr>
          <w:ilvl w:val="0"/>
          <w:numId w:val="18"/>
        </w:numPr>
        <w:spacing w:line="360" w:lineRule="auto"/>
        <w:jc w:val="both"/>
        <w:rPr>
          <w:color w:val="auto"/>
        </w:rPr>
      </w:pPr>
      <w:r w:rsidRPr="00FC2A41">
        <w:rPr>
          <w:color w:val="auto"/>
        </w:rPr>
        <w:t>Prédio administrativo.</w:t>
      </w:r>
    </w:p>
    <w:p w:rsidR="00A87269" w:rsidRPr="00FC2A41" w:rsidRDefault="00A87269" w:rsidP="00A87269">
      <w:pPr>
        <w:pStyle w:val="Default"/>
        <w:numPr>
          <w:ilvl w:val="0"/>
          <w:numId w:val="18"/>
        </w:numPr>
        <w:spacing w:line="360" w:lineRule="auto"/>
        <w:jc w:val="both"/>
        <w:rPr>
          <w:color w:val="auto"/>
        </w:rPr>
      </w:pPr>
      <w:r w:rsidRPr="00FC2A41">
        <w:rPr>
          <w:color w:val="auto"/>
        </w:rPr>
        <w:t>Guarita para fiscalização de entrada.</w:t>
      </w:r>
    </w:p>
    <w:p w:rsidR="00A87269" w:rsidRPr="00FC2A41" w:rsidRDefault="00A87269" w:rsidP="00A87269">
      <w:pPr>
        <w:pStyle w:val="Default"/>
        <w:numPr>
          <w:ilvl w:val="0"/>
          <w:numId w:val="18"/>
        </w:numPr>
        <w:spacing w:line="360" w:lineRule="auto"/>
        <w:jc w:val="both"/>
        <w:rPr>
          <w:color w:val="auto"/>
        </w:rPr>
      </w:pPr>
      <w:r w:rsidRPr="00FC2A41">
        <w:rPr>
          <w:color w:val="auto"/>
        </w:rPr>
        <w:t>Oficina e borracharia.</w:t>
      </w:r>
    </w:p>
    <w:p w:rsidR="00A87269" w:rsidRPr="00FC2A41" w:rsidRDefault="00A87269" w:rsidP="002828C8">
      <w:pPr>
        <w:pStyle w:val="Ttulo4"/>
      </w:pPr>
      <w:bookmarkStart w:id="634" w:name="_Toc488825338"/>
      <w:bookmarkStart w:id="635" w:name="_Toc493151503"/>
      <w:bookmarkStart w:id="636" w:name="_Toc497469072"/>
      <w:r w:rsidRPr="00FC2A41">
        <w:t>Acondicionamento e destinação de Resíduos de Serviços de Saúde</w:t>
      </w:r>
      <w:bookmarkEnd w:id="634"/>
      <w:bookmarkEnd w:id="635"/>
      <w:bookmarkEnd w:id="636"/>
      <w:r w:rsidRPr="00FC2A41">
        <w:t xml:space="preserve"> </w:t>
      </w:r>
    </w:p>
    <w:p w:rsidR="00A87269" w:rsidRPr="00FC2A41" w:rsidRDefault="00A87269" w:rsidP="00A87269">
      <w:pPr>
        <w:pStyle w:val="Default"/>
        <w:spacing w:line="360" w:lineRule="auto"/>
        <w:ind w:firstLine="709"/>
        <w:jc w:val="both"/>
        <w:rPr>
          <w:color w:val="auto"/>
        </w:rPr>
      </w:pPr>
      <w:r w:rsidRPr="00FC2A41">
        <w:rPr>
          <w:color w:val="auto"/>
        </w:rPr>
        <w:t>Os resíduos gerados por hospitais e outras unidades de saúde públicas, de acordo com o Guia PNRS, demandam condições especiais. Apresentam-se como ideais os seguintes procedimentos:</w:t>
      </w:r>
    </w:p>
    <w:p w:rsidR="00A87269" w:rsidRPr="00FC2A41" w:rsidRDefault="00A87269" w:rsidP="00A87269">
      <w:pPr>
        <w:pStyle w:val="Default"/>
        <w:numPr>
          <w:ilvl w:val="0"/>
          <w:numId w:val="18"/>
        </w:numPr>
        <w:spacing w:line="360" w:lineRule="auto"/>
        <w:jc w:val="both"/>
        <w:rPr>
          <w:color w:val="auto"/>
        </w:rPr>
      </w:pPr>
      <w:r w:rsidRPr="00FC2A41">
        <w:rPr>
          <w:color w:val="auto"/>
        </w:rPr>
        <w:t>Acondicionar o lixo no momento de sua geração, em recipiente metálico ou de plástico rígido, padronizado, guarnecido por saco plástico de cor branca leitosa e que atenda às demais especificações da NBR- 9191 da Associação Brasileira de Normas Técnicas – ABNT.</w:t>
      </w:r>
    </w:p>
    <w:p w:rsidR="00A87269" w:rsidRPr="00FC2A41" w:rsidRDefault="00A87269" w:rsidP="00A87269">
      <w:pPr>
        <w:pStyle w:val="Default"/>
        <w:numPr>
          <w:ilvl w:val="0"/>
          <w:numId w:val="18"/>
        </w:numPr>
        <w:spacing w:line="360" w:lineRule="auto"/>
        <w:jc w:val="both"/>
        <w:rPr>
          <w:color w:val="auto"/>
        </w:rPr>
      </w:pPr>
      <w:r w:rsidRPr="00FC2A41">
        <w:rPr>
          <w:color w:val="auto"/>
        </w:rPr>
        <w:t>Transportar os resíduos acondicionados por meios manuais ou mecânicos, obedecidos os requisitos de segurança de forma a não proporcionar o rompimento do acondicionamento e evitando-se o trânsito por locais de maior potencial de risco.</w:t>
      </w:r>
    </w:p>
    <w:p w:rsidR="00A87269" w:rsidRPr="00FC2A41" w:rsidRDefault="00A87269" w:rsidP="00A87269">
      <w:pPr>
        <w:pStyle w:val="Default"/>
        <w:numPr>
          <w:ilvl w:val="0"/>
          <w:numId w:val="18"/>
        </w:numPr>
        <w:spacing w:line="360" w:lineRule="auto"/>
        <w:jc w:val="both"/>
        <w:rPr>
          <w:color w:val="auto"/>
        </w:rPr>
      </w:pPr>
      <w:r w:rsidRPr="00FC2A41">
        <w:rPr>
          <w:color w:val="auto"/>
        </w:rPr>
        <w:t>Providenciar nos tambores a inscrição “LIXO HOSPITALAR”, para que não sejam utilizados para outros fins.</w:t>
      </w:r>
    </w:p>
    <w:p w:rsidR="00A87269" w:rsidRPr="00FC2A41" w:rsidRDefault="00A87269" w:rsidP="00A87269">
      <w:pPr>
        <w:pStyle w:val="Default"/>
        <w:numPr>
          <w:ilvl w:val="0"/>
          <w:numId w:val="18"/>
        </w:numPr>
        <w:spacing w:line="360" w:lineRule="auto"/>
        <w:jc w:val="both"/>
        <w:rPr>
          <w:color w:val="auto"/>
        </w:rPr>
      </w:pPr>
      <w:r w:rsidRPr="00FC2A41">
        <w:rPr>
          <w:color w:val="auto"/>
        </w:rPr>
        <w:lastRenderedPageBreak/>
        <w:t>Fornecer luvas ao pessoal da coleta.</w:t>
      </w:r>
    </w:p>
    <w:p w:rsidR="00A87269" w:rsidRPr="00FC2A41" w:rsidRDefault="00A87269" w:rsidP="00A87269">
      <w:pPr>
        <w:pStyle w:val="Default"/>
        <w:numPr>
          <w:ilvl w:val="0"/>
          <w:numId w:val="18"/>
        </w:numPr>
        <w:spacing w:line="360" w:lineRule="auto"/>
        <w:jc w:val="both"/>
        <w:rPr>
          <w:color w:val="auto"/>
        </w:rPr>
      </w:pPr>
      <w:r w:rsidRPr="00FC2A41">
        <w:rPr>
          <w:color w:val="auto"/>
        </w:rPr>
        <w:t>Transferir os sacos plásticos com lixo para tambores de 200 litros (por exemplo), providos de tampa fixa por presilhas e alças, a serem colocados na área externa para a coleta.</w:t>
      </w:r>
    </w:p>
    <w:p w:rsidR="00A87269" w:rsidRPr="00FC2A41" w:rsidRDefault="00A87269" w:rsidP="00A87269">
      <w:pPr>
        <w:pStyle w:val="Default"/>
        <w:numPr>
          <w:ilvl w:val="0"/>
          <w:numId w:val="18"/>
        </w:numPr>
        <w:spacing w:line="360" w:lineRule="auto"/>
        <w:jc w:val="both"/>
        <w:rPr>
          <w:color w:val="auto"/>
        </w:rPr>
      </w:pPr>
      <w:r w:rsidRPr="00FC2A41">
        <w:rPr>
          <w:color w:val="auto"/>
        </w:rPr>
        <w:t>Transportar e remover e o lixo acondicionado nos sacos plásticos em veículo coletor específico, fechado e sem compactação, até o local de tratamento ou disposição final.</w:t>
      </w:r>
    </w:p>
    <w:p w:rsidR="00A87269" w:rsidRPr="00FC2A41" w:rsidRDefault="00A87269" w:rsidP="00A87269">
      <w:pPr>
        <w:pStyle w:val="Default"/>
        <w:numPr>
          <w:ilvl w:val="0"/>
          <w:numId w:val="18"/>
        </w:numPr>
        <w:spacing w:line="360" w:lineRule="auto"/>
        <w:jc w:val="both"/>
        <w:rPr>
          <w:color w:val="auto"/>
        </w:rPr>
      </w:pPr>
      <w:r w:rsidRPr="00FC2A41">
        <w:rPr>
          <w:color w:val="auto"/>
        </w:rPr>
        <w:t>Dispor de recipientes de reserva, para troca pelo recipiente cheio por ocasião da coleta, procedimento similar ao adotado na comercialização de gás de botijões.</w:t>
      </w:r>
    </w:p>
    <w:p w:rsidR="00A87269" w:rsidRPr="00FC2A41" w:rsidRDefault="00A87269" w:rsidP="00A87269">
      <w:pPr>
        <w:pStyle w:val="Default"/>
        <w:spacing w:line="360" w:lineRule="auto"/>
        <w:ind w:firstLine="709"/>
        <w:jc w:val="both"/>
        <w:rPr>
          <w:color w:val="auto"/>
        </w:rPr>
      </w:pPr>
      <w:r w:rsidRPr="00FC2A41">
        <w:rPr>
          <w:color w:val="auto"/>
        </w:rPr>
        <w:t>É importante ressaltar que para o manuseio dos resíduos infectantes é obrigatório o uso de Equipamentos de Proteção Individual (EPI): avental e luvas plásticas, botas de PVC ou sapatos fechados, óculos e máscara. Os locais para transbordo desses resíduos devem possuir cantos arredondados para possibilitar uma lavagem mais eficiente do piso e das paredes.</w:t>
      </w:r>
    </w:p>
    <w:p w:rsidR="00A87269" w:rsidRPr="00FC2A41" w:rsidRDefault="00A87269" w:rsidP="002828C8">
      <w:pPr>
        <w:pStyle w:val="Ttulo4"/>
      </w:pPr>
      <w:bookmarkStart w:id="637" w:name="_Toc493151504"/>
      <w:bookmarkStart w:id="638" w:name="_Toc497469073"/>
      <w:r w:rsidRPr="00FC2A41">
        <w:t>Controle de Planos de Gerenciamento de Resíduos Sólidos (PGRS</w:t>
      </w:r>
      <w:r>
        <w:t>s</w:t>
      </w:r>
      <w:r w:rsidRPr="00FC2A41">
        <w:t>)</w:t>
      </w:r>
      <w:bookmarkEnd w:id="637"/>
      <w:bookmarkEnd w:id="638"/>
    </w:p>
    <w:p w:rsidR="00A87269" w:rsidRPr="00FC2A41" w:rsidRDefault="00A87269" w:rsidP="00A87269">
      <w:pPr>
        <w:pStyle w:val="Default"/>
        <w:spacing w:line="360" w:lineRule="auto"/>
        <w:ind w:firstLine="709"/>
        <w:jc w:val="both"/>
        <w:rPr>
          <w:rFonts w:eastAsia="Times New Roman"/>
          <w:color w:val="auto"/>
        </w:rPr>
      </w:pPr>
      <w:r w:rsidRPr="00FC2A41">
        <w:rPr>
          <w:color w:val="auto"/>
        </w:rPr>
        <w:t xml:space="preserve">Além do controle dos resíduos mencionados, a Prefeitura Municipal deverá manter controle do manejo efetuado por outros geradores dos resíduos sólidos. Esse controle deverá ser efetuado através dos </w:t>
      </w:r>
      <w:r w:rsidRPr="00FC2A41">
        <w:rPr>
          <w:rFonts w:eastAsia="Times New Roman"/>
          <w:color w:val="auto"/>
        </w:rPr>
        <w:t xml:space="preserve">Planos de Gerenciamento de Resíduos Sólidos (PGRS) </w:t>
      </w:r>
      <w:r w:rsidRPr="00FC2A41">
        <w:rPr>
          <w:color w:val="auto"/>
        </w:rPr>
        <w:t xml:space="preserve">a serem elaborados pelos próprios geradores. </w:t>
      </w:r>
      <w:r w:rsidRPr="00FC2A41">
        <w:rPr>
          <w:rFonts w:eastAsia="Times New Roman"/>
          <w:color w:val="auto"/>
        </w:rPr>
        <w:t>Segundo a Lei nº 12.305/10, estão sujeitos à elaboração de PGRS os responsáveis pela geração dos seguintes tipos de resíduos:</w:t>
      </w:r>
    </w:p>
    <w:p w:rsidR="00A87269" w:rsidRPr="00FC2A41" w:rsidRDefault="00A87269" w:rsidP="00A87269">
      <w:pPr>
        <w:pStyle w:val="PargrafodaLista"/>
        <w:numPr>
          <w:ilvl w:val="0"/>
          <w:numId w:val="64"/>
        </w:numPr>
        <w:ind w:hanging="357"/>
        <w:jc w:val="left"/>
      </w:pPr>
      <w:r w:rsidRPr="00FC2A41">
        <w:t>Resíduos dos serviços públicos de saneamento básico;</w:t>
      </w:r>
    </w:p>
    <w:p w:rsidR="00A87269" w:rsidRPr="00FC2A41" w:rsidRDefault="00A87269" w:rsidP="00A87269">
      <w:pPr>
        <w:pStyle w:val="PargrafodaLista"/>
        <w:numPr>
          <w:ilvl w:val="0"/>
          <w:numId w:val="64"/>
        </w:numPr>
        <w:ind w:hanging="357"/>
        <w:jc w:val="left"/>
      </w:pPr>
      <w:r w:rsidRPr="00FC2A41">
        <w:t>Resíduos industriais;</w:t>
      </w:r>
    </w:p>
    <w:p w:rsidR="00A87269" w:rsidRPr="00FC2A41" w:rsidRDefault="00A87269" w:rsidP="00A87269">
      <w:pPr>
        <w:pStyle w:val="PargrafodaLista"/>
        <w:numPr>
          <w:ilvl w:val="0"/>
          <w:numId w:val="64"/>
        </w:numPr>
        <w:ind w:hanging="357"/>
        <w:jc w:val="left"/>
      </w:pPr>
      <w:r w:rsidRPr="00FC2A41">
        <w:t>Resíduos de serviços de saúde;</w:t>
      </w:r>
    </w:p>
    <w:p w:rsidR="00A87269" w:rsidRPr="00FC2A41" w:rsidRDefault="00A87269" w:rsidP="00A87269">
      <w:pPr>
        <w:pStyle w:val="PargrafodaLista"/>
        <w:numPr>
          <w:ilvl w:val="0"/>
          <w:numId w:val="64"/>
        </w:numPr>
        <w:ind w:hanging="357"/>
        <w:jc w:val="left"/>
        <w:rPr>
          <w:szCs w:val="24"/>
        </w:rPr>
      </w:pPr>
      <w:r w:rsidRPr="00FC2A41">
        <w:t>Resíduos de mineração;</w:t>
      </w:r>
    </w:p>
    <w:p w:rsidR="00A87269" w:rsidRPr="00FC2A41" w:rsidRDefault="00A87269" w:rsidP="00A87269">
      <w:pPr>
        <w:pStyle w:val="PargrafodaLista"/>
        <w:numPr>
          <w:ilvl w:val="0"/>
          <w:numId w:val="64"/>
        </w:numPr>
        <w:ind w:hanging="357"/>
        <w:jc w:val="left"/>
      </w:pPr>
      <w:r w:rsidRPr="00FC2A41">
        <w:t>Resíduos perigosos;</w:t>
      </w:r>
    </w:p>
    <w:p w:rsidR="00A87269" w:rsidRPr="00FC2A41" w:rsidRDefault="00A87269" w:rsidP="00A87269">
      <w:pPr>
        <w:pStyle w:val="PargrafodaLista"/>
        <w:numPr>
          <w:ilvl w:val="0"/>
          <w:numId w:val="64"/>
        </w:numPr>
        <w:ind w:hanging="357"/>
        <w:jc w:val="left"/>
      </w:pPr>
      <w:r w:rsidRPr="00FC2A41">
        <w:t>Resíduos que, mesmo caracterizados como não perigosos, por sua natureza, composição ou volume, não sejam equiparados aos resíduos domiciliares pelo Poder Público Municipal;</w:t>
      </w:r>
    </w:p>
    <w:p w:rsidR="00A87269" w:rsidRPr="00FC2A41" w:rsidRDefault="00A87269" w:rsidP="00A87269">
      <w:pPr>
        <w:pStyle w:val="PargrafodaLista"/>
        <w:numPr>
          <w:ilvl w:val="0"/>
          <w:numId w:val="65"/>
        </w:numPr>
        <w:ind w:hanging="357"/>
        <w:jc w:val="left"/>
        <w:rPr>
          <w:szCs w:val="24"/>
        </w:rPr>
      </w:pPr>
      <w:r w:rsidRPr="00FC2A41">
        <w:rPr>
          <w:szCs w:val="24"/>
        </w:rPr>
        <w:t>Resíduos da construção civil;</w:t>
      </w:r>
    </w:p>
    <w:p w:rsidR="00A87269" w:rsidRPr="00FC2A41" w:rsidRDefault="00A87269" w:rsidP="00A87269">
      <w:pPr>
        <w:pStyle w:val="PargrafodaLista"/>
        <w:numPr>
          <w:ilvl w:val="0"/>
          <w:numId w:val="65"/>
        </w:numPr>
        <w:ind w:hanging="357"/>
        <w:jc w:val="left"/>
      </w:pPr>
      <w:r w:rsidRPr="00FC2A41">
        <w:lastRenderedPageBreak/>
        <w:t>Resíduos de serviços de transportes;</w:t>
      </w:r>
    </w:p>
    <w:p w:rsidR="00A87269" w:rsidRPr="00FC2A41" w:rsidRDefault="00A87269" w:rsidP="00A87269">
      <w:pPr>
        <w:pStyle w:val="PargrafodaLista"/>
        <w:numPr>
          <w:ilvl w:val="0"/>
          <w:numId w:val="65"/>
        </w:numPr>
        <w:ind w:hanging="357"/>
        <w:jc w:val="left"/>
        <w:rPr>
          <w:szCs w:val="24"/>
        </w:rPr>
      </w:pPr>
      <w:r w:rsidRPr="00FC2A41">
        <w:rPr>
          <w:szCs w:val="24"/>
        </w:rPr>
        <w:t>Resíduos agropastoris, se exigido pelo órgão competente do Sisnama, do SNVS ou do Suasa. </w:t>
      </w:r>
    </w:p>
    <w:p w:rsidR="00A87269" w:rsidRPr="00FC2A41" w:rsidRDefault="00A87269" w:rsidP="00A87269">
      <w:pPr>
        <w:pStyle w:val="Default"/>
        <w:spacing w:line="360" w:lineRule="auto"/>
        <w:ind w:firstLine="709"/>
        <w:jc w:val="both"/>
        <w:rPr>
          <w:color w:val="auto"/>
        </w:rPr>
      </w:pPr>
      <w:r w:rsidRPr="00FC2A41">
        <w:rPr>
          <w:color w:val="auto"/>
        </w:rPr>
        <w:t>Para esses casos, cabe ao Poder Público:</w:t>
      </w:r>
    </w:p>
    <w:p w:rsidR="00A87269" w:rsidRPr="00FC2A41" w:rsidRDefault="00A87269" w:rsidP="00A87269">
      <w:pPr>
        <w:pStyle w:val="PargrafodaLista"/>
        <w:numPr>
          <w:ilvl w:val="0"/>
          <w:numId w:val="63"/>
        </w:numPr>
      </w:pPr>
      <w:r w:rsidRPr="00FC2A41">
        <w:t>Providenciar, no âmbito municipal, um instrumento legal que exija a entrega anual, à Prefeitura Municipal, do Plano de Gerenciamento de Resíduos Sólidos (PGRS) em conformidade com o art. 21 da Lei Federal nº 12.305/10, que deve ser elaborado pelos geradores dos resíduos acima mencionados.</w:t>
      </w:r>
    </w:p>
    <w:p w:rsidR="00A87269" w:rsidRPr="00FC2A41" w:rsidRDefault="00A87269" w:rsidP="00A87269">
      <w:pPr>
        <w:pStyle w:val="PargrafodaLista"/>
        <w:numPr>
          <w:ilvl w:val="0"/>
          <w:numId w:val="63"/>
        </w:numPr>
      </w:pPr>
      <w:r w:rsidRPr="00FC2A41">
        <w:t>Controlar as entregas de PGRS referentes às Unidades de Saúde existentes no Município, obedecendo a critérios técnicos, legislação ambiental e outras orientações regulamentares.</w:t>
      </w:r>
    </w:p>
    <w:p w:rsidR="00A87269" w:rsidRPr="00D22570" w:rsidRDefault="00A87269" w:rsidP="00A87269">
      <w:pPr>
        <w:pStyle w:val="PargrafodaLista"/>
        <w:numPr>
          <w:ilvl w:val="0"/>
          <w:numId w:val="63"/>
        </w:numPr>
      </w:pPr>
      <w:r w:rsidRPr="00FC2A41">
        <w:t xml:space="preserve">Providenciar fiscalização periódica nos estabelecimentos sujeitos ao PGRS buscando </w:t>
      </w:r>
      <w:r w:rsidRPr="00D22570">
        <w:t>evidências de comprovação dos procedimentos declarados no PGRS.</w:t>
      </w:r>
    </w:p>
    <w:p w:rsidR="00A87269" w:rsidRDefault="00A87269" w:rsidP="00A87269">
      <w:pPr>
        <w:pStyle w:val="PargrafodaLista"/>
        <w:numPr>
          <w:ilvl w:val="0"/>
          <w:numId w:val="63"/>
        </w:numPr>
      </w:pPr>
      <w:r w:rsidRPr="00D22570">
        <w:t>Exigir dos detentores de registro de produto que gerem resíduos classificados como Classe I – Perigosos, o fornecimento de informações documentadas referentes aos riscos de disposição final do resíduo.</w:t>
      </w:r>
    </w:p>
    <w:p w:rsidR="002538D7" w:rsidRPr="00DD40CC" w:rsidRDefault="002538D7" w:rsidP="002538D7">
      <w:pPr>
        <w:widowControl w:val="0"/>
        <w:numPr>
          <w:ilvl w:val="2"/>
          <w:numId w:val="1"/>
        </w:numPr>
        <w:spacing w:before="120" w:after="120"/>
        <w:ind w:left="504"/>
        <w:outlineLvl w:val="2"/>
        <w:rPr>
          <w:rFonts w:eastAsia="Times New Roman" w:cs="Arial"/>
          <w:b/>
          <w:i/>
          <w:szCs w:val="24"/>
          <w:lang w:eastAsia="pt-BR"/>
        </w:rPr>
      </w:pPr>
      <w:bookmarkStart w:id="639" w:name="_Toc488825339"/>
      <w:bookmarkStart w:id="640" w:name="_Toc493151505"/>
      <w:bookmarkStart w:id="641" w:name="_Toc497469074"/>
      <w:r w:rsidRPr="00DD40CC">
        <w:rPr>
          <w:rFonts w:eastAsia="Times New Roman" w:cs="Arial"/>
          <w:b/>
          <w:i/>
          <w:szCs w:val="24"/>
          <w:lang w:eastAsia="pt-BR"/>
        </w:rPr>
        <w:t>Responsabilidades quanto à implementação e operacionalização do PMGIRS</w:t>
      </w:r>
      <w:bookmarkEnd w:id="639"/>
      <w:bookmarkEnd w:id="640"/>
      <w:bookmarkEnd w:id="641"/>
    </w:p>
    <w:p w:rsidR="002538D7" w:rsidRPr="00DD40CC" w:rsidRDefault="002538D7" w:rsidP="002538D7">
      <w:pPr>
        <w:autoSpaceDE w:val="0"/>
        <w:autoSpaceDN w:val="0"/>
        <w:adjustRightInd w:val="0"/>
        <w:ind w:firstLine="709"/>
        <w:rPr>
          <w:rFonts w:cs="Arial"/>
          <w:szCs w:val="24"/>
          <w:lang w:eastAsia="pt-BR"/>
        </w:rPr>
      </w:pPr>
      <w:r w:rsidRPr="00DD40CC">
        <w:rPr>
          <w:rFonts w:cs="Arial"/>
          <w:szCs w:val="24"/>
          <w:lang w:eastAsia="pt-BR"/>
        </w:rPr>
        <w:t>A Política Nacional dos Resíduos Sólidos – PNRS (Lei nº 12.305 de 2010) estabelece que “o poder público, o setor empresarial e a coletividade são responsáveis pela efetividade das ações voltadas para assegurar a observância da PNRS e de suas diretrizes e demais determinações”.</w:t>
      </w:r>
    </w:p>
    <w:p w:rsidR="002538D7" w:rsidRPr="00DD40CC" w:rsidRDefault="002538D7" w:rsidP="002538D7">
      <w:pPr>
        <w:autoSpaceDE w:val="0"/>
        <w:autoSpaceDN w:val="0"/>
        <w:adjustRightInd w:val="0"/>
        <w:ind w:firstLine="709"/>
        <w:rPr>
          <w:rFonts w:cs="Arial"/>
          <w:szCs w:val="24"/>
          <w:lang w:eastAsia="pt-BR"/>
        </w:rPr>
      </w:pPr>
      <w:r w:rsidRPr="00DD40CC">
        <w:rPr>
          <w:rFonts w:cs="Arial"/>
          <w:szCs w:val="24"/>
          <w:lang w:eastAsia="pt-BR"/>
        </w:rPr>
        <w:t>A Política institui, ainda, a responsabilidade compartilhada pelo ciclo de vida dos produtos, “abrangendo os fabricantes, importadores, distribuidores e comerciantes, os consumidores e os titulares dos serviços públicos de limpeza urbana e manejo de resíduos sólidos”.</w:t>
      </w:r>
    </w:p>
    <w:p w:rsidR="002538D7" w:rsidRDefault="002538D7" w:rsidP="002538D7">
      <w:pPr>
        <w:autoSpaceDE w:val="0"/>
        <w:autoSpaceDN w:val="0"/>
        <w:adjustRightInd w:val="0"/>
        <w:ind w:firstLine="709"/>
        <w:rPr>
          <w:rFonts w:cs="Arial"/>
          <w:szCs w:val="24"/>
          <w:lang w:eastAsia="pt-BR"/>
        </w:rPr>
      </w:pPr>
      <w:r w:rsidRPr="002538D7">
        <w:rPr>
          <w:rFonts w:cs="Arial"/>
          <w:szCs w:val="24"/>
          <w:lang w:eastAsia="pt-BR"/>
        </w:rPr>
        <w:t xml:space="preserve">A seguir, no </w:t>
      </w:r>
      <w:r w:rsidRPr="002538D7">
        <w:rPr>
          <w:rFonts w:cs="Arial"/>
          <w:szCs w:val="24"/>
          <w:lang w:eastAsia="pt-BR"/>
        </w:rPr>
        <w:fldChar w:fldCharType="begin"/>
      </w:r>
      <w:r w:rsidRPr="002538D7">
        <w:rPr>
          <w:rFonts w:cs="Arial"/>
          <w:szCs w:val="24"/>
          <w:lang w:eastAsia="pt-BR"/>
        </w:rPr>
        <w:instrText xml:space="preserve"> REF _Ref487710091 \h  \* MERGEFORMAT </w:instrText>
      </w:r>
      <w:r w:rsidRPr="002538D7">
        <w:rPr>
          <w:rFonts w:cs="Arial"/>
          <w:szCs w:val="24"/>
          <w:lang w:eastAsia="pt-BR"/>
        </w:rPr>
      </w:r>
      <w:r w:rsidRPr="002538D7">
        <w:rPr>
          <w:rFonts w:cs="Arial"/>
          <w:szCs w:val="24"/>
          <w:lang w:eastAsia="pt-BR"/>
        </w:rPr>
        <w:fldChar w:fldCharType="separate"/>
      </w:r>
      <w:r w:rsidR="004D1D76" w:rsidRPr="004D1D76">
        <w:rPr>
          <w:rFonts w:eastAsia="Times New Roman" w:cs="Arial"/>
          <w:bCs/>
          <w:szCs w:val="24"/>
          <w:lang w:val="x-none" w:eastAsia="x-none"/>
        </w:rPr>
        <w:t xml:space="preserve">Quadro </w:t>
      </w:r>
      <w:r w:rsidR="004D1D76" w:rsidRPr="004D1D76">
        <w:rPr>
          <w:rFonts w:eastAsia="Times New Roman" w:cs="Arial"/>
          <w:bCs/>
          <w:noProof/>
          <w:szCs w:val="24"/>
          <w:lang w:val="x-none" w:eastAsia="x-none"/>
        </w:rPr>
        <w:t>70</w:t>
      </w:r>
      <w:r w:rsidRPr="002538D7">
        <w:rPr>
          <w:rFonts w:cs="Arial"/>
          <w:szCs w:val="24"/>
          <w:lang w:eastAsia="pt-BR"/>
        </w:rPr>
        <w:fldChar w:fldCharType="end"/>
      </w:r>
      <w:r w:rsidRPr="002538D7">
        <w:rPr>
          <w:rFonts w:cs="Arial"/>
          <w:szCs w:val="24"/>
          <w:lang w:eastAsia="pt-BR"/>
        </w:rPr>
        <w:t>, indica-se as responsabilidades pela gestão dos diversos tipos de resíduos gerados no município.</w:t>
      </w:r>
    </w:p>
    <w:p w:rsidR="00EA58B8" w:rsidRPr="002538D7" w:rsidRDefault="00EA58B8" w:rsidP="002538D7">
      <w:pPr>
        <w:autoSpaceDE w:val="0"/>
        <w:autoSpaceDN w:val="0"/>
        <w:adjustRightInd w:val="0"/>
        <w:ind w:firstLine="709"/>
        <w:rPr>
          <w:rFonts w:cs="Arial"/>
          <w:szCs w:val="24"/>
          <w:lang w:eastAsia="pt-BR"/>
        </w:rPr>
      </w:pPr>
    </w:p>
    <w:p w:rsidR="002538D7" w:rsidRPr="00DD40CC" w:rsidRDefault="002538D7" w:rsidP="00B51A90">
      <w:pPr>
        <w:pStyle w:val="Legenda"/>
      </w:pPr>
      <w:bookmarkStart w:id="642" w:name="_Ref487710091"/>
      <w:bookmarkStart w:id="643" w:name="_Toc488825083"/>
      <w:bookmarkStart w:id="644" w:name="_Toc493151620"/>
      <w:bookmarkStart w:id="645" w:name="_Toc497469191"/>
      <w:r w:rsidRPr="00DD40CC">
        <w:lastRenderedPageBreak/>
        <w:t xml:space="preserve">Quadro </w:t>
      </w:r>
      <w:r w:rsidR="00D71C43">
        <w:fldChar w:fldCharType="begin"/>
      </w:r>
      <w:r w:rsidR="00D71C43">
        <w:instrText xml:space="preserve"> SEQ Quadro \* ARABIC \s 1 </w:instrText>
      </w:r>
      <w:r w:rsidR="00D71C43">
        <w:fldChar w:fldCharType="separate"/>
      </w:r>
      <w:r w:rsidR="004D1D76">
        <w:rPr>
          <w:noProof/>
        </w:rPr>
        <w:t>70</w:t>
      </w:r>
      <w:r w:rsidR="00D71C43">
        <w:rPr>
          <w:noProof/>
        </w:rPr>
        <w:fldChar w:fldCharType="end"/>
      </w:r>
      <w:bookmarkEnd w:id="642"/>
      <w:r w:rsidRPr="00DD40CC">
        <w:t xml:space="preserve"> - Resumo das responsabilidades na gestão dos resíduos sólidos</w:t>
      </w:r>
      <w:bookmarkEnd w:id="643"/>
      <w:bookmarkEnd w:id="644"/>
      <w:bookmarkEnd w:id="645"/>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3794"/>
        <w:gridCol w:w="4926"/>
      </w:tblGrid>
      <w:tr w:rsidR="002538D7" w:rsidRPr="00DD40CC" w:rsidTr="00642595">
        <w:trPr>
          <w:cantSplit/>
          <w:trHeight w:val="424"/>
          <w:tblHeader/>
          <w:jc w:val="center"/>
        </w:trPr>
        <w:tc>
          <w:tcPr>
            <w:tcW w:w="3794" w:type="dxa"/>
            <w:tcBorders>
              <w:top w:val="single" w:sz="8" w:space="0" w:color="000000"/>
              <w:left w:val="single" w:sz="8" w:space="0" w:color="000000"/>
              <w:bottom w:val="single" w:sz="18" w:space="0" w:color="000000"/>
              <w:right w:val="single" w:sz="8" w:space="0" w:color="000000"/>
            </w:tcBorders>
            <w:shd w:val="clear" w:color="auto" w:fill="auto"/>
            <w:vAlign w:val="center"/>
          </w:tcPr>
          <w:p w:rsidR="002538D7" w:rsidRPr="00DD40CC" w:rsidRDefault="002538D7" w:rsidP="00642595">
            <w:pPr>
              <w:spacing w:line="240" w:lineRule="auto"/>
              <w:contextualSpacing/>
              <w:jc w:val="center"/>
              <w:rPr>
                <w:rFonts w:cs="Arial"/>
                <w:b/>
                <w:bCs/>
                <w:sz w:val="20"/>
                <w:szCs w:val="20"/>
                <w:lang w:eastAsia="pt-BR"/>
              </w:rPr>
            </w:pPr>
            <w:r w:rsidRPr="00DD40CC">
              <w:rPr>
                <w:rFonts w:cs="Arial"/>
                <w:b/>
                <w:bCs/>
                <w:sz w:val="20"/>
                <w:szCs w:val="20"/>
                <w:lang w:eastAsia="pt-BR"/>
              </w:rPr>
              <w:t>PROCEDIMENTOS</w:t>
            </w:r>
            <w:r>
              <w:rPr>
                <w:rFonts w:cs="Arial"/>
                <w:b/>
                <w:bCs/>
                <w:sz w:val="20"/>
                <w:szCs w:val="20"/>
                <w:lang w:eastAsia="pt-BR"/>
              </w:rPr>
              <w:t xml:space="preserve"> (para implantação e/ou operacionalização)</w:t>
            </w:r>
          </w:p>
        </w:tc>
        <w:tc>
          <w:tcPr>
            <w:tcW w:w="4926" w:type="dxa"/>
            <w:tcBorders>
              <w:top w:val="single" w:sz="8" w:space="0" w:color="000000"/>
              <w:left w:val="single" w:sz="8" w:space="0" w:color="000000"/>
              <w:bottom w:val="single" w:sz="18" w:space="0" w:color="000000"/>
              <w:right w:val="single" w:sz="8" w:space="0" w:color="000000"/>
            </w:tcBorders>
            <w:shd w:val="clear" w:color="auto" w:fill="auto"/>
            <w:vAlign w:val="center"/>
          </w:tcPr>
          <w:p w:rsidR="002538D7" w:rsidRPr="00DD40CC" w:rsidRDefault="002538D7" w:rsidP="00642595">
            <w:pPr>
              <w:spacing w:line="240" w:lineRule="auto"/>
              <w:ind w:firstLine="709"/>
              <w:contextualSpacing/>
              <w:jc w:val="center"/>
              <w:rPr>
                <w:rFonts w:cs="Arial"/>
                <w:b/>
                <w:bCs/>
                <w:sz w:val="20"/>
                <w:szCs w:val="20"/>
                <w:lang w:eastAsia="pt-BR"/>
              </w:rPr>
            </w:pPr>
            <w:r w:rsidRPr="00DD40CC">
              <w:rPr>
                <w:rFonts w:cs="Arial"/>
                <w:b/>
                <w:bCs/>
                <w:sz w:val="20"/>
                <w:szCs w:val="20"/>
                <w:lang w:eastAsia="pt-BR"/>
              </w:rPr>
              <w:t>DETENTORES DA RESPONSABILIDADE</w:t>
            </w:r>
          </w:p>
        </w:tc>
      </w:tr>
      <w:tr w:rsidR="002538D7" w:rsidRPr="00DD40CC" w:rsidTr="00642595">
        <w:trPr>
          <w:cantSplit/>
          <w:jc w:val="center"/>
        </w:trPr>
        <w:tc>
          <w:tcPr>
            <w:tcW w:w="3794" w:type="dxa"/>
            <w:tcBorders>
              <w:top w:val="single" w:sz="8" w:space="0" w:color="000000"/>
              <w:left w:val="single" w:sz="8" w:space="0" w:color="000000"/>
              <w:bottom w:val="single" w:sz="8" w:space="0" w:color="000000"/>
              <w:right w:val="single" w:sz="8" w:space="0" w:color="000000"/>
            </w:tcBorders>
            <w:shd w:val="clear" w:color="auto" w:fill="D9D9D9"/>
            <w:vAlign w:val="center"/>
          </w:tcPr>
          <w:p w:rsidR="002538D7" w:rsidRPr="00DD40CC" w:rsidRDefault="002538D7" w:rsidP="00642595">
            <w:pPr>
              <w:spacing w:line="240" w:lineRule="auto"/>
              <w:contextualSpacing/>
              <w:jc w:val="left"/>
              <w:rPr>
                <w:rFonts w:cs="Arial"/>
                <w:bCs/>
                <w:sz w:val="20"/>
                <w:szCs w:val="20"/>
                <w:lang w:eastAsia="pt-BR"/>
              </w:rPr>
            </w:pPr>
            <w:r w:rsidRPr="00DD40CC">
              <w:rPr>
                <w:rFonts w:cs="Arial"/>
                <w:bCs/>
                <w:sz w:val="20"/>
                <w:szCs w:val="20"/>
                <w:lang w:eastAsia="pt-BR"/>
              </w:rPr>
              <w:t>Gestão integrada de resíduos sólidos gerados no território municipal.</w:t>
            </w:r>
          </w:p>
          <w:p w:rsidR="002538D7" w:rsidRPr="00DD40CC" w:rsidRDefault="002538D7" w:rsidP="00642595">
            <w:pPr>
              <w:spacing w:line="240" w:lineRule="auto"/>
              <w:contextualSpacing/>
              <w:jc w:val="left"/>
              <w:rPr>
                <w:rFonts w:cs="Arial"/>
                <w:bCs/>
                <w:sz w:val="20"/>
                <w:szCs w:val="20"/>
                <w:lang w:eastAsia="pt-BR"/>
              </w:rPr>
            </w:pPr>
          </w:p>
        </w:tc>
        <w:tc>
          <w:tcPr>
            <w:tcW w:w="4926" w:type="dxa"/>
            <w:tcBorders>
              <w:top w:val="single" w:sz="8" w:space="0" w:color="000000"/>
              <w:left w:val="single" w:sz="8" w:space="0" w:color="000000"/>
              <w:bottom w:val="single" w:sz="8" w:space="0" w:color="000000"/>
              <w:right w:val="single" w:sz="8" w:space="0" w:color="000000"/>
            </w:tcBorders>
            <w:shd w:val="clear" w:color="auto" w:fill="D9D9D9"/>
          </w:tcPr>
          <w:p w:rsidR="002538D7" w:rsidRPr="00DD40CC" w:rsidRDefault="002538D7" w:rsidP="00642595">
            <w:pPr>
              <w:spacing w:line="240" w:lineRule="auto"/>
              <w:contextualSpacing/>
              <w:rPr>
                <w:rFonts w:cs="Arial"/>
                <w:sz w:val="20"/>
                <w:szCs w:val="20"/>
                <w:lang w:eastAsia="pt-BR"/>
              </w:rPr>
            </w:pPr>
            <w:r w:rsidRPr="00DD40CC">
              <w:rPr>
                <w:rFonts w:cs="Arial"/>
                <w:sz w:val="20"/>
                <w:szCs w:val="20"/>
                <w:lang w:eastAsia="pt-BR"/>
              </w:rPr>
              <w:t xml:space="preserve">O Poder Público Municipal é o Titular dos serviços de gestão integrada de resíduos sólidos gerados no território municipal (podendo outorgar parcial ou integralmente a prestação de serviços através de diversas formas previstas por lei). </w:t>
            </w:r>
          </w:p>
          <w:p w:rsidR="002538D7" w:rsidRPr="00DD40CC" w:rsidRDefault="002538D7" w:rsidP="00642595">
            <w:pPr>
              <w:tabs>
                <w:tab w:val="left" w:pos="1140"/>
              </w:tabs>
              <w:spacing w:line="240" w:lineRule="auto"/>
              <w:contextualSpacing/>
              <w:rPr>
                <w:rFonts w:cs="Arial"/>
                <w:sz w:val="20"/>
                <w:szCs w:val="20"/>
                <w:lang w:eastAsia="pt-BR"/>
              </w:rPr>
            </w:pPr>
            <w:r w:rsidRPr="00DD40CC">
              <w:rPr>
                <w:rFonts w:cs="Arial"/>
                <w:sz w:val="20"/>
                <w:szCs w:val="20"/>
                <w:lang w:eastAsia="pt-BR"/>
              </w:rPr>
              <w:tab/>
            </w:r>
          </w:p>
          <w:p w:rsidR="002538D7" w:rsidRPr="00DD40CC" w:rsidRDefault="002538D7" w:rsidP="00642595">
            <w:pPr>
              <w:spacing w:line="240" w:lineRule="auto"/>
              <w:contextualSpacing/>
              <w:rPr>
                <w:rFonts w:cs="Arial"/>
                <w:sz w:val="20"/>
                <w:szCs w:val="20"/>
                <w:lang w:eastAsia="pt-BR"/>
              </w:rPr>
            </w:pPr>
            <w:r w:rsidRPr="00DD40CC">
              <w:rPr>
                <w:rFonts w:cs="Arial"/>
                <w:sz w:val="20"/>
                <w:szCs w:val="20"/>
                <w:lang w:eastAsia="pt-BR"/>
              </w:rPr>
              <w:t>Os prestadores passam a compartilhar com o Titular a responsabilidade pelas implicações sociais e ambientais dos serviços que prestam (art. 10 da Lei nº 11.305/10).</w:t>
            </w:r>
          </w:p>
        </w:tc>
      </w:tr>
      <w:tr w:rsidR="002538D7" w:rsidRPr="00DD40CC" w:rsidTr="00642595">
        <w:trPr>
          <w:cantSplit/>
          <w:jc w:val="center"/>
        </w:trPr>
        <w:tc>
          <w:tcPr>
            <w:tcW w:w="3794" w:type="dxa"/>
            <w:tcBorders>
              <w:top w:val="single" w:sz="8" w:space="0" w:color="000000"/>
              <w:left w:val="single" w:sz="8" w:space="0" w:color="000000"/>
              <w:bottom w:val="single" w:sz="8" w:space="0" w:color="000000"/>
              <w:right w:val="single" w:sz="8" w:space="0" w:color="000000"/>
            </w:tcBorders>
            <w:shd w:val="clear" w:color="auto" w:fill="auto"/>
            <w:vAlign w:val="center"/>
          </w:tcPr>
          <w:p w:rsidR="002538D7" w:rsidRPr="00DD40CC" w:rsidRDefault="002538D7" w:rsidP="00642595">
            <w:pPr>
              <w:spacing w:line="240" w:lineRule="auto"/>
              <w:contextualSpacing/>
              <w:jc w:val="left"/>
              <w:rPr>
                <w:rFonts w:cs="Arial"/>
                <w:bCs/>
                <w:sz w:val="20"/>
                <w:szCs w:val="20"/>
                <w:lang w:eastAsia="pt-BR"/>
              </w:rPr>
            </w:pPr>
            <w:r w:rsidRPr="00DD40CC">
              <w:rPr>
                <w:rFonts w:cs="Arial"/>
                <w:bCs/>
                <w:sz w:val="20"/>
                <w:szCs w:val="20"/>
                <w:lang w:eastAsia="pt-BR"/>
              </w:rPr>
              <w:t>Ações voltadas para assegurar a observância da Política Nacional de Resíduos Sólidos (incluindo ações relativas à responsabilidade compartilhada pelo ciclo de vida dos produtos).</w:t>
            </w:r>
          </w:p>
          <w:p w:rsidR="002538D7" w:rsidRPr="00DD40CC" w:rsidRDefault="002538D7" w:rsidP="00642595">
            <w:pPr>
              <w:spacing w:line="240" w:lineRule="auto"/>
              <w:contextualSpacing/>
              <w:jc w:val="left"/>
              <w:rPr>
                <w:rFonts w:cs="Arial"/>
                <w:bCs/>
                <w:sz w:val="20"/>
                <w:szCs w:val="20"/>
                <w:lang w:eastAsia="pt-BR"/>
              </w:rPr>
            </w:pPr>
          </w:p>
        </w:tc>
        <w:tc>
          <w:tcPr>
            <w:tcW w:w="4926" w:type="dxa"/>
            <w:tcBorders>
              <w:top w:val="single" w:sz="8" w:space="0" w:color="000000"/>
              <w:left w:val="single" w:sz="8" w:space="0" w:color="000000"/>
              <w:bottom w:val="single" w:sz="8" w:space="0" w:color="000000"/>
              <w:right w:val="single" w:sz="8" w:space="0" w:color="000000"/>
            </w:tcBorders>
            <w:shd w:val="clear" w:color="auto" w:fill="auto"/>
          </w:tcPr>
          <w:p w:rsidR="002538D7" w:rsidRPr="00DD40CC" w:rsidRDefault="002538D7" w:rsidP="00642595">
            <w:pPr>
              <w:spacing w:line="240" w:lineRule="auto"/>
              <w:contextualSpacing/>
              <w:rPr>
                <w:rFonts w:cs="Arial"/>
                <w:sz w:val="20"/>
                <w:szCs w:val="20"/>
                <w:lang w:eastAsia="pt-BR"/>
              </w:rPr>
            </w:pPr>
          </w:p>
          <w:p w:rsidR="002538D7" w:rsidRPr="00DD40CC" w:rsidRDefault="002538D7" w:rsidP="00642595">
            <w:pPr>
              <w:spacing w:line="240" w:lineRule="auto"/>
              <w:contextualSpacing/>
              <w:rPr>
                <w:rFonts w:cs="Arial"/>
                <w:sz w:val="20"/>
                <w:szCs w:val="20"/>
                <w:lang w:eastAsia="pt-BR"/>
              </w:rPr>
            </w:pPr>
            <w:r w:rsidRPr="00DD40CC">
              <w:rPr>
                <w:rFonts w:cs="Arial"/>
                <w:sz w:val="20"/>
                <w:szCs w:val="20"/>
                <w:lang w:eastAsia="pt-BR"/>
              </w:rPr>
              <w:t xml:space="preserve">Poder Público / setor empresarial / coletividade </w:t>
            </w:r>
          </w:p>
          <w:p w:rsidR="002538D7" w:rsidRPr="00DD40CC" w:rsidRDefault="002538D7" w:rsidP="00642595">
            <w:pPr>
              <w:spacing w:line="240" w:lineRule="auto"/>
              <w:ind w:firstLine="709"/>
              <w:contextualSpacing/>
              <w:rPr>
                <w:rFonts w:cs="Arial"/>
                <w:sz w:val="20"/>
                <w:szCs w:val="20"/>
                <w:lang w:eastAsia="pt-BR"/>
              </w:rPr>
            </w:pPr>
            <w:r w:rsidRPr="00DD40CC">
              <w:rPr>
                <w:rFonts w:cs="Arial"/>
                <w:sz w:val="20"/>
                <w:szCs w:val="20"/>
                <w:lang w:eastAsia="pt-BR"/>
              </w:rPr>
              <w:t>(art. 25 da Lei nº 11.305/10).</w:t>
            </w:r>
          </w:p>
        </w:tc>
      </w:tr>
      <w:tr w:rsidR="002538D7" w:rsidRPr="00DD40CC" w:rsidTr="00642595">
        <w:trPr>
          <w:cantSplit/>
          <w:jc w:val="center"/>
        </w:trPr>
        <w:tc>
          <w:tcPr>
            <w:tcW w:w="3794" w:type="dxa"/>
            <w:tcBorders>
              <w:top w:val="single" w:sz="8" w:space="0" w:color="000000"/>
              <w:left w:val="single" w:sz="8" w:space="0" w:color="000000"/>
              <w:right w:val="single" w:sz="8" w:space="0" w:color="000000"/>
            </w:tcBorders>
            <w:shd w:val="clear" w:color="auto" w:fill="D9D9D9"/>
            <w:vAlign w:val="center"/>
          </w:tcPr>
          <w:p w:rsidR="002538D7" w:rsidRPr="00DD40CC" w:rsidRDefault="002538D7" w:rsidP="00642595">
            <w:pPr>
              <w:spacing w:line="240" w:lineRule="auto"/>
              <w:contextualSpacing/>
              <w:jc w:val="left"/>
              <w:rPr>
                <w:rFonts w:cs="Arial"/>
                <w:bCs/>
                <w:sz w:val="20"/>
                <w:szCs w:val="20"/>
                <w:lang w:eastAsia="pt-BR"/>
              </w:rPr>
            </w:pPr>
            <w:r w:rsidRPr="00DD40CC">
              <w:rPr>
                <w:rFonts w:cs="Arial"/>
                <w:bCs/>
                <w:sz w:val="20"/>
                <w:szCs w:val="20"/>
                <w:lang w:eastAsia="pt-BR"/>
              </w:rPr>
              <w:t>Gerenciamento dos resíduos:</w:t>
            </w:r>
          </w:p>
          <w:p w:rsidR="002538D7" w:rsidRPr="00DD40CC" w:rsidRDefault="002538D7" w:rsidP="00642595">
            <w:pPr>
              <w:spacing w:line="240" w:lineRule="auto"/>
              <w:contextualSpacing/>
              <w:jc w:val="left"/>
              <w:rPr>
                <w:rFonts w:cs="Arial"/>
                <w:bCs/>
                <w:sz w:val="20"/>
                <w:szCs w:val="20"/>
                <w:lang w:eastAsia="pt-BR"/>
              </w:rPr>
            </w:pPr>
          </w:p>
          <w:p w:rsidR="002538D7" w:rsidRPr="00DD40CC" w:rsidRDefault="002538D7" w:rsidP="00642595">
            <w:pPr>
              <w:spacing w:line="240" w:lineRule="auto"/>
              <w:contextualSpacing/>
              <w:jc w:val="left"/>
              <w:rPr>
                <w:rFonts w:cs="Arial"/>
                <w:bCs/>
                <w:sz w:val="20"/>
                <w:szCs w:val="20"/>
                <w:lang w:eastAsia="pt-BR"/>
              </w:rPr>
            </w:pPr>
            <w:r w:rsidRPr="00DD40CC">
              <w:rPr>
                <w:rFonts w:cs="Arial"/>
                <w:bCs/>
                <w:sz w:val="20"/>
                <w:szCs w:val="20"/>
                <w:lang w:eastAsia="pt-BR"/>
              </w:rPr>
              <w:t xml:space="preserve">Resíduos sólidos domésticos, comerciais e institucionais (RSUs). </w:t>
            </w:r>
          </w:p>
          <w:p w:rsidR="002538D7" w:rsidRPr="00DD40CC" w:rsidRDefault="002538D7" w:rsidP="00642595">
            <w:pPr>
              <w:spacing w:line="240" w:lineRule="auto"/>
              <w:contextualSpacing/>
              <w:jc w:val="left"/>
              <w:rPr>
                <w:rFonts w:cs="Arial"/>
                <w:bCs/>
                <w:sz w:val="20"/>
                <w:szCs w:val="20"/>
                <w:lang w:eastAsia="pt-BR"/>
              </w:rPr>
            </w:pPr>
          </w:p>
          <w:p w:rsidR="002538D7" w:rsidRPr="00DD40CC" w:rsidRDefault="002538D7" w:rsidP="00642595">
            <w:pPr>
              <w:spacing w:line="240" w:lineRule="auto"/>
              <w:contextualSpacing/>
              <w:jc w:val="left"/>
              <w:rPr>
                <w:rFonts w:cs="Arial"/>
                <w:bCs/>
                <w:sz w:val="20"/>
                <w:szCs w:val="20"/>
                <w:lang w:eastAsia="pt-BR"/>
              </w:rPr>
            </w:pPr>
            <w:r w:rsidRPr="00DD40CC">
              <w:rPr>
                <w:rFonts w:cs="Arial"/>
                <w:bCs/>
                <w:sz w:val="20"/>
                <w:szCs w:val="20"/>
                <w:lang w:eastAsia="pt-BR"/>
              </w:rPr>
              <w:t xml:space="preserve">Resíduos de Serviços de Saúde (RSSs) gerados em estabelecimentos públicos. </w:t>
            </w:r>
          </w:p>
          <w:p w:rsidR="002538D7" w:rsidRPr="00DD40CC" w:rsidRDefault="002538D7" w:rsidP="00642595">
            <w:pPr>
              <w:spacing w:line="240" w:lineRule="auto"/>
              <w:contextualSpacing/>
              <w:jc w:val="left"/>
              <w:rPr>
                <w:rFonts w:cs="Arial"/>
                <w:bCs/>
                <w:sz w:val="20"/>
                <w:szCs w:val="20"/>
                <w:lang w:eastAsia="pt-BR"/>
              </w:rPr>
            </w:pPr>
          </w:p>
          <w:p w:rsidR="002538D7" w:rsidRPr="00DD40CC" w:rsidRDefault="002538D7" w:rsidP="00642595">
            <w:pPr>
              <w:spacing w:line="240" w:lineRule="auto"/>
              <w:contextualSpacing/>
              <w:jc w:val="left"/>
              <w:rPr>
                <w:rFonts w:cs="Arial"/>
                <w:bCs/>
                <w:sz w:val="20"/>
                <w:szCs w:val="20"/>
                <w:lang w:eastAsia="pt-BR"/>
              </w:rPr>
            </w:pPr>
            <w:r w:rsidRPr="00DD40CC">
              <w:rPr>
                <w:rFonts w:cs="Arial"/>
                <w:bCs/>
                <w:sz w:val="20"/>
                <w:szCs w:val="20"/>
                <w:lang w:eastAsia="pt-BR"/>
              </w:rPr>
              <w:t>Resíduos da Construção Civil (RCCs) gerados em obras públicas.</w:t>
            </w:r>
          </w:p>
          <w:p w:rsidR="002538D7" w:rsidRPr="00DD40CC" w:rsidRDefault="002538D7" w:rsidP="00642595">
            <w:pPr>
              <w:spacing w:line="240" w:lineRule="auto"/>
              <w:contextualSpacing/>
              <w:jc w:val="left"/>
              <w:rPr>
                <w:rFonts w:cs="Arial"/>
                <w:bCs/>
                <w:sz w:val="20"/>
                <w:szCs w:val="20"/>
                <w:lang w:eastAsia="pt-BR"/>
              </w:rPr>
            </w:pPr>
          </w:p>
          <w:p w:rsidR="002538D7" w:rsidRPr="00DD40CC" w:rsidRDefault="002538D7" w:rsidP="00642595">
            <w:pPr>
              <w:spacing w:line="240" w:lineRule="auto"/>
              <w:contextualSpacing/>
              <w:jc w:val="left"/>
              <w:rPr>
                <w:rFonts w:cs="Arial"/>
                <w:bCs/>
                <w:sz w:val="20"/>
                <w:szCs w:val="20"/>
                <w:lang w:eastAsia="pt-BR"/>
              </w:rPr>
            </w:pPr>
            <w:r w:rsidRPr="00DD40CC">
              <w:rPr>
                <w:rFonts w:cs="Arial"/>
                <w:bCs/>
                <w:iCs/>
                <w:sz w:val="20"/>
                <w:szCs w:val="20"/>
                <w:lang w:eastAsia="pt-BR"/>
              </w:rPr>
              <w:t>Resíduos dos serviços públicos de Saneamento Básico.</w:t>
            </w:r>
          </w:p>
        </w:tc>
        <w:tc>
          <w:tcPr>
            <w:tcW w:w="4926" w:type="dxa"/>
            <w:tcBorders>
              <w:top w:val="single" w:sz="8" w:space="0" w:color="000000"/>
              <w:left w:val="single" w:sz="8" w:space="0" w:color="000000"/>
              <w:bottom w:val="single" w:sz="8" w:space="0" w:color="000000"/>
              <w:right w:val="single" w:sz="8" w:space="0" w:color="000000"/>
            </w:tcBorders>
            <w:shd w:val="clear" w:color="auto" w:fill="D9D9D9"/>
          </w:tcPr>
          <w:p w:rsidR="002538D7" w:rsidRPr="00DD40CC" w:rsidRDefault="002538D7" w:rsidP="00642595">
            <w:pPr>
              <w:spacing w:line="240" w:lineRule="auto"/>
              <w:contextualSpacing/>
              <w:rPr>
                <w:rFonts w:cs="Arial"/>
                <w:sz w:val="20"/>
                <w:szCs w:val="20"/>
                <w:lang w:eastAsia="pt-BR"/>
              </w:rPr>
            </w:pPr>
            <w:r w:rsidRPr="00DD40CC">
              <w:rPr>
                <w:rFonts w:cs="Arial"/>
                <w:sz w:val="20"/>
                <w:szCs w:val="20"/>
                <w:u w:val="single"/>
                <w:lang w:eastAsia="pt-BR"/>
              </w:rPr>
              <w:t>Para RSU</w:t>
            </w:r>
            <w:r w:rsidRPr="00DD40CC">
              <w:rPr>
                <w:rFonts w:cs="Arial"/>
                <w:sz w:val="20"/>
                <w:szCs w:val="20"/>
                <w:lang w:eastAsia="pt-BR"/>
              </w:rPr>
              <w:t>: Administração Municipal através de suas secretarias/prestadores de serviços/cooperativas.</w:t>
            </w:r>
          </w:p>
          <w:p w:rsidR="002538D7" w:rsidRPr="00DD40CC" w:rsidRDefault="002538D7" w:rsidP="00642595">
            <w:pPr>
              <w:spacing w:line="240" w:lineRule="auto"/>
              <w:contextualSpacing/>
              <w:rPr>
                <w:rFonts w:cs="Arial"/>
                <w:sz w:val="20"/>
                <w:szCs w:val="20"/>
                <w:lang w:eastAsia="pt-BR"/>
              </w:rPr>
            </w:pPr>
          </w:p>
          <w:p w:rsidR="002538D7" w:rsidRPr="00DD40CC" w:rsidRDefault="002538D7" w:rsidP="00642595">
            <w:pPr>
              <w:spacing w:line="240" w:lineRule="auto"/>
              <w:contextualSpacing/>
              <w:rPr>
                <w:rFonts w:cs="Arial"/>
                <w:sz w:val="20"/>
                <w:szCs w:val="20"/>
                <w:lang w:eastAsia="pt-BR"/>
              </w:rPr>
            </w:pPr>
            <w:r w:rsidRPr="00DD40CC">
              <w:rPr>
                <w:rFonts w:cs="Arial"/>
                <w:sz w:val="20"/>
                <w:szCs w:val="20"/>
                <w:u w:val="single"/>
                <w:lang w:eastAsia="pt-BR"/>
              </w:rPr>
              <w:t>Para RSS</w:t>
            </w:r>
            <w:r w:rsidRPr="00DD40CC">
              <w:rPr>
                <w:rFonts w:cs="Arial"/>
                <w:sz w:val="20"/>
                <w:szCs w:val="20"/>
                <w:lang w:eastAsia="pt-BR"/>
              </w:rPr>
              <w:t>: estabelecimentos públicos de saúde devem elaborar PGRS e submetê-lo à Prefeitura Municipal anualmente / Prefeitura encarrega-se de exigir os PGRS.</w:t>
            </w:r>
          </w:p>
          <w:p w:rsidR="002538D7" w:rsidRPr="00DD40CC" w:rsidRDefault="002538D7" w:rsidP="00642595">
            <w:pPr>
              <w:spacing w:line="240" w:lineRule="auto"/>
              <w:contextualSpacing/>
              <w:rPr>
                <w:rFonts w:cs="Arial"/>
                <w:sz w:val="20"/>
                <w:szCs w:val="20"/>
                <w:lang w:eastAsia="pt-BR"/>
              </w:rPr>
            </w:pPr>
          </w:p>
          <w:p w:rsidR="002538D7" w:rsidRPr="00DD40CC" w:rsidRDefault="002538D7" w:rsidP="00642595">
            <w:pPr>
              <w:spacing w:line="240" w:lineRule="auto"/>
              <w:contextualSpacing/>
              <w:rPr>
                <w:rFonts w:cs="Arial"/>
                <w:sz w:val="20"/>
                <w:szCs w:val="20"/>
                <w:lang w:eastAsia="pt-BR"/>
              </w:rPr>
            </w:pPr>
            <w:r w:rsidRPr="00DD40CC">
              <w:rPr>
                <w:rFonts w:cs="Arial"/>
                <w:sz w:val="20"/>
                <w:szCs w:val="20"/>
                <w:u w:val="single"/>
                <w:lang w:eastAsia="pt-BR"/>
              </w:rPr>
              <w:t>Para RCC</w:t>
            </w:r>
            <w:r w:rsidRPr="00DD40CC">
              <w:rPr>
                <w:rFonts w:cs="Arial"/>
                <w:sz w:val="20"/>
                <w:szCs w:val="20"/>
                <w:lang w:eastAsia="pt-BR"/>
              </w:rPr>
              <w:t>: os geradores, mesmo que públicos, devem atender aos dispositivos da Resolução CONAMA 307/02.</w:t>
            </w:r>
          </w:p>
          <w:p w:rsidR="002538D7" w:rsidRPr="00DD40CC" w:rsidRDefault="002538D7" w:rsidP="00642595">
            <w:pPr>
              <w:spacing w:line="240" w:lineRule="auto"/>
              <w:ind w:left="34"/>
              <w:contextualSpacing/>
              <w:rPr>
                <w:rFonts w:cs="Arial"/>
                <w:iCs/>
                <w:sz w:val="20"/>
                <w:szCs w:val="20"/>
                <w:lang w:eastAsia="pt-BR"/>
              </w:rPr>
            </w:pPr>
            <w:r w:rsidRPr="00DD40CC">
              <w:rPr>
                <w:rFonts w:cs="Arial"/>
                <w:iCs/>
                <w:sz w:val="20"/>
                <w:szCs w:val="20"/>
                <w:lang w:eastAsia="pt-BR"/>
              </w:rPr>
              <w:t>O Poder Público Municipal deve fazer o cadastramento de áreas, públicas ou privadas, aptas para recebimento, triagem e armazenamento temporário de pequenos volumes, em conformidade com o porte da área urbana municipal, possibilitando a destinação posterior dos resíduos oriundos de pequenos geradores às áreas de beneficiamento de RCCs.</w:t>
            </w:r>
          </w:p>
          <w:p w:rsidR="002538D7" w:rsidRPr="00DD40CC" w:rsidRDefault="002538D7" w:rsidP="00642595">
            <w:pPr>
              <w:spacing w:line="240" w:lineRule="auto"/>
              <w:ind w:left="34"/>
              <w:contextualSpacing/>
              <w:rPr>
                <w:rFonts w:cs="Arial"/>
                <w:iCs/>
                <w:sz w:val="20"/>
                <w:szCs w:val="20"/>
                <w:lang w:eastAsia="pt-BR"/>
              </w:rPr>
            </w:pPr>
          </w:p>
          <w:p w:rsidR="002538D7" w:rsidRPr="00DD40CC" w:rsidRDefault="002538D7" w:rsidP="00642595">
            <w:pPr>
              <w:spacing w:line="240" w:lineRule="auto"/>
              <w:ind w:left="34"/>
              <w:contextualSpacing/>
              <w:rPr>
                <w:rFonts w:cs="Arial"/>
                <w:iCs/>
                <w:sz w:val="20"/>
                <w:szCs w:val="20"/>
                <w:lang w:eastAsia="pt-BR"/>
              </w:rPr>
            </w:pPr>
            <w:r w:rsidRPr="00DD40CC">
              <w:rPr>
                <w:rFonts w:cs="Arial"/>
                <w:iCs/>
                <w:sz w:val="20"/>
                <w:szCs w:val="20"/>
                <w:u w:val="single"/>
                <w:lang w:eastAsia="pt-BR"/>
              </w:rPr>
              <w:t>Para resíduos de ETA e ETE</w:t>
            </w:r>
            <w:r w:rsidRPr="00DD40CC">
              <w:rPr>
                <w:rFonts w:cs="Arial"/>
                <w:iCs/>
                <w:sz w:val="20"/>
                <w:szCs w:val="20"/>
                <w:lang w:eastAsia="pt-BR"/>
              </w:rPr>
              <w:t>: o Poder Público deve encaminhar os resíduos para aterros sanitários licenciados ou outra destinação em conformidade com a legislação ambiental.</w:t>
            </w:r>
          </w:p>
          <w:p w:rsidR="002538D7" w:rsidRPr="00DD40CC" w:rsidRDefault="002538D7" w:rsidP="00642595">
            <w:pPr>
              <w:spacing w:line="240" w:lineRule="auto"/>
              <w:contextualSpacing/>
              <w:rPr>
                <w:rFonts w:cs="Arial"/>
                <w:sz w:val="20"/>
                <w:szCs w:val="20"/>
                <w:lang w:eastAsia="pt-BR"/>
              </w:rPr>
            </w:pPr>
          </w:p>
        </w:tc>
      </w:tr>
      <w:tr w:rsidR="002538D7" w:rsidRPr="00DD40CC" w:rsidTr="00642595">
        <w:trPr>
          <w:cantSplit/>
          <w:jc w:val="center"/>
        </w:trPr>
        <w:tc>
          <w:tcPr>
            <w:tcW w:w="3794" w:type="dxa"/>
            <w:tcBorders>
              <w:top w:val="single" w:sz="8" w:space="0" w:color="000000"/>
              <w:left w:val="single" w:sz="8" w:space="0" w:color="000000"/>
              <w:bottom w:val="single" w:sz="8" w:space="0" w:color="000000"/>
              <w:right w:val="single" w:sz="8" w:space="0" w:color="000000"/>
            </w:tcBorders>
            <w:shd w:val="clear" w:color="auto" w:fill="auto"/>
            <w:vAlign w:val="center"/>
          </w:tcPr>
          <w:p w:rsidR="002538D7" w:rsidRPr="00DD40CC" w:rsidRDefault="002538D7" w:rsidP="00642595">
            <w:pPr>
              <w:spacing w:line="240" w:lineRule="auto"/>
              <w:contextualSpacing/>
              <w:jc w:val="left"/>
              <w:rPr>
                <w:rFonts w:cs="Arial"/>
                <w:bCs/>
                <w:sz w:val="20"/>
                <w:szCs w:val="20"/>
                <w:lang w:eastAsia="pt-BR"/>
              </w:rPr>
            </w:pPr>
            <w:r w:rsidRPr="00DD40CC">
              <w:rPr>
                <w:rFonts w:cs="Arial"/>
                <w:bCs/>
                <w:sz w:val="20"/>
                <w:szCs w:val="20"/>
                <w:lang w:eastAsia="pt-BR"/>
              </w:rPr>
              <w:lastRenderedPageBreak/>
              <w:t>Gerenciamento de resíduos particulares:</w:t>
            </w:r>
          </w:p>
          <w:p w:rsidR="002538D7" w:rsidRPr="00DD40CC" w:rsidRDefault="002538D7" w:rsidP="00642595">
            <w:pPr>
              <w:spacing w:line="240" w:lineRule="auto"/>
              <w:contextualSpacing/>
              <w:jc w:val="left"/>
              <w:rPr>
                <w:rFonts w:cs="Arial"/>
                <w:bCs/>
                <w:sz w:val="20"/>
                <w:szCs w:val="20"/>
                <w:lang w:eastAsia="pt-BR"/>
              </w:rPr>
            </w:pPr>
          </w:p>
          <w:p w:rsidR="002538D7" w:rsidRPr="00DD40CC" w:rsidRDefault="002538D7" w:rsidP="002538D7">
            <w:pPr>
              <w:numPr>
                <w:ilvl w:val="0"/>
                <w:numId w:val="14"/>
              </w:numPr>
              <w:spacing w:line="240" w:lineRule="auto"/>
              <w:ind w:left="284" w:hanging="142"/>
              <w:contextualSpacing/>
              <w:jc w:val="left"/>
              <w:rPr>
                <w:rFonts w:cs="Arial"/>
                <w:bCs/>
                <w:iCs/>
                <w:sz w:val="20"/>
                <w:szCs w:val="20"/>
                <w:lang w:eastAsia="pt-BR"/>
              </w:rPr>
            </w:pPr>
            <w:r w:rsidRPr="00DD40CC">
              <w:rPr>
                <w:rFonts w:cs="Arial"/>
                <w:bCs/>
                <w:iCs/>
                <w:sz w:val="20"/>
                <w:szCs w:val="20"/>
                <w:lang w:eastAsia="pt-BR"/>
              </w:rPr>
              <w:t>Resíduos industriais.</w:t>
            </w:r>
          </w:p>
          <w:p w:rsidR="002538D7" w:rsidRPr="00DD40CC" w:rsidRDefault="002538D7" w:rsidP="002538D7">
            <w:pPr>
              <w:numPr>
                <w:ilvl w:val="0"/>
                <w:numId w:val="14"/>
              </w:numPr>
              <w:spacing w:line="240" w:lineRule="auto"/>
              <w:ind w:left="284" w:hanging="142"/>
              <w:contextualSpacing/>
              <w:jc w:val="left"/>
              <w:rPr>
                <w:rFonts w:cs="Arial"/>
                <w:bCs/>
                <w:iCs/>
                <w:sz w:val="20"/>
                <w:szCs w:val="20"/>
                <w:lang w:eastAsia="pt-BR"/>
              </w:rPr>
            </w:pPr>
            <w:r w:rsidRPr="00DD40CC">
              <w:rPr>
                <w:rFonts w:cs="Arial"/>
                <w:bCs/>
                <w:iCs/>
                <w:sz w:val="20"/>
                <w:szCs w:val="20"/>
                <w:lang w:eastAsia="pt-BR"/>
              </w:rPr>
              <w:t>Resíduos de serviços de saúde.</w:t>
            </w:r>
          </w:p>
          <w:p w:rsidR="002538D7" w:rsidRPr="00DD40CC" w:rsidRDefault="002538D7" w:rsidP="002538D7">
            <w:pPr>
              <w:numPr>
                <w:ilvl w:val="0"/>
                <w:numId w:val="14"/>
              </w:numPr>
              <w:spacing w:line="240" w:lineRule="auto"/>
              <w:ind w:left="284" w:hanging="142"/>
              <w:contextualSpacing/>
              <w:jc w:val="left"/>
              <w:rPr>
                <w:rFonts w:cs="Arial"/>
                <w:bCs/>
                <w:iCs/>
                <w:sz w:val="20"/>
                <w:szCs w:val="20"/>
                <w:lang w:eastAsia="pt-BR"/>
              </w:rPr>
            </w:pPr>
            <w:r w:rsidRPr="00DD40CC">
              <w:rPr>
                <w:rFonts w:cs="Arial"/>
                <w:bCs/>
                <w:iCs/>
                <w:sz w:val="20"/>
                <w:szCs w:val="20"/>
                <w:lang w:eastAsia="pt-BR"/>
              </w:rPr>
              <w:t>Resíduos de mineração.</w:t>
            </w:r>
          </w:p>
          <w:p w:rsidR="002538D7" w:rsidRPr="00DD40CC" w:rsidRDefault="002538D7" w:rsidP="002538D7">
            <w:pPr>
              <w:numPr>
                <w:ilvl w:val="0"/>
                <w:numId w:val="14"/>
              </w:numPr>
              <w:spacing w:line="240" w:lineRule="auto"/>
              <w:ind w:left="284" w:hanging="142"/>
              <w:contextualSpacing/>
              <w:jc w:val="left"/>
              <w:rPr>
                <w:rFonts w:cs="Arial"/>
                <w:bCs/>
                <w:iCs/>
                <w:sz w:val="20"/>
                <w:szCs w:val="20"/>
                <w:lang w:eastAsia="pt-BR"/>
              </w:rPr>
            </w:pPr>
            <w:r w:rsidRPr="00DD40CC">
              <w:rPr>
                <w:rFonts w:cs="Arial"/>
                <w:bCs/>
                <w:iCs/>
                <w:sz w:val="20"/>
                <w:szCs w:val="20"/>
                <w:lang w:eastAsia="pt-BR"/>
              </w:rPr>
              <w:t>Resíduos perigosos.</w:t>
            </w:r>
          </w:p>
          <w:p w:rsidR="002538D7" w:rsidRPr="00DD40CC" w:rsidRDefault="002538D7" w:rsidP="002538D7">
            <w:pPr>
              <w:numPr>
                <w:ilvl w:val="0"/>
                <w:numId w:val="14"/>
              </w:numPr>
              <w:spacing w:line="240" w:lineRule="auto"/>
              <w:ind w:left="284" w:hanging="142"/>
              <w:contextualSpacing/>
              <w:jc w:val="left"/>
              <w:rPr>
                <w:rFonts w:cs="Arial"/>
                <w:bCs/>
                <w:iCs/>
                <w:sz w:val="20"/>
                <w:szCs w:val="20"/>
                <w:lang w:eastAsia="pt-BR"/>
              </w:rPr>
            </w:pPr>
            <w:r w:rsidRPr="00DD40CC">
              <w:rPr>
                <w:rFonts w:cs="Arial"/>
                <w:bCs/>
                <w:iCs/>
                <w:sz w:val="20"/>
                <w:szCs w:val="20"/>
                <w:lang w:eastAsia="pt-BR"/>
              </w:rPr>
              <w:t>Resíduos que não sejam compatíveis com as coletas sob responsabilidade do Poder Público Municipal (por seu volume, natureza ou composição).</w:t>
            </w:r>
          </w:p>
          <w:p w:rsidR="002538D7" w:rsidRPr="00DD40CC" w:rsidRDefault="002538D7" w:rsidP="002538D7">
            <w:pPr>
              <w:numPr>
                <w:ilvl w:val="0"/>
                <w:numId w:val="14"/>
              </w:numPr>
              <w:spacing w:line="240" w:lineRule="auto"/>
              <w:ind w:left="284" w:hanging="142"/>
              <w:contextualSpacing/>
              <w:jc w:val="left"/>
              <w:rPr>
                <w:rFonts w:cs="Arial"/>
                <w:bCs/>
                <w:sz w:val="20"/>
                <w:szCs w:val="20"/>
                <w:lang w:eastAsia="pt-BR"/>
              </w:rPr>
            </w:pPr>
            <w:r w:rsidRPr="00DD40CC">
              <w:rPr>
                <w:rFonts w:cs="Arial"/>
                <w:bCs/>
                <w:iCs/>
                <w:sz w:val="20"/>
                <w:szCs w:val="20"/>
                <w:lang w:eastAsia="pt-BR"/>
              </w:rPr>
              <w:t>Resíduos de construção civil.</w:t>
            </w:r>
          </w:p>
          <w:p w:rsidR="002538D7" w:rsidRPr="00DD40CC" w:rsidRDefault="002538D7" w:rsidP="002538D7">
            <w:pPr>
              <w:numPr>
                <w:ilvl w:val="0"/>
                <w:numId w:val="14"/>
              </w:numPr>
              <w:spacing w:line="240" w:lineRule="auto"/>
              <w:ind w:left="284" w:hanging="142"/>
              <w:contextualSpacing/>
              <w:jc w:val="left"/>
              <w:rPr>
                <w:rFonts w:cs="Arial"/>
                <w:bCs/>
                <w:sz w:val="20"/>
                <w:szCs w:val="20"/>
                <w:lang w:eastAsia="pt-BR"/>
              </w:rPr>
            </w:pPr>
            <w:r w:rsidRPr="00DD40CC">
              <w:rPr>
                <w:rFonts w:cs="Arial"/>
                <w:bCs/>
                <w:sz w:val="20"/>
                <w:szCs w:val="20"/>
                <w:lang w:eastAsia="pt-BR"/>
              </w:rPr>
              <w:t>Resíduos de serviços de transporte.</w:t>
            </w:r>
          </w:p>
        </w:tc>
        <w:tc>
          <w:tcPr>
            <w:tcW w:w="4926" w:type="dxa"/>
            <w:tcBorders>
              <w:top w:val="single" w:sz="8" w:space="0" w:color="000000"/>
              <w:left w:val="single" w:sz="8" w:space="0" w:color="000000"/>
              <w:bottom w:val="single" w:sz="8" w:space="0" w:color="000000"/>
              <w:right w:val="single" w:sz="8" w:space="0" w:color="000000"/>
            </w:tcBorders>
            <w:shd w:val="clear" w:color="auto" w:fill="auto"/>
          </w:tcPr>
          <w:p w:rsidR="002538D7" w:rsidRPr="00DD40CC" w:rsidRDefault="002538D7" w:rsidP="00642595">
            <w:pPr>
              <w:spacing w:line="240" w:lineRule="auto"/>
              <w:contextualSpacing/>
              <w:rPr>
                <w:rFonts w:cs="Arial"/>
                <w:sz w:val="20"/>
                <w:szCs w:val="20"/>
                <w:lang w:eastAsia="pt-BR"/>
              </w:rPr>
            </w:pPr>
            <w:r w:rsidRPr="00DD40CC">
              <w:rPr>
                <w:rFonts w:cs="Arial"/>
                <w:sz w:val="20"/>
                <w:szCs w:val="20"/>
                <w:lang w:eastAsia="pt-BR"/>
              </w:rPr>
              <w:t>O gerador privado deve:</w:t>
            </w:r>
          </w:p>
          <w:p w:rsidR="002538D7" w:rsidRPr="00DD40CC" w:rsidRDefault="002538D7" w:rsidP="00642595">
            <w:pPr>
              <w:spacing w:line="240" w:lineRule="auto"/>
              <w:contextualSpacing/>
              <w:rPr>
                <w:rFonts w:cs="Arial"/>
                <w:sz w:val="20"/>
                <w:szCs w:val="20"/>
                <w:lang w:eastAsia="pt-BR"/>
              </w:rPr>
            </w:pPr>
          </w:p>
          <w:p w:rsidR="002538D7" w:rsidRPr="00DD40CC" w:rsidRDefault="002538D7" w:rsidP="00642595">
            <w:pPr>
              <w:spacing w:line="240" w:lineRule="auto"/>
              <w:contextualSpacing/>
              <w:rPr>
                <w:rFonts w:cs="Arial"/>
                <w:sz w:val="20"/>
                <w:szCs w:val="20"/>
                <w:lang w:eastAsia="pt-BR"/>
              </w:rPr>
            </w:pPr>
            <w:r w:rsidRPr="00DD40CC">
              <w:rPr>
                <w:rFonts w:cs="Arial"/>
                <w:sz w:val="20"/>
                <w:szCs w:val="20"/>
                <w:lang w:eastAsia="pt-BR"/>
              </w:rPr>
              <w:t>Responsabilizar-se pela gestão de seus resíduos (acondicionamento, transporte, processamento ou tratamento e disposição final).</w:t>
            </w:r>
          </w:p>
          <w:p w:rsidR="002538D7" w:rsidRPr="00DD40CC" w:rsidRDefault="002538D7" w:rsidP="00642595">
            <w:pPr>
              <w:spacing w:line="240" w:lineRule="auto"/>
              <w:contextualSpacing/>
              <w:rPr>
                <w:rFonts w:cs="Arial"/>
                <w:sz w:val="20"/>
                <w:szCs w:val="20"/>
                <w:lang w:eastAsia="pt-BR"/>
              </w:rPr>
            </w:pPr>
          </w:p>
          <w:p w:rsidR="002538D7" w:rsidRPr="00DD40CC" w:rsidRDefault="002538D7" w:rsidP="00642595">
            <w:pPr>
              <w:spacing w:line="240" w:lineRule="auto"/>
              <w:contextualSpacing/>
              <w:rPr>
                <w:rFonts w:cs="Arial"/>
                <w:sz w:val="20"/>
                <w:szCs w:val="20"/>
                <w:lang w:eastAsia="pt-BR"/>
              </w:rPr>
            </w:pPr>
            <w:r w:rsidRPr="00DD40CC">
              <w:rPr>
                <w:rFonts w:cs="Arial"/>
                <w:sz w:val="20"/>
                <w:szCs w:val="20"/>
                <w:lang w:eastAsia="pt-BR"/>
              </w:rPr>
              <w:t>Elaborar o PGRS (com designação de um responsável técnico devidamente habilitado) e submeter à Prefeitura Municipal anualmente.</w:t>
            </w:r>
          </w:p>
          <w:p w:rsidR="002538D7" w:rsidRPr="00DD40CC" w:rsidRDefault="002538D7" w:rsidP="00642595">
            <w:pPr>
              <w:spacing w:line="240" w:lineRule="auto"/>
              <w:contextualSpacing/>
              <w:rPr>
                <w:rFonts w:cs="Arial"/>
                <w:sz w:val="20"/>
                <w:szCs w:val="20"/>
                <w:lang w:eastAsia="pt-BR"/>
              </w:rPr>
            </w:pPr>
          </w:p>
          <w:p w:rsidR="002538D7" w:rsidRPr="00DD40CC" w:rsidRDefault="002538D7" w:rsidP="00642595">
            <w:pPr>
              <w:spacing w:line="240" w:lineRule="auto"/>
              <w:contextualSpacing/>
              <w:rPr>
                <w:rFonts w:cs="Arial"/>
                <w:sz w:val="20"/>
                <w:szCs w:val="20"/>
                <w:lang w:eastAsia="pt-BR"/>
              </w:rPr>
            </w:pPr>
            <w:r w:rsidRPr="00DD40CC">
              <w:rPr>
                <w:rFonts w:cs="Arial"/>
                <w:sz w:val="20"/>
                <w:szCs w:val="20"/>
                <w:lang w:eastAsia="pt-BR"/>
              </w:rPr>
              <w:t>Apresentar aos órgãos licenciadores do SISNAMA o seu PGRS a cada oportunidade de renovação das licenças ambientais e à Prefeitura em conformidade com a legislação municipal.</w:t>
            </w:r>
          </w:p>
          <w:p w:rsidR="002538D7" w:rsidRPr="00DD40CC" w:rsidRDefault="002538D7" w:rsidP="00642595">
            <w:pPr>
              <w:spacing w:line="240" w:lineRule="auto"/>
              <w:contextualSpacing/>
              <w:rPr>
                <w:rFonts w:cs="Arial"/>
                <w:sz w:val="20"/>
                <w:szCs w:val="20"/>
                <w:lang w:eastAsia="pt-BR"/>
              </w:rPr>
            </w:pPr>
          </w:p>
          <w:p w:rsidR="002538D7" w:rsidRPr="00DD40CC" w:rsidRDefault="002538D7" w:rsidP="00642595">
            <w:pPr>
              <w:spacing w:line="240" w:lineRule="auto"/>
              <w:contextualSpacing/>
              <w:rPr>
                <w:rFonts w:cs="Arial"/>
                <w:sz w:val="20"/>
                <w:szCs w:val="20"/>
                <w:lang w:eastAsia="pt-BR"/>
              </w:rPr>
            </w:pPr>
          </w:p>
        </w:tc>
      </w:tr>
      <w:tr w:rsidR="002538D7" w:rsidRPr="00DD40CC" w:rsidTr="00642595">
        <w:trPr>
          <w:cantSplit/>
          <w:jc w:val="center"/>
        </w:trPr>
        <w:tc>
          <w:tcPr>
            <w:tcW w:w="3794"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rsidR="002538D7" w:rsidRPr="00DD40CC" w:rsidRDefault="002538D7" w:rsidP="00642595">
            <w:pPr>
              <w:spacing w:line="240" w:lineRule="auto"/>
              <w:contextualSpacing/>
              <w:jc w:val="left"/>
              <w:rPr>
                <w:rFonts w:cs="Arial"/>
                <w:bCs/>
                <w:sz w:val="20"/>
                <w:szCs w:val="20"/>
                <w:lang w:eastAsia="pt-BR"/>
              </w:rPr>
            </w:pPr>
            <w:r w:rsidRPr="00DD40CC">
              <w:rPr>
                <w:rFonts w:cs="Arial"/>
                <w:bCs/>
                <w:sz w:val="20"/>
                <w:szCs w:val="20"/>
                <w:lang w:eastAsia="pt-BR"/>
              </w:rPr>
              <w:t>Controlar o recebimento dos PGRSs dos geradores e fiscalizar os procedimentos nos respectivos estabelecimentos.</w:t>
            </w:r>
          </w:p>
        </w:tc>
        <w:tc>
          <w:tcPr>
            <w:tcW w:w="4926"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rsidR="002538D7" w:rsidRPr="00DD40CC" w:rsidRDefault="002538D7" w:rsidP="00642595">
            <w:pPr>
              <w:spacing w:line="240" w:lineRule="auto"/>
              <w:contextualSpacing/>
              <w:rPr>
                <w:rFonts w:cs="Arial"/>
                <w:sz w:val="20"/>
                <w:szCs w:val="20"/>
                <w:lang w:eastAsia="pt-BR"/>
              </w:rPr>
            </w:pPr>
          </w:p>
          <w:p w:rsidR="002538D7" w:rsidRPr="00DD40CC" w:rsidRDefault="002538D7" w:rsidP="00642595">
            <w:pPr>
              <w:spacing w:line="240" w:lineRule="auto"/>
              <w:contextualSpacing/>
              <w:rPr>
                <w:rFonts w:cs="Arial"/>
                <w:sz w:val="20"/>
                <w:szCs w:val="20"/>
                <w:lang w:eastAsia="pt-BR"/>
              </w:rPr>
            </w:pPr>
            <w:r w:rsidRPr="00DD40CC">
              <w:rPr>
                <w:rFonts w:cs="Arial"/>
                <w:sz w:val="20"/>
                <w:szCs w:val="20"/>
                <w:lang w:eastAsia="pt-BR"/>
              </w:rPr>
              <w:t xml:space="preserve">Poder Público Municipal. </w:t>
            </w:r>
          </w:p>
        </w:tc>
      </w:tr>
      <w:tr w:rsidR="002538D7" w:rsidRPr="00DD40CC" w:rsidTr="00642595">
        <w:trPr>
          <w:cantSplit/>
          <w:jc w:val="center"/>
        </w:trPr>
        <w:tc>
          <w:tcPr>
            <w:tcW w:w="3794" w:type="dxa"/>
            <w:tcBorders>
              <w:top w:val="single" w:sz="8" w:space="0" w:color="000000"/>
              <w:left w:val="single" w:sz="8" w:space="0" w:color="000000"/>
              <w:bottom w:val="single" w:sz="8" w:space="0" w:color="000000"/>
              <w:right w:val="single" w:sz="8" w:space="0" w:color="000000"/>
            </w:tcBorders>
            <w:shd w:val="clear" w:color="auto" w:fill="auto"/>
            <w:vAlign w:val="center"/>
          </w:tcPr>
          <w:p w:rsidR="002538D7" w:rsidRPr="00DD40CC" w:rsidRDefault="002538D7" w:rsidP="00642595">
            <w:pPr>
              <w:spacing w:line="240" w:lineRule="auto"/>
              <w:contextualSpacing/>
              <w:jc w:val="left"/>
              <w:rPr>
                <w:rFonts w:cs="Arial"/>
                <w:bCs/>
                <w:sz w:val="20"/>
                <w:szCs w:val="20"/>
                <w:lang w:eastAsia="pt-BR"/>
              </w:rPr>
            </w:pPr>
            <w:r w:rsidRPr="00DD40CC">
              <w:rPr>
                <w:rFonts w:cs="Arial"/>
                <w:bCs/>
                <w:sz w:val="20"/>
                <w:szCs w:val="20"/>
                <w:lang w:eastAsia="pt-BR"/>
              </w:rPr>
              <w:t>Gestão de resíduos definidos como de logística reversa por meio de acordos setoriais e termos de compromisso para atribuição de responsabilidades.</w:t>
            </w:r>
          </w:p>
        </w:tc>
        <w:tc>
          <w:tcPr>
            <w:tcW w:w="4926" w:type="dxa"/>
            <w:tcBorders>
              <w:top w:val="single" w:sz="8" w:space="0" w:color="000000"/>
              <w:left w:val="single" w:sz="8" w:space="0" w:color="000000"/>
              <w:bottom w:val="single" w:sz="8" w:space="0" w:color="000000"/>
              <w:right w:val="single" w:sz="8" w:space="0" w:color="000000"/>
            </w:tcBorders>
            <w:shd w:val="clear" w:color="auto" w:fill="auto"/>
          </w:tcPr>
          <w:p w:rsidR="002538D7" w:rsidRPr="00DD40CC" w:rsidRDefault="002538D7" w:rsidP="00642595">
            <w:pPr>
              <w:spacing w:line="240" w:lineRule="auto"/>
              <w:contextualSpacing/>
              <w:rPr>
                <w:rFonts w:cs="Arial"/>
                <w:sz w:val="20"/>
                <w:szCs w:val="20"/>
                <w:lang w:eastAsia="pt-BR"/>
              </w:rPr>
            </w:pPr>
            <w:r w:rsidRPr="00DD40CC">
              <w:rPr>
                <w:rFonts w:cs="Arial"/>
                <w:sz w:val="20"/>
                <w:szCs w:val="20"/>
                <w:lang w:eastAsia="pt-BR"/>
              </w:rPr>
              <w:t>Fabricantes, importadores, distribuidores ou comerciantes.</w:t>
            </w:r>
          </w:p>
          <w:p w:rsidR="002538D7" w:rsidRPr="00DD40CC" w:rsidRDefault="002538D7" w:rsidP="00642595">
            <w:pPr>
              <w:spacing w:line="240" w:lineRule="auto"/>
              <w:contextualSpacing/>
              <w:rPr>
                <w:rFonts w:cs="Arial"/>
                <w:sz w:val="20"/>
                <w:szCs w:val="20"/>
                <w:lang w:eastAsia="pt-BR"/>
              </w:rPr>
            </w:pPr>
          </w:p>
          <w:p w:rsidR="002538D7" w:rsidRPr="00DD40CC" w:rsidRDefault="002538D7" w:rsidP="00642595">
            <w:pPr>
              <w:spacing w:line="240" w:lineRule="auto"/>
              <w:contextualSpacing/>
              <w:rPr>
                <w:rFonts w:cs="Arial"/>
                <w:sz w:val="20"/>
                <w:szCs w:val="20"/>
                <w:lang w:eastAsia="pt-BR"/>
              </w:rPr>
            </w:pPr>
            <w:r w:rsidRPr="00DD40CC">
              <w:rPr>
                <w:rFonts w:cs="Arial"/>
                <w:sz w:val="20"/>
                <w:szCs w:val="20"/>
                <w:lang w:eastAsia="pt-BR"/>
              </w:rPr>
              <w:t xml:space="preserve"> Poder Público, caso acordado.</w:t>
            </w:r>
          </w:p>
        </w:tc>
      </w:tr>
      <w:tr w:rsidR="002538D7" w:rsidRPr="00DD40CC" w:rsidTr="00642595">
        <w:trPr>
          <w:cantSplit/>
          <w:jc w:val="center"/>
        </w:trPr>
        <w:tc>
          <w:tcPr>
            <w:tcW w:w="3794"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rsidR="002538D7" w:rsidRPr="00DD40CC" w:rsidRDefault="002538D7" w:rsidP="00642595">
            <w:pPr>
              <w:spacing w:line="240" w:lineRule="auto"/>
              <w:contextualSpacing/>
              <w:jc w:val="left"/>
              <w:rPr>
                <w:rFonts w:cs="Arial"/>
                <w:bCs/>
                <w:sz w:val="20"/>
                <w:szCs w:val="20"/>
                <w:lang w:eastAsia="pt-BR"/>
              </w:rPr>
            </w:pPr>
          </w:p>
          <w:p w:rsidR="002538D7" w:rsidRPr="00DD40CC" w:rsidRDefault="002538D7" w:rsidP="00642595">
            <w:pPr>
              <w:spacing w:line="240" w:lineRule="auto"/>
              <w:contextualSpacing/>
              <w:jc w:val="left"/>
              <w:rPr>
                <w:rFonts w:cs="Arial"/>
                <w:bCs/>
                <w:sz w:val="20"/>
                <w:szCs w:val="20"/>
                <w:lang w:eastAsia="pt-BR"/>
              </w:rPr>
            </w:pPr>
            <w:r w:rsidRPr="00DD40CC">
              <w:rPr>
                <w:rFonts w:cs="Arial"/>
                <w:bCs/>
                <w:sz w:val="20"/>
                <w:szCs w:val="20"/>
                <w:lang w:eastAsia="pt-BR"/>
              </w:rPr>
              <w:t>Regulamentação de procedimentos através da sanção de leis municipais.</w:t>
            </w:r>
          </w:p>
          <w:p w:rsidR="002538D7" w:rsidRPr="00DD40CC" w:rsidRDefault="002538D7" w:rsidP="00642595">
            <w:pPr>
              <w:spacing w:line="240" w:lineRule="auto"/>
              <w:contextualSpacing/>
              <w:jc w:val="left"/>
              <w:rPr>
                <w:rFonts w:cs="Arial"/>
                <w:bCs/>
                <w:sz w:val="20"/>
                <w:szCs w:val="20"/>
                <w:lang w:eastAsia="pt-BR"/>
              </w:rPr>
            </w:pPr>
          </w:p>
        </w:tc>
        <w:tc>
          <w:tcPr>
            <w:tcW w:w="4926"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rsidR="002538D7" w:rsidRPr="00DD40CC" w:rsidRDefault="002538D7" w:rsidP="00642595">
            <w:pPr>
              <w:spacing w:line="240" w:lineRule="auto"/>
              <w:contextualSpacing/>
              <w:rPr>
                <w:rFonts w:cs="Arial"/>
                <w:sz w:val="20"/>
                <w:szCs w:val="20"/>
                <w:lang w:eastAsia="pt-BR"/>
              </w:rPr>
            </w:pPr>
            <w:r w:rsidRPr="00DD40CC">
              <w:rPr>
                <w:rFonts w:cs="Arial"/>
                <w:sz w:val="20"/>
                <w:szCs w:val="20"/>
                <w:lang w:eastAsia="pt-BR"/>
              </w:rPr>
              <w:t>Poder Público Municipal (Executivo e Legislativo).</w:t>
            </w:r>
          </w:p>
        </w:tc>
      </w:tr>
      <w:tr w:rsidR="002538D7" w:rsidRPr="00DD40CC" w:rsidTr="00642595">
        <w:trPr>
          <w:cantSplit/>
          <w:jc w:val="center"/>
        </w:trPr>
        <w:tc>
          <w:tcPr>
            <w:tcW w:w="3794"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2538D7" w:rsidRPr="00DD40CC" w:rsidRDefault="002538D7" w:rsidP="00642595">
            <w:pPr>
              <w:spacing w:line="240" w:lineRule="auto"/>
              <w:contextualSpacing/>
              <w:jc w:val="left"/>
              <w:rPr>
                <w:rFonts w:cs="Arial"/>
                <w:bCs/>
                <w:sz w:val="20"/>
                <w:szCs w:val="20"/>
                <w:lang w:eastAsia="pt-BR"/>
              </w:rPr>
            </w:pPr>
            <w:r w:rsidRPr="00DD40CC">
              <w:rPr>
                <w:rFonts w:cs="Arial"/>
                <w:bCs/>
                <w:sz w:val="20"/>
                <w:szCs w:val="20"/>
                <w:lang w:eastAsia="pt-BR"/>
              </w:rPr>
              <w:t>Acondicionamento adequado e diferenciado para resíduos recicláveis e rejeitos e disponibilização adequada para coleta ou devolução.</w:t>
            </w:r>
          </w:p>
        </w:tc>
        <w:tc>
          <w:tcPr>
            <w:tcW w:w="4926"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2538D7" w:rsidRPr="00DD40CC" w:rsidRDefault="002538D7" w:rsidP="00642595">
            <w:pPr>
              <w:spacing w:line="240" w:lineRule="auto"/>
              <w:contextualSpacing/>
              <w:rPr>
                <w:rFonts w:cs="Arial"/>
                <w:sz w:val="20"/>
                <w:szCs w:val="20"/>
                <w:lang w:eastAsia="pt-BR"/>
              </w:rPr>
            </w:pPr>
            <w:r w:rsidRPr="00DD40CC">
              <w:rPr>
                <w:rFonts w:cs="Arial"/>
                <w:sz w:val="20"/>
                <w:szCs w:val="20"/>
                <w:lang w:eastAsia="pt-BR"/>
              </w:rPr>
              <w:t>Cidadão / gerador domiciliar.</w:t>
            </w:r>
          </w:p>
        </w:tc>
      </w:tr>
    </w:tbl>
    <w:p w:rsidR="002538D7" w:rsidRDefault="002538D7" w:rsidP="002538D7">
      <w:pPr>
        <w:spacing w:before="120" w:after="120"/>
        <w:contextualSpacing/>
        <w:jc w:val="center"/>
        <w:rPr>
          <w:rFonts w:eastAsia="Times New Roman"/>
          <w:sz w:val="22"/>
          <w:lang w:eastAsia="pt-BR"/>
        </w:rPr>
      </w:pPr>
      <w:r w:rsidRPr="00DD40CC">
        <w:rPr>
          <w:rFonts w:eastAsia="Times New Roman"/>
          <w:sz w:val="22"/>
          <w:lang w:eastAsia="pt-BR"/>
        </w:rPr>
        <w:t>Fonte: SHS, 2017.</w:t>
      </w:r>
    </w:p>
    <w:p w:rsidR="002538D7" w:rsidRPr="00DD40CC" w:rsidRDefault="002538D7" w:rsidP="002538D7">
      <w:pPr>
        <w:widowControl w:val="0"/>
        <w:numPr>
          <w:ilvl w:val="2"/>
          <w:numId w:val="1"/>
        </w:numPr>
        <w:spacing w:before="120" w:after="120"/>
        <w:ind w:left="504"/>
        <w:outlineLvl w:val="2"/>
        <w:rPr>
          <w:rFonts w:eastAsia="Times New Roman" w:cs="Arial"/>
          <w:b/>
          <w:i/>
          <w:szCs w:val="24"/>
          <w:lang w:eastAsia="pt-BR"/>
        </w:rPr>
      </w:pPr>
      <w:bookmarkStart w:id="646" w:name="_Toc493151506"/>
      <w:bookmarkStart w:id="647" w:name="_Toc497469075"/>
      <w:r w:rsidRPr="00DD40CC">
        <w:rPr>
          <w:rFonts w:eastAsia="Times New Roman" w:cs="Arial"/>
          <w:b/>
          <w:i/>
          <w:szCs w:val="24"/>
          <w:lang w:eastAsia="pt-BR"/>
        </w:rPr>
        <w:t>Formas e limites da participação do Poder Público local na coleta seletiva e na logística reversa</w:t>
      </w:r>
      <w:bookmarkEnd w:id="646"/>
      <w:bookmarkEnd w:id="647"/>
    </w:p>
    <w:p w:rsidR="002538D7" w:rsidRPr="00DD40CC" w:rsidRDefault="002538D7" w:rsidP="002538D7">
      <w:pPr>
        <w:autoSpaceDE w:val="0"/>
        <w:autoSpaceDN w:val="0"/>
        <w:adjustRightInd w:val="0"/>
        <w:ind w:firstLine="709"/>
        <w:rPr>
          <w:rFonts w:cs="Arial"/>
          <w:szCs w:val="24"/>
          <w:lang w:eastAsia="pt-BR"/>
        </w:rPr>
      </w:pPr>
      <w:r w:rsidRPr="00DD40CC">
        <w:rPr>
          <w:rFonts w:cs="Arial"/>
          <w:szCs w:val="24"/>
          <w:lang w:eastAsia="pt-BR"/>
        </w:rPr>
        <w:t xml:space="preserve">A coleta seletiva e a logística reversa são instrumentos da Política Nacional dos Resíduos Sólidos (PNRS) que têm como objetivo aperfeiçoar o sistema de manejo de resíduos visando à prevenção de impactos ambientais, basicamente aqueles causados pela destinação de resíduos impróprios para o aterramento sanitário, e recuperar o valor agregado dos resíduos. Os procedimentos inseridos nos processos de logística reversa e coleta seletiva, além de estabelecerem a possibilidade de reduzir e reciclar resíduos, possuem um caráter de educação ambiental contínuo, uma vez que a responsabilidade de manejo desses resíduos é compartilhada entre diversos atores do cenário local/regional. </w:t>
      </w:r>
    </w:p>
    <w:p w:rsidR="002538D7" w:rsidRPr="00DD40CC" w:rsidRDefault="002538D7" w:rsidP="00665BBB">
      <w:pPr>
        <w:pStyle w:val="Ttulo4"/>
      </w:pPr>
      <w:bookmarkStart w:id="648" w:name="_Toc493151508"/>
      <w:bookmarkStart w:id="649" w:name="_Toc493151507"/>
      <w:bookmarkStart w:id="650" w:name="_Toc497469076"/>
      <w:r w:rsidRPr="00DD40CC">
        <w:lastRenderedPageBreak/>
        <w:t>Coleta seletiva</w:t>
      </w:r>
      <w:bookmarkEnd w:id="648"/>
      <w:bookmarkEnd w:id="650"/>
      <w:r w:rsidRPr="00DD40CC">
        <w:t xml:space="preserve"> </w:t>
      </w:r>
    </w:p>
    <w:p w:rsidR="002538D7" w:rsidRPr="00DD40CC" w:rsidRDefault="002538D7" w:rsidP="002538D7">
      <w:pPr>
        <w:autoSpaceDE w:val="0"/>
        <w:autoSpaceDN w:val="0"/>
        <w:adjustRightInd w:val="0"/>
        <w:ind w:firstLine="709"/>
        <w:rPr>
          <w:rFonts w:cs="Arial"/>
          <w:szCs w:val="24"/>
          <w:lang w:eastAsia="pt-BR"/>
        </w:rPr>
      </w:pPr>
      <w:r w:rsidRPr="00DD40CC">
        <w:rPr>
          <w:rFonts w:cs="Arial"/>
          <w:szCs w:val="24"/>
          <w:lang w:eastAsia="pt-BR"/>
        </w:rPr>
        <w:t xml:space="preserve">Coleta seletiva é um processo definido pela Lei nº 12.305/07 como “a coleta de resíduos sólidos previamente segregados conforme sua constituição ou composição”. </w:t>
      </w:r>
    </w:p>
    <w:p w:rsidR="002538D7" w:rsidRPr="00DD40CC" w:rsidRDefault="002538D7" w:rsidP="002538D7">
      <w:pPr>
        <w:spacing w:before="120" w:after="120"/>
        <w:ind w:firstLine="708"/>
        <w:contextualSpacing/>
        <w:rPr>
          <w:rFonts w:cs="Arial"/>
          <w:szCs w:val="24"/>
          <w:lang w:eastAsia="pt-BR"/>
        </w:rPr>
      </w:pPr>
      <w:r w:rsidRPr="00DD40CC">
        <w:rPr>
          <w:rFonts w:cs="Arial"/>
        </w:rPr>
        <w:t xml:space="preserve">O Programa Cidades Sustentáveis (2013) destaca a importância da participação do Poder Público no contexto da coleta seletiva do município, por meio dos gestores municipais, pela instituição de programas e ações de capacitação técnica e de educação ambiental. Aponta, também, que esse processo deve garantir a participação dos grupos interessados, em especial das cooperativas e demais associações de catadores de materiais reutilizáveis e recicláveis, visando ao aprendizado de mecanismos para a criação de fontes de negócios, emprego e renda. </w:t>
      </w:r>
    </w:p>
    <w:p w:rsidR="002538D7" w:rsidRPr="00DD40CC" w:rsidRDefault="002538D7" w:rsidP="002538D7">
      <w:pPr>
        <w:autoSpaceDE w:val="0"/>
        <w:autoSpaceDN w:val="0"/>
        <w:adjustRightInd w:val="0"/>
        <w:ind w:firstLine="709"/>
        <w:rPr>
          <w:rFonts w:cs="Arial"/>
          <w:szCs w:val="24"/>
          <w:lang w:eastAsia="pt-BR"/>
        </w:rPr>
      </w:pPr>
      <w:r w:rsidRPr="00DD40CC">
        <w:rPr>
          <w:rFonts w:cs="Arial"/>
          <w:szCs w:val="24"/>
          <w:lang w:eastAsia="pt-BR"/>
        </w:rPr>
        <w:t>Assim como na logística reversa, as ações do Poder Público na gestão da coleta seletiva não bastam, por si só, para que sejam bem-sucedidas na limpeza do espaço público e no correto encaminhamento dos resíduos gerados no município, razão pela qual há que se indicar o papel dos demais atores envolvidos no processo, entre os quais se destacam: as cooperativas ou associações de catadores, as empresas privadas (estabelecimentos comerciais, distribuidores e fabricantes) e a sociedade civil.</w:t>
      </w:r>
    </w:p>
    <w:p w:rsidR="002538D7" w:rsidRPr="00DD40CC" w:rsidRDefault="002538D7" w:rsidP="002538D7">
      <w:pPr>
        <w:autoSpaceDE w:val="0"/>
        <w:autoSpaceDN w:val="0"/>
        <w:adjustRightInd w:val="0"/>
        <w:ind w:firstLine="709"/>
        <w:rPr>
          <w:rFonts w:cs="Arial"/>
          <w:szCs w:val="24"/>
          <w:lang w:eastAsia="pt-BR"/>
        </w:rPr>
      </w:pPr>
      <w:r w:rsidRPr="00DD40CC">
        <w:rPr>
          <w:rFonts w:cs="Arial"/>
          <w:szCs w:val="24"/>
          <w:lang w:eastAsia="pt-BR"/>
        </w:rPr>
        <w:t xml:space="preserve">É importante salientar que, segundo a legislação aplicável, as cooperativas e associações devem: </w:t>
      </w:r>
    </w:p>
    <w:p w:rsidR="002538D7" w:rsidRPr="00DD40CC" w:rsidRDefault="002538D7" w:rsidP="002538D7">
      <w:pPr>
        <w:numPr>
          <w:ilvl w:val="0"/>
          <w:numId w:val="59"/>
        </w:numPr>
        <w:shd w:val="clear" w:color="auto" w:fill="FFFFFF"/>
        <w:tabs>
          <w:tab w:val="num" w:pos="1276"/>
        </w:tabs>
        <w:ind w:left="1418" w:right="301" w:hanging="142"/>
        <w:jc w:val="left"/>
        <w:textAlignment w:val="baseline"/>
        <w:rPr>
          <w:rFonts w:eastAsia="Times New Roman" w:cs="Arial"/>
          <w:szCs w:val="24"/>
          <w:lang w:eastAsia="pt-BR"/>
        </w:rPr>
      </w:pPr>
      <w:r w:rsidRPr="00DD40CC">
        <w:rPr>
          <w:rFonts w:eastAsia="Times New Roman" w:cs="Arial"/>
          <w:szCs w:val="24"/>
          <w:lang w:eastAsia="pt-BR"/>
        </w:rPr>
        <w:t>Estar formal e exclusivamente constituída por catadores de materiais recicláveis que tenham a catação como forma única de renda.</w:t>
      </w:r>
    </w:p>
    <w:p w:rsidR="002538D7" w:rsidRPr="00DD40CC" w:rsidRDefault="002538D7" w:rsidP="002538D7">
      <w:pPr>
        <w:numPr>
          <w:ilvl w:val="0"/>
          <w:numId w:val="59"/>
        </w:numPr>
        <w:shd w:val="clear" w:color="auto" w:fill="FFFFFF"/>
        <w:tabs>
          <w:tab w:val="num" w:pos="1276"/>
        </w:tabs>
        <w:ind w:left="1418" w:right="301" w:hanging="142"/>
        <w:jc w:val="left"/>
        <w:textAlignment w:val="baseline"/>
        <w:rPr>
          <w:rFonts w:eastAsia="Times New Roman" w:cs="Arial"/>
          <w:szCs w:val="24"/>
          <w:lang w:eastAsia="pt-BR"/>
        </w:rPr>
      </w:pPr>
      <w:r w:rsidRPr="00DD40CC">
        <w:rPr>
          <w:rFonts w:eastAsia="Times New Roman" w:cs="Arial"/>
          <w:szCs w:val="24"/>
          <w:lang w:eastAsia="pt-BR"/>
        </w:rPr>
        <w:t>Não possuir fins lucrativos.</w:t>
      </w:r>
    </w:p>
    <w:p w:rsidR="002538D7" w:rsidRPr="00DD40CC" w:rsidRDefault="002538D7" w:rsidP="002538D7">
      <w:pPr>
        <w:numPr>
          <w:ilvl w:val="0"/>
          <w:numId w:val="59"/>
        </w:numPr>
        <w:shd w:val="clear" w:color="auto" w:fill="FFFFFF"/>
        <w:tabs>
          <w:tab w:val="num" w:pos="1276"/>
        </w:tabs>
        <w:ind w:left="1418" w:right="301" w:hanging="142"/>
        <w:jc w:val="left"/>
        <w:textAlignment w:val="baseline"/>
        <w:rPr>
          <w:rFonts w:eastAsia="Times New Roman" w:cs="Arial"/>
          <w:szCs w:val="24"/>
          <w:lang w:eastAsia="pt-BR"/>
        </w:rPr>
      </w:pPr>
      <w:r w:rsidRPr="00DD40CC">
        <w:rPr>
          <w:rFonts w:eastAsia="Times New Roman" w:cs="Arial"/>
          <w:szCs w:val="24"/>
          <w:lang w:eastAsia="pt-BR"/>
        </w:rPr>
        <w:t>Possuir infraestrutura para realizar a triagem e a classificação dos resíduos recicláveis descartados.</w:t>
      </w:r>
    </w:p>
    <w:p w:rsidR="002538D7" w:rsidRPr="00DD40CC" w:rsidRDefault="002538D7" w:rsidP="002538D7">
      <w:pPr>
        <w:numPr>
          <w:ilvl w:val="0"/>
          <w:numId w:val="59"/>
        </w:numPr>
        <w:shd w:val="clear" w:color="auto" w:fill="FFFFFF"/>
        <w:tabs>
          <w:tab w:val="num" w:pos="1276"/>
        </w:tabs>
        <w:ind w:left="1418" w:right="301" w:hanging="142"/>
        <w:jc w:val="left"/>
        <w:textAlignment w:val="baseline"/>
        <w:rPr>
          <w:rFonts w:eastAsia="Times New Roman" w:cs="Arial"/>
          <w:szCs w:val="24"/>
          <w:lang w:eastAsia="pt-BR"/>
        </w:rPr>
      </w:pPr>
      <w:r w:rsidRPr="00DD40CC">
        <w:rPr>
          <w:rFonts w:eastAsia="Times New Roman" w:cs="Arial"/>
          <w:szCs w:val="24"/>
          <w:lang w:eastAsia="pt-BR"/>
        </w:rPr>
        <w:t>Possuir sistema de rateio entre os associados e cooperados.</w:t>
      </w:r>
    </w:p>
    <w:p w:rsidR="002538D7" w:rsidRPr="00DD40CC" w:rsidRDefault="002538D7" w:rsidP="002538D7">
      <w:pPr>
        <w:autoSpaceDE w:val="0"/>
        <w:autoSpaceDN w:val="0"/>
        <w:adjustRightInd w:val="0"/>
        <w:ind w:firstLine="709"/>
        <w:rPr>
          <w:rFonts w:cs="Arial"/>
          <w:szCs w:val="24"/>
          <w:lang w:eastAsia="pt-BR"/>
        </w:rPr>
      </w:pPr>
      <w:r w:rsidRPr="00DD40CC">
        <w:rPr>
          <w:rFonts w:cs="Arial"/>
          <w:szCs w:val="24"/>
          <w:lang w:eastAsia="pt-BR"/>
        </w:rPr>
        <w:t xml:space="preserve">Caso não haja associação ou cooperativa de catadores que preencham essas condições, recomenda-se que o Poder Público incentive a criação dessa entidade através do cadastramento de catadores autônomos pelo CRAS e do fornecimento de recursos técnicos, patrimoniais e/ou financeiros para um grupamento cadastrado de catadores autônomos que se apresente capaz de recolher os resíduos gerados nos domicílios urbanos e estabelecimentos comerciais do município. Esse grupamento, caso preencha os requisitos mencionados, pode vir a ser uma cooperativa. </w:t>
      </w:r>
    </w:p>
    <w:p w:rsidR="002538D7" w:rsidRPr="00DD40CC" w:rsidRDefault="002538D7" w:rsidP="002538D7">
      <w:pPr>
        <w:autoSpaceDE w:val="0"/>
        <w:autoSpaceDN w:val="0"/>
        <w:adjustRightInd w:val="0"/>
        <w:ind w:firstLine="709"/>
        <w:rPr>
          <w:rFonts w:cs="Arial"/>
          <w:szCs w:val="24"/>
          <w:lang w:eastAsia="pt-BR"/>
        </w:rPr>
      </w:pPr>
      <w:r w:rsidRPr="00DD40CC">
        <w:rPr>
          <w:rFonts w:cs="Arial"/>
          <w:szCs w:val="24"/>
          <w:lang w:eastAsia="pt-BR"/>
        </w:rPr>
        <w:lastRenderedPageBreak/>
        <w:t>Cabe ao Poder Público, em conjunto com a cooperativa, fazer o planejamento e a implementação de um processo de coleta seletiva que seja compatível com a realidade municipal, sem deixar de incluir os seguintes procedimentos:</w:t>
      </w:r>
    </w:p>
    <w:p w:rsidR="002538D7" w:rsidRPr="00DD40CC" w:rsidRDefault="002538D7" w:rsidP="002538D7">
      <w:pPr>
        <w:numPr>
          <w:ilvl w:val="0"/>
          <w:numId w:val="61"/>
        </w:numPr>
        <w:autoSpaceDE w:val="0"/>
        <w:autoSpaceDN w:val="0"/>
        <w:adjustRightInd w:val="0"/>
        <w:ind w:left="993" w:hanging="284"/>
        <w:rPr>
          <w:rFonts w:cs="Arial"/>
          <w:szCs w:val="24"/>
          <w:lang w:eastAsia="pt-BR"/>
        </w:rPr>
      </w:pPr>
      <w:r w:rsidRPr="00DD40CC">
        <w:rPr>
          <w:rFonts w:cs="Arial"/>
          <w:szCs w:val="24"/>
          <w:lang w:eastAsia="pt-BR"/>
        </w:rPr>
        <w:t xml:space="preserve">Estabelecer a forma de pagamento da taxa de resíduos, considerando a necessária sustentabilidade financeira do setor, indicada na Lei nº 12.305/07. </w:t>
      </w:r>
    </w:p>
    <w:p w:rsidR="002538D7" w:rsidRPr="00DD40CC" w:rsidRDefault="002538D7" w:rsidP="002538D7">
      <w:pPr>
        <w:numPr>
          <w:ilvl w:val="0"/>
          <w:numId w:val="61"/>
        </w:numPr>
        <w:autoSpaceDE w:val="0"/>
        <w:autoSpaceDN w:val="0"/>
        <w:adjustRightInd w:val="0"/>
        <w:ind w:left="993" w:hanging="284"/>
        <w:rPr>
          <w:rFonts w:cs="Arial"/>
          <w:szCs w:val="24"/>
          <w:lang w:eastAsia="pt-BR"/>
        </w:rPr>
      </w:pPr>
      <w:r w:rsidRPr="00DD40CC">
        <w:rPr>
          <w:rFonts w:cs="Arial"/>
          <w:szCs w:val="24"/>
          <w:lang w:eastAsia="pt-BR"/>
        </w:rPr>
        <w:t>Estabelecer um fluxo de processos a ser seguido pelos resíduos. Um exemplo bastante comum desse fluxo é dado pela sequência a seguir:</w:t>
      </w:r>
    </w:p>
    <w:p w:rsidR="002538D7" w:rsidRPr="00DD40CC" w:rsidRDefault="002538D7" w:rsidP="002538D7">
      <w:pPr>
        <w:autoSpaceDE w:val="0"/>
        <w:autoSpaceDN w:val="0"/>
        <w:adjustRightInd w:val="0"/>
        <w:ind w:left="1560" w:hanging="426"/>
        <w:rPr>
          <w:rFonts w:cs="Arial"/>
          <w:szCs w:val="24"/>
          <w:lang w:eastAsia="pt-BR"/>
        </w:rPr>
      </w:pPr>
      <w:r w:rsidRPr="00DD40CC">
        <w:rPr>
          <w:rFonts w:cs="Arial"/>
          <w:szCs w:val="24"/>
          <w:lang w:eastAsia="pt-BR"/>
        </w:rPr>
        <w:t xml:space="preserve">1º) segregação na origem ou separação em casa; </w:t>
      </w:r>
    </w:p>
    <w:p w:rsidR="002538D7" w:rsidRPr="00DD40CC" w:rsidRDefault="002538D7" w:rsidP="002538D7">
      <w:pPr>
        <w:autoSpaceDE w:val="0"/>
        <w:autoSpaceDN w:val="0"/>
        <w:adjustRightInd w:val="0"/>
        <w:ind w:left="1560" w:hanging="426"/>
        <w:rPr>
          <w:rFonts w:cs="Arial"/>
          <w:szCs w:val="24"/>
          <w:lang w:eastAsia="pt-BR"/>
        </w:rPr>
      </w:pPr>
      <w:r w:rsidRPr="00DD40CC">
        <w:rPr>
          <w:rFonts w:cs="Arial"/>
          <w:szCs w:val="24"/>
          <w:lang w:eastAsia="pt-BR"/>
        </w:rPr>
        <w:t xml:space="preserve">2º) acondicionamento em </w:t>
      </w:r>
      <w:r w:rsidRPr="00DD40CC">
        <w:rPr>
          <w:rFonts w:cs="Arial"/>
          <w:i/>
          <w:szCs w:val="24"/>
          <w:lang w:eastAsia="pt-BR"/>
        </w:rPr>
        <w:t>containers</w:t>
      </w:r>
      <w:r w:rsidRPr="00DD40CC">
        <w:rPr>
          <w:rFonts w:cs="Arial"/>
          <w:szCs w:val="24"/>
          <w:lang w:eastAsia="pt-BR"/>
        </w:rPr>
        <w:t xml:space="preserve"> adequados para coleta na rua; </w:t>
      </w:r>
    </w:p>
    <w:p w:rsidR="002538D7" w:rsidRPr="00DD40CC" w:rsidRDefault="002538D7" w:rsidP="002538D7">
      <w:pPr>
        <w:autoSpaceDE w:val="0"/>
        <w:autoSpaceDN w:val="0"/>
        <w:adjustRightInd w:val="0"/>
        <w:ind w:left="1560" w:hanging="426"/>
        <w:rPr>
          <w:rFonts w:cs="Arial"/>
          <w:szCs w:val="24"/>
          <w:lang w:eastAsia="pt-BR"/>
        </w:rPr>
      </w:pPr>
      <w:r w:rsidRPr="00DD40CC">
        <w:rPr>
          <w:rFonts w:cs="Arial"/>
          <w:szCs w:val="24"/>
          <w:lang w:eastAsia="pt-BR"/>
        </w:rPr>
        <w:t xml:space="preserve">3º) coleta e transporte para o local de triagem e processamento (prensagem, enfardamento, etc.) dos resíduos; </w:t>
      </w:r>
    </w:p>
    <w:p w:rsidR="002538D7" w:rsidRPr="00DD40CC" w:rsidRDefault="002538D7" w:rsidP="002538D7">
      <w:pPr>
        <w:autoSpaceDE w:val="0"/>
        <w:autoSpaceDN w:val="0"/>
        <w:adjustRightInd w:val="0"/>
        <w:ind w:left="1560" w:hanging="426"/>
        <w:rPr>
          <w:rFonts w:cs="Arial"/>
          <w:szCs w:val="24"/>
          <w:lang w:eastAsia="pt-BR"/>
        </w:rPr>
      </w:pPr>
      <w:r w:rsidRPr="00DD40CC">
        <w:rPr>
          <w:rFonts w:cs="Arial"/>
          <w:szCs w:val="24"/>
          <w:lang w:eastAsia="pt-BR"/>
        </w:rPr>
        <w:t xml:space="preserve">4º) envio ou entrega dos resíduos para as empresas recicladoras; e </w:t>
      </w:r>
    </w:p>
    <w:p w:rsidR="002538D7" w:rsidRPr="00DD40CC" w:rsidRDefault="002538D7" w:rsidP="002538D7">
      <w:pPr>
        <w:autoSpaceDE w:val="0"/>
        <w:autoSpaceDN w:val="0"/>
        <w:adjustRightInd w:val="0"/>
        <w:ind w:left="1560" w:hanging="426"/>
        <w:rPr>
          <w:rFonts w:cs="Arial"/>
          <w:szCs w:val="24"/>
          <w:lang w:eastAsia="pt-BR"/>
        </w:rPr>
      </w:pPr>
      <w:r w:rsidRPr="00DD40CC">
        <w:rPr>
          <w:rFonts w:cs="Arial"/>
          <w:szCs w:val="24"/>
          <w:lang w:eastAsia="pt-BR"/>
        </w:rPr>
        <w:t>5º) envio de rejeitos para disposição final.</w:t>
      </w:r>
    </w:p>
    <w:p w:rsidR="002538D7" w:rsidRPr="00DD40CC" w:rsidRDefault="002538D7" w:rsidP="002538D7">
      <w:pPr>
        <w:numPr>
          <w:ilvl w:val="0"/>
          <w:numId w:val="61"/>
        </w:numPr>
        <w:autoSpaceDE w:val="0"/>
        <w:autoSpaceDN w:val="0"/>
        <w:adjustRightInd w:val="0"/>
        <w:ind w:left="993" w:hanging="284"/>
        <w:rPr>
          <w:rFonts w:cs="Arial"/>
          <w:szCs w:val="24"/>
          <w:lang w:eastAsia="pt-BR"/>
        </w:rPr>
      </w:pPr>
      <w:r w:rsidRPr="00DD40CC">
        <w:rPr>
          <w:rFonts w:cs="Arial"/>
          <w:szCs w:val="24"/>
          <w:lang w:eastAsia="pt-BR"/>
        </w:rPr>
        <w:t>Estabelecer as atribuições de cada parte atuante no processo, considerando, num primeiro momento, o Poder Público, a cooperativa ou associação de catadores, a população e as empresas recicladoras convidadas a participar.</w:t>
      </w:r>
    </w:p>
    <w:p w:rsidR="002538D7" w:rsidRPr="00DD40CC" w:rsidRDefault="002538D7" w:rsidP="002538D7">
      <w:pPr>
        <w:numPr>
          <w:ilvl w:val="0"/>
          <w:numId w:val="61"/>
        </w:numPr>
        <w:autoSpaceDE w:val="0"/>
        <w:autoSpaceDN w:val="0"/>
        <w:adjustRightInd w:val="0"/>
        <w:ind w:left="993" w:hanging="284"/>
        <w:rPr>
          <w:rFonts w:cs="Arial"/>
          <w:szCs w:val="24"/>
          <w:lang w:eastAsia="pt-BR"/>
        </w:rPr>
      </w:pPr>
      <w:r w:rsidRPr="00DD40CC">
        <w:rPr>
          <w:rFonts w:cs="Arial"/>
          <w:szCs w:val="24"/>
          <w:lang w:eastAsia="pt-BR"/>
        </w:rPr>
        <w:t>Estabelecer a periodicidade das coletas, por região do município.</w:t>
      </w:r>
    </w:p>
    <w:p w:rsidR="002538D7" w:rsidRPr="00DD40CC" w:rsidRDefault="002538D7" w:rsidP="002538D7">
      <w:pPr>
        <w:numPr>
          <w:ilvl w:val="0"/>
          <w:numId w:val="61"/>
        </w:numPr>
        <w:autoSpaceDE w:val="0"/>
        <w:autoSpaceDN w:val="0"/>
        <w:adjustRightInd w:val="0"/>
        <w:ind w:left="993" w:hanging="284"/>
        <w:rPr>
          <w:rFonts w:cs="Arial"/>
          <w:szCs w:val="24"/>
          <w:lang w:eastAsia="pt-BR"/>
        </w:rPr>
      </w:pPr>
      <w:r w:rsidRPr="00DD40CC">
        <w:rPr>
          <w:rFonts w:cs="Arial"/>
          <w:szCs w:val="24"/>
          <w:lang w:eastAsia="pt-BR"/>
        </w:rPr>
        <w:t xml:space="preserve">Criar campanha de sensibilização e conscientização da população para assumir seu papel na nova política de resíduos do município, a começar com orientações para sua participação no programa de coleta seletiva. </w:t>
      </w:r>
    </w:p>
    <w:p w:rsidR="002538D7" w:rsidRPr="00DD40CC" w:rsidRDefault="002538D7" w:rsidP="002538D7">
      <w:pPr>
        <w:autoSpaceDE w:val="0"/>
        <w:autoSpaceDN w:val="0"/>
        <w:adjustRightInd w:val="0"/>
        <w:ind w:firstLine="709"/>
        <w:rPr>
          <w:rFonts w:cs="Arial"/>
          <w:szCs w:val="24"/>
          <w:lang w:eastAsia="pt-BR"/>
        </w:rPr>
      </w:pPr>
      <w:r w:rsidRPr="00DD40CC">
        <w:rPr>
          <w:rFonts w:cs="Arial"/>
          <w:szCs w:val="24"/>
          <w:lang w:eastAsia="pt-BR"/>
        </w:rPr>
        <w:t>Feitos os planejamentos, deve-se partir para a fase de operacionalização:</w:t>
      </w:r>
    </w:p>
    <w:p w:rsidR="002538D7" w:rsidRPr="00DD40CC" w:rsidRDefault="002538D7" w:rsidP="002538D7">
      <w:pPr>
        <w:numPr>
          <w:ilvl w:val="0"/>
          <w:numId w:val="61"/>
        </w:numPr>
        <w:autoSpaceDE w:val="0"/>
        <w:autoSpaceDN w:val="0"/>
        <w:adjustRightInd w:val="0"/>
        <w:ind w:left="993" w:hanging="284"/>
        <w:rPr>
          <w:rFonts w:cs="Arial"/>
          <w:szCs w:val="24"/>
          <w:lang w:eastAsia="pt-BR"/>
        </w:rPr>
      </w:pPr>
      <w:r w:rsidRPr="00DD40CC">
        <w:rPr>
          <w:rFonts w:cs="Arial"/>
          <w:szCs w:val="24"/>
          <w:lang w:eastAsia="pt-BR"/>
        </w:rPr>
        <w:t>Iniciar a coleta em um bairro-piloto, utilizando-se: de veículo apropriado (caminhão não compactador dotado de sinal sonoro para alertar sua aproximação); e de pelo menos dois catadores, por caminhão, devidamente protegidos com EPIs.</w:t>
      </w:r>
    </w:p>
    <w:p w:rsidR="002538D7" w:rsidRPr="00DD40CC" w:rsidRDefault="002538D7" w:rsidP="002538D7">
      <w:pPr>
        <w:numPr>
          <w:ilvl w:val="0"/>
          <w:numId w:val="61"/>
        </w:numPr>
        <w:autoSpaceDE w:val="0"/>
        <w:autoSpaceDN w:val="0"/>
        <w:adjustRightInd w:val="0"/>
        <w:ind w:left="993" w:hanging="284"/>
        <w:rPr>
          <w:rFonts w:cs="Arial"/>
          <w:szCs w:val="24"/>
          <w:lang w:eastAsia="pt-BR"/>
        </w:rPr>
      </w:pPr>
      <w:r w:rsidRPr="00DD40CC">
        <w:rPr>
          <w:rFonts w:cs="Arial"/>
          <w:szCs w:val="24"/>
          <w:lang w:eastAsia="pt-BR"/>
        </w:rPr>
        <w:t>Encaminhar diariamente toda a carga coletada a um Centro de Triagem de Resíduos (CTR).</w:t>
      </w:r>
    </w:p>
    <w:p w:rsidR="002538D7" w:rsidRPr="00DD40CC" w:rsidRDefault="002538D7" w:rsidP="002538D7">
      <w:pPr>
        <w:numPr>
          <w:ilvl w:val="0"/>
          <w:numId w:val="61"/>
        </w:numPr>
        <w:autoSpaceDE w:val="0"/>
        <w:autoSpaceDN w:val="0"/>
        <w:adjustRightInd w:val="0"/>
        <w:ind w:left="993" w:hanging="284"/>
        <w:rPr>
          <w:rFonts w:cs="Arial"/>
          <w:szCs w:val="24"/>
          <w:lang w:eastAsia="pt-BR"/>
        </w:rPr>
      </w:pPr>
      <w:r w:rsidRPr="00DD40CC">
        <w:rPr>
          <w:rFonts w:cs="Arial"/>
          <w:szCs w:val="24"/>
          <w:lang w:eastAsia="pt-BR"/>
        </w:rPr>
        <w:t>Subsidiar a cooperativa com recursos necessários, sempre mediante termos de compromisso negociados entre as partes, levando-se em consideração dois aspectos fundamentais:</w:t>
      </w:r>
    </w:p>
    <w:p w:rsidR="002538D7" w:rsidRPr="00DD40CC" w:rsidRDefault="002538D7" w:rsidP="002538D7">
      <w:pPr>
        <w:numPr>
          <w:ilvl w:val="0"/>
          <w:numId w:val="60"/>
        </w:numPr>
        <w:autoSpaceDE w:val="0"/>
        <w:autoSpaceDN w:val="0"/>
        <w:adjustRightInd w:val="0"/>
        <w:rPr>
          <w:rFonts w:cs="Arial"/>
          <w:szCs w:val="24"/>
          <w:lang w:eastAsia="pt-BR"/>
        </w:rPr>
      </w:pPr>
      <w:r w:rsidRPr="00DD40CC">
        <w:rPr>
          <w:rFonts w:cs="Arial"/>
          <w:szCs w:val="24"/>
          <w:lang w:eastAsia="pt-BR"/>
        </w:rPr>
        <w:t>Os subsídios públicos serão disponibilizados por períodos previamente determinados através de acordos oficiais.</w:t>
      </w:r>
    </w:p>
    <w:p w:rsidR="002538D7" w:rsidRPr="00DD40CC" w:rsidRDefault="002538D7" w:rsidP="002538D7">
      <w:pPr>
        <w:numPr>
          <w:ilvl w:val="0"/>
          <w:numId w:val="60"/>
        </w:numPr>
        <w:autoSpaceDE w:val="0"/>
        <w:autoSpaceDN w:val="0"/>
        <w:adjustRightInd w:val="0"/>
        <w:rPr>
          <w:rFonts w:cs="Arial"/>
          <w:szCs w:val="24"/>
          <w:lang w:eastAsia="pt-BR"/>
        </w:rPr>
      </w:pPr>
      <w:r w:rsidRPr="00DD40CC">
        <w:rPr>
          <w:rFonts w:cs="Arial"/>
          <w:szCs w:val="24"/>
          <w:lang w:eastAsia="pt-BR"/>
        </w:rPr>
        <w:lastRenderedPageBreak/>
        <w:t>As cooperativas deverão evoluir para serem entidades autônomas.</w:t>
      </w:r>
    </w:p>
    <w:p w:rsidR="002538D7" w:rsidRPr="00DD40CC" w:rsidRDefault="002538D7" w:rsidP="002538D7">
      <w:pPr>
        <w:numPr>
          <w:ilvl w:val="0"/>
          <w:numId w:val="61"/>
        </w:numPr>
        <w:autoSpaceDE w:val="0"/>
        <w:autoSpaceDN w:val="0"/>
        <w:adjustRightInd w:val="0"/>
        <w:ind w:left="993" w:hanging="284"/>
        <w:rPr>
          <w:rFonts w:cs="Arial"/>
          <w:szCs w:val="24"/>
          <w:lang w:eastAsia="pt-BR"/>
        </w:rPr>
      </w:pPr>
      <w:r w:rsidRPr="00DD40CC">
        <w:rPr>
          <w:rFonts w:cs="Arial"/>
          <w:szCs w:val="24"/>
          <w:lang w:eastAsia="pt-BR"/>
        </w:rPr>
        <w:t>Fazer plano de ação para ampliação dos serviços até alcançar todos os bairros da cidade.</w:t>
      </w:r>
    </w:p>
    <w:p w:rsidR="002538D7" w:rsidRPr="00DD40CC" w:rsidRDefault="002538D7" w:rsidP="002538D7">
      <w:pPr>
        <w:numPr>
          <w:ilvl w:val="0"/>
          <w:numId w:val="61"/>
        </w:numPr>
        <w:autoSpaceDE w:val="0"/>
        <w:autoSpaceDN w:val="0"/>
        <w:adjustRightInd w:val="0"/>
        <w:ind w:left="993" w:hanging="284"/>
        <w:rPr>
          <w:rFonts w:cs="Arial"/>
          <w:szCs w:val="24"/>
          <w:lang w:eastAsia="pt-BR"/>
        </w:rPr>
      </w:pPr>
      <w:r w:rsidRPr="00DD40CC">
        <w:rPr>
          <w:rFonts w:cs="Arial"/>
          <w:szCs w:val="24"/>
          <w:lang w:eastAsia="pt-BR"/>
        </w:rPr>
        <w:t>Definir locais estratégicos na área rural do município para o estabelecimento de PEVs (Pontos de Entrega Voluntária) de resíduos sólidos recicláveis, de forma que os moradores possam descartar seus resíduos pelo menos duas vezes por semana.</w:t>
      </w:r>
    </w:p>
    <w:p w:rsidR="002538D7" w:rsidRPr="00523B80" w:rsidRDefault="002538D7" w:rsidP="002538D7">
      <w:pPr>
        <w:numPr>
          <w:ilvl w:val="0"/>
          <w:numId w:val="61"/>
        </w:numPr>
        <w:autoSpaceDE w:val="0"/>
        <w:autoSpaceDN w:val="0"/>
        <w:adjustRightInd w:val="0"/>
        <w:ind w:left="993" w:hanging="284"/>
        <w:rPr>
          <w:rFonts w:cs="Arial"/>
          <w:szCs w:val="24"/>
          <w:lang w:eastAsia="pt-BR"/>
        </w:rPr>
      </w:pPr>
      <w:r w:rsidRPr="00DD40CC">
        <w:rPr>
          <w:rFonts w:cs="Arial"/>
          <w:szCs w:val="24"/>
          <w:lang w:eastAsia="pt-BR"/>
        </w:rPr>
        <w:t>Estabelecer rotinas necessárias e tarefas específicas para serem impl</w:t>
      </w:r>
      <w:r w:rsidRPr="00523B80">
        <w:rPr>
          <w:rFonts w:cs="Arial"/>
          <w:szCs w:val="24"/>
          <w:lang w:eastAsia="pt-BR"/>
        </w:rPr>
        <w:t>ementadas em diversas etapas da operacionalização visando documentar os processos como, por exemplo, manter registros de: quantidade de resíduos recebidos no CTR; número de fardos por tipo de resíduo, empresas recicladoras que sejam potenciais clientes da CTR/Cooperativa/Associação; vendas efetuadas; doações efetuadas; quantidade de rejeitos enviados à disposição final (nesse documento, identificar o local de disposição final em todos os despachos); entre outros controles.</w:t>
      </w:r>
    </w:p>
    <w:p w:rsidR="002538D7" w:rsidRPr="00523B80" w:rsidRDefault="002538D7" w:rsidP="002538D7">
      <w:pPr>
        <w:numPr>
          <w:ilvl w:val="0"/>
          <w:numId w:val="61"/>
        </w:numPr>
        <w:autoSpaceDE w:val="0"/>
        <w:autoSpaceDN w:val="0"/>
        <w:adjustRightInd w:val="0"/>
        <w:ind w:left="993" w:hanging="284"/>
        <w:rPr>
          <w:rFonts w:cs="Arial"/>
          <w:szCs w:val="24"/>
          <w:lang w:eastAsia="pt-BR"/>
        </w:rPr>
      </w:pPr>
      <w:r w:rsidRPr="00523B80">
        <w:rPr>
          <w:rFonts w:cs="Arial"/>
          <w:szCs w:val="24"/>
          <w:lang w:eastAsia="pt-BR"/>
        </w:rPr>
        <w:t xml:space="preserve">Os procedimentos inseridos na implementação e operacionalização dos serviços de manejo de resíduos sólidos, assim como de outros serviços inseridos na gestão municipal de saneamento, podem se valer dos seguintes meios de controle:  </w:t>
      </w:r>
    </w:p>
    <w:p w:rsidR="002538D7" w:rsidRPr="00523B80" w:rsidRDefault="002538D7" w:rsidP="002538D7">
      <w:pPr>
        <w:numPr>
          <w:ilvl w:val="0"/>
          <w:numId w:val="60"/>
        </w:numPr>
        <w:autoSpaceDE w:val="0"/>
        <w:autoSpaceDN w:val="0"/>
        <w:adjustRightInd w:val="0"/>
        <w:rPr>
          <w:rFonts w:cs="Arial"/>
          <w:szCs w:val="24"/>
          <w:lang w:eastAsia="pt-BR"/>
        </w:rPr>
      </w:pPr>
      <w:r w:rsidRPr="00523B80">
        <w:rPr>
          <w:rFonts w:cs="Arial"/>
          <w:szCs w:val="24"/>
          <w:lang w:eastAsia="pt-BR"/>
        </w:rPr>
        <w:t>Contratos de serviços, quando o serviço é delegado pelo Titular (Executivo Municipal) a terceiros.</w:t>
      </w:r>
    </w:p>
    <w:p w:rsidR="002538D7" w:rsidRPr="00523B80" w:rsidRDefault="002538D7" w:rsidP="002538D7">
      <w:pPr>
        <w:numPr>
          <w:ilvl w:val="0"/>
          <w:numId w:val="60"/>
        </w:numPr>
        <w:autoSpaceDE w:val="0"/>
        <w:autoSpaceDN w:val="0"/>
        <w:adjustRightInd w:val="0"/>
        <w:rPr>
          <w:rFonts w:cs="Arial"/>
          <w:szCs w:val="24"/>
          <w:lang w:eastAsia="pt-BR"/>
        </w:rPr>
      </w:pPr>
      <w:r w:rsidRPr="00523B80">
        <w:rPr>
          <w:rFonts w:cs="Arial"/>
          <w:szCs w:val="24"/>
          <w:lang w:eastAsia="pt-BR"/>
        </w:rPr>
        <w:t>Supervisão de um Conselho Municipal de Saneamento Básico ou outro conselho já existente que assuma atribuições na área do saneamento.</w:t>
      </w:r>
    </w:p>
    <w:p w:rsidR="002538D7" w:rsidRPr="00523B80" w:rsidRDefault="002538D7" w:rsidP="002538D7">
      <w:pPr>
        <w:numPr>
          <w:ilvl w:val="0"/>
          <w:numId w:val="60"/>
        </w:numPr>
        <w:autoSpaceDE w:val="0"/>
        <w:autoSpaceDN w:val="0"/>
        <w:adjustRightInd w:val="0"/>
        <w:rPr>
          <w:rFonts w:cs="Arial"/>
          <w:szCs w:val="24"/>
          <w:lang w:eastAsia="pt-BR"/>
        </w:rPr>
      </w:pPr>
      <w:r w:rsidRPr="00523B80">
        <w:rPr>
          <w:rFonts w:cs="Arial"/>
          <w:szCs w:val="24"/>
          <w:lang w:eastAsia="pt-BR"/>
        </w:rPr>
        <w:t>Atribuição de aferição e acompanhamento pelo órgão regulador.</w:t>
      </w:r>
    </w:p>
    <w:p w:rsidR="002538D7" w:rsidRPr="00523B80" w:rsidRDefault="002538D7" w:rsidP="002538D7">
      <w:pPr>
        <w:numPr>
          <w:ilvl w:val="0"/>
          <w:numId w:val="60"/>
        </w:numPr>
        <w:autoSpaceDE w:val="0"/>
        <w:autoSpaceDN w:val="0"/>
        <w:adjustRightInd w:val="0"/>
        <w:rPr>
          <w:rFonts w:cs="Arial"/>
          <w:szCs w:val="24"/>
          <w:lang w:eastAsia="pt-BR"/>
        </w:rPr>
      </w:pPr>
      <w:r w:rsidRPr="00523B80">
        <w:rPr>
          <w:rFonts w:cs="Arial"/>
          <w:szCs w:val="24"/>
          <w:lang w:eastAsia="pt-BR"/>
        </w:rPr>
        <w:t>Responsabilização dos prestadores de serviços pela entrega de relatórios anuais, demonstrando a eficácia e eficiência dos serviços ao setor de supervisão geral e à população, por meio da veiculação via internet e da divulgação em eventos oficiais e audiências públicas.</w:t>
      </w:r>
    </w:p>
    <w:p w:rsidR="002538D7" w:rsidRDefault="002538D7" w:rsidP="002538D7">
      <w:pPr>
        <w:numPr>
          <w:ilvl w:val="0"/>
          <w:numId w:val="60"/>
        </w:numPr>
        <w:autoSpaceDE w:val="0"/>
        <w:autoSpaceDN w:val="0"/>
        <w:adjustRightInd w:val="0"/>
        <w:rPr>
          <w:rFonts w:cs="Arial"/>
          <w:szCs w:val="24"/>
          <w:lang w:eastAsia="pt-BR"/>
        </w:rPr>
      </w:pPr>
      <w:r w:rsidRPr="00523B80">
        <w:rPr>
          <w:rFonts w:cs="Arial"/>
          <w:szCs w:val="24"/>
          <w:lang w:eastAsia="pt-BR"/>
        </w:rPr>
        <w:t>Aplicação de sansões legais quando o procedimento for regulamentado por lei municipal, entre outros.</w:t>
      </w:r>
    </w:p>
    <w:p w:rsidR="002538D7" w:rsidRPr="00523B80" w:rsidRDefault="002538D7" w:rsidP="002538D7">
      <w:pPr>
        <w:autoSpaceDE w:val="0"/>
        <w:autoSpaceDN w:val="0"/>
        <w:adjustRightInd w:val="0"/>
        <w:rPr>
          <w:rFonts w:cs="Arial"/>
          <w:szCs w:val="24"/>
          <w:lang w:eastAsia="pt-BR"/>
        </w:rPr>
      </w:pPr>
    </w:p>
    <w:p w:rsidR="002538D7" w:rsidRPr="00DD40CC" w:rsidRDefault="002538D7" w:rsidP="00665BBB">
      <w:pPr>
        <w:pStyle w:val="Ttulo4"/>
      </w:pPr>
      <w:bookmarkStart w:id="651" w:name="_Toc497469077"/>
      <w:r w:rsidRPr="00DD40CC">
        <w:lastRenderedPageBreak/>
        <w:t>Logística reversa</w:t>
      </w:r>
      <w:bookmarkEnd w:id="649"/>
      <w:bookmarkEnd w:id="651"/>
    </w:p>
    <w:p w:rsidR="002538D7" w:rsidRPr="00DD40CC" w:rsidRDefault="002538D7" w:rsidP="002538D7">
      <w:pPr>
        <w:ind w:firstLine="709"/>
        <w:rPr>
          <w:rFonts w:cs="Arial"/>
        </w:rPr>
      </w:pPr>
      <w:r w:rsidRPr="00DD40CC">
        <w:rPr>
          <w:rFonts w:cs="Arial"/>
        </w:rPr>
        <w:t>Segundo a PNRS, a logística reversa é um instrumento de desenvolvimento econômico e social caracterizado por um conjunto de ações, procedimentos e meios destinados a viabilizar a coleta e a restituição dos resíduos sólidos ao setor empresarial, para reaproveitamento, em seu ciclo ou em outros ciclos produtivos, ou para destinação final ambientalmente adequada.</w:t>
      </w:r>
    </w:p>
    <w:p w:rsidR="002538D7" w:rsidRPr="00DD40CC" w:rsidRDefault="002538D7" w:rsidP="002538D7">
      <w:pPr>
        <w:ind w:firstLine="709"/>
        <w:rPr>
          <w:rFonts w:cs="Arial"/>
        </w:rPr>
      </w:pPr>
      <w:r w:rsidRPr="00DD40CC">
        <w:rPr>
          <w:rFonts w:cs="Arial"/>
        </w:rPr>
        <w:t>O conceito de responsabilidade compartilhada pelo ciclo da vida dos produtos, intrínseco no fundamento da logística reversa, abre a perspectiva ampla da gestão dos impactos pós-consumo dos produtos e suas embalagens, incluindo não apenas o reúso e a reciclagem dos materiais, mas também ações preventivas na etapa da geração dos produtos, considerando prioritariamente, o grau e a extensão do impacto à saúde pública e ao meio ambiente dos resíduos gerados.</w:t>
      </w:r>
    </w:p>
    <w:p w:rsidR="002538D7" w:rsidRPr="00DD40CC" w:rsidRDefault="002538D7" w:rsidP="002538D7">
      <w:pPr>
        <w:autoSpaceDE w:val="0"/>
        <w:autoSpaceDN w:val="0"/>
        <w:adjustRightInd w:val="0"/>
        <w:ind w:firstLine="709"/>
        <w:rPr>
          <w:rFonts w:cs="Arial"/>
          <w:szCs w:val="24"/>
          <w:lang w:eastAsia="pt-BR"/>
        </w:rPr>
      </w:pPr>
      <w:r w:rsidRPr="00DD40CC">
        <w:rPr>
          <w:rFonts w:cs="Arial"/>
          <w:szCs w:val="24"/>
          <w:lang w:eastAsia="pt-BR"/>
        </w:rPr>
        <w:t>Para a operacionalização da logística reversa, a PNRS criou dois instrumentos: os Acordos Setoriais e os Termos de Compromisso, sendo que os primeiros são “atos de natureza contratual, firmados entre o Poder Público e os fabricantes, importadores, distribuidores ou comerciantes, visando à implantação da responsabilidade compartilhada pelo ciclo de vida do produto” (art. 19, Decreto Federal n° 7.404/2010), sobre os quais são necessárias consultas públicas, estudos de viabilidade, entre outras providências.</w:t>
      </w:r>
    </w:p>
    <w:p w:rsidR="002538D7" w:rsidRPr="00DD40CC" w:rsidRDefault="002538D7" w:rsidP="002538D7">
      <w:pPr>
        <w:autoSpaceDE w:val="0"/>
        <w:autoSpaceDN w:val="0"/>
        <w:adjustRightInd w:val="0"/>
        <w:ind w:firstLine="709"/>
        <w:rPr>
          <w:rFonts w:cs="Arial"/>
          <w:szCs w:val="24"/>
          <w:lang w:eastAsia="pt-BR"/>
        </w:rPr>
      </w:pPr>
      <w:r w:rsidRPr="00DD40CC">
        <w:rPr>
          <w:rFonts w:cs="Arial"/>
          <w:szCs w:val="24"/>
          <w:lang w:eastAsia="pt-BR"/>
        </w:rPr>
        <w:t>Já o Termo de Compromisso não é definido em norma, porém é uma possibilidade de atuação, na inexistência de Acordo Setorial, para o estabelecimento de compromissos, devendo ser homologado pelo órgão ambiental competente.</w:t>
      </w:r>
    </w:p>
    <w:p w:rsidR="002538D7" w:rsidRPr="00DD40CC" w:rsidRDefault="002538D7" w:rsidP="002538D7">
      <w:pPr>
        <w:autoSpaceDE w:val="0"/>
        <w:autoSpaceDN w:val="0"/>
        <w:adjustRightInd w:val="0"/>
        <w:ind w:firstLine="709"/>
        <w:rPr>
          <w:rFonts w:cs="Arial"/>
          <w:szCs w:val="24"/>
          <w:lang w:eastAsia="pt-BR"/>
        </w:rPr>
      </w:pPr>
      <w:r w:rsidRPr="00DD40CC">
        <w:rPr>
          <w:rFonts w:cs="Arial"/>
          <w:szCs w:val="24"/>
          <w:lang w:eastAsia="pt-BR"/>
        </w:rPr>
        <w:t>Esses instrumentos definirão os responsáveis pelas ações (implementação de infraestruturas ou de procedimentos) tidas como necessárias ao bom termo do processo.</w:t>
      </w:r>
    </w:p>
    <w:p w:rsidR="002538D7" w:rsidRPr="00DD40CC" w:rsidRDefault="002538D7" w:rsidP="002538D7">
      <w:pPr>
        <w:ind w:firstLine="709"/>
        <w:rPr>
          <w:rFonts w:cs="Arial"/>
          <w:szCs w:val="24"/>
        </w:rPr>
      </w:pPr>
      <w:r w:rsidRPr="00DD40CC">
        <w:rPr>
          <w:rFonts w:cs="Arial"/>
          <w:szCs w:val="24"/>
        </w:rPr>
        <w:t xml:space="preserve">Segundo o artigo 33 da Lei Federal nº 12.305/10, são obrigados a estruturar e implementar sistemas de logística reversa, mediante retorno dos produtos após o uso pelo consumidor, </w:t>
      </w:r>
      <w:r w:rsidRPr="00DD40CC">
        <w:rPr>
          <w:rFonts w:cs="Arial"/>
          <w:b/>
          <w:szCs w:val="24"/>
        </w:rPr>
        <w:t xml:space="preserve">de forma independente do serviço público de limpeza urbana e de manejo dos resíduos sólidos </w:t>
      </w:r>
      <w:r w:rsidRPr="00DD40CC">
        <w:rPr>
          <w:rFonts w:cs="Arial"/>
          <w:szCs w:val="24"/>
        </w:rPr>
        <w:t xml:space="preserve">(grifo nosso), os fabricantes, importadores, distribuidores e comerciantes de: </w:t>
      </w:r>
    </w:p>
    <w:p w:rsidR="002538D7" w:rsidRPr="00DD40CC" w:rsidRDefault="002538D7" w:rsidP="002538D7">
      <w:pPr>
        <w:numPr>
          <w:ilvl w:val="0"/>
          <w:numId w:val="62"/>
        </w:numPr>
        <w:contextualSpacing/>
        <w:rPr>
          <w:rFonts w:eastAsia="Times New Roman" w:cs="Arial"/>
          <w:szCs w:val="24"/>
          <w:lang w:eastAsia="pt-BR"/>
        </w:rPr>
      </w:pPr>
      <w:r w:rsidRPr="00DD40CC">
        <w:rPr>
          <w:rFonts w:eastAsia="Times New Roman" w:cs="Arial"/>
          <w:szCs w:val="24"/>
          <w:lang w:eastAsia="pt-BR"/>
        </w:rPr>
        <w:lastRenderedPageBreak/>
        <w:t>Agrotóxicos, seus resíduos e embalagens, assim como outros produtos cuja embalagem, após o uso, constitua resíduo perigoso, segundo a legislação vigente.</w:t>
      </w:r>
    </w:p>
    <w:p w:rsidR="002538D7" w:rsidRPr="00DD40CC" w:rsidRDefault="002538D7" w:rsidP="002538D7">
      <w:pPr>
        <w:numPr>
          <w:ilvl w:val="0"/>
          <w:numId w:val="62"/>
        </w:numPr>
        <w:contextualSpacing/>
        <w:rPr>
          <w:rFonts w:eastAsia="Times New Roman" w:cs="Arial"/>
          <w:szCs w:val="24"/>
          <w:lang w:eastAsia="pt-BR"/>
        </w:rPr>
      </w:pPr>
      <w:r w:rsidRPr="00DD40CC">
        <w:rPr>
          <w:rFonts w:eastAsia="Times New Roman" w:cs="Arial"/>
          <w:szCs w:val="24"/>
          <w:lang w:eastAsia="pt-BR"/>
        </w:rPr>
        <w:t xml:space="preserve">Pilhas e baterias. </w:t>
      </w:r>
    </w:p>
    <w:p w:rsidR="002538D7" w:rsidRPr="00DD40CC" w:rsidRDefault="002538D7" w:rsidP="002538D7">
      <w:pPr>
        <w:numPr>
          <w:ilvl w:val="0"/>
          <w:numId w:val="62"/>
        </w:numPr>
        <w:contextualSpacing/>
        <w:rPr>
          <w:rFonts w:eastAsia="Times New Roman" w:cs="Arial"/>
          <w:szCs w:val="24"/>
          <w:lang w:eastAsia="pt-BR"/>
        </w:rPr>
      </w:pPr>
      <w:r w:rsidRPr="00DD40CC">
        <w:rPr>
          <w:rFonts w:eastAsia="Times New Roman" w:cs="Arial"/>
          <w:szCs w:val="24"/>
          <w:lang w:eastAsia="pt-BR"/>
        </w:rPr>
        <w:t>Pneus.</w:t>
      </w:r>
    </w:p>
    <w:p w:rsidR="002538D7" w:rsidRPr="00DD40CC" w:rsidRDefault="002538D7" w:rsidP="002538D7">
      <w:pPr>
        <w:numPr>
          <w:ilvl w:val="0"/>
          <w:numId w:val="62"/>
        </w:numPr>
        <w:contextualSpacing/>
        <w:rPr>
          <w:rFonts w:eastAsia="Times New Roman" w:cs="Arial"/>
          <w:szCs w:val="24"/>
          <w:lang w:eastAsia="pt-BR"/>
        </w:rPr>
      </w:pPr>
      <w:r w:rsidRPr="00DD40CC">
        <w:rPr>
          <w:rFonts w:eastAsia="Times New Roman" w:cs="Arial"/>
          <w:szCs w:val="24"/>
          <w:lang w:eastAsia="pt-BR"/>
        </w:rPr>
        <w:t xml:space="preserve">Óleos lubrificantes, seus resíduos e embalagens. </w:t>
      </w:r>
    </w:p>
    <w:p w:rsidR="002538D7" w:rsidRPr="00DD40CC" w:rsidRDefault="002538D7" w:rsidP="002538D7">
      <w:pPr>
        <w:numPr>
          <w:ilvl w:val="0"/>
          <w:numId w:val="62"/>
        </w:numPr>
        <w:contextualSpacing/>
        <w:rPr>
          <w:rFonts w:eastAsia="Times New Roman" w:cs="Arial"/>
          <w:szCs w:val="24"/>
          <w:lang w:eastAsia="pt-BR"/>
        </w:rPr>
      </w:pPr>
      <w:r w:rsidRPr="00DD40CC">
        <w:rPr>
          <w:rFonts w:eastAsia="Times New Roman" w:cs="Arial"/>
          <w:szCs w:val="24"/>
          <w:lang w:eastAsia="pt-BR"/>
        </w:rPr>
        <w:t>Lâmpadas fluorescentes, de vapor de sódio e mercúrio e de luz mista.</w:t>
      </w:r>
    </w:p>
    <w:p w:rsidR="002538D7" w:rsidRPr="00DD40CC" w:rsidRDefault="002538D7" w:rsidP="002538D7">
      <w:pPr>
        <w:numPr>
          <w:ilvl w:val="0"/>
          <w:numId w:val="62"/>
        </w:numPr>
        <w:contextualSpacing/>
        <w:rPr>
          <w:rFonts w:eastAsia="Times New Roman" w:cs="Arial"/>
          <w:szCs w:val="24"/>
          <w:lang w:eastAsia="pt-BR"/>
        </w:rPr>
      </w:pPr>
      <w:r w:rsidRPr="00DD40CC">
        <w:rPr>
          <w:rFonts w:eastAsia="Times New Roman" w:cs="Arial"/>
          <w:szCs w:val="24"/>
          <w:lang w:eastAsia="pt-BR"/>
        </w:rPr>
        <w:t>Produtos eletroeletrônicos e seus componentes.</w:t>
      </w:r>
    </w:p>
    <w:p w:rsidR="002538D7" w:rsidRPr="00DD40CC" w:rsidRDefault="002538D7" w:rsidP="002538D7">
      <w:pPr>
        <w:numPr>
          <w:ilvl w:val="0"/>
          <w:numId w:val="62"/>
        </w:numPr>
        <w:contextualSpacing/>
        <w:rPr>
          <w:rFonts w:eastAsia="Times New Roman" w:cs="Arial"/>
          <w:szCs w:val="24"/>
          <w:lang w:eastAsia="pt-BR"/>
        </w:rPr>
      </w:pPr>
      <w:r w:rsidRPr="00DD40CC">
        <w:rPr>
          <w:rFonts w:eastAsia="Times New Roman" w:cs="Arial"/>
          <w:szCs w:val="24"/>
          <w:lang w:eastAsia="pt-BR"/>
        </w:rPr>
        <w:t>Produtos comercializados em embalagens plásticas, metálicas ou de vidro</w:t>
      </w:r>
      <w:r w:rsidRPr="00DD40CC">
        <w:rPr>
          <w:rFonts w:eastAsia="Times New Roman" w:cs="Arial"/>
          <w:szCs w:val="20"/>
          <w:lang w:eastAsia="pt-BR"/>
        </w:rPr>
        <w:t>.</w:t>
      </w:r>
    </w:p>
    <w:p w:rsidR="002538D7" w:rsidRPr="00DD40CC" w:rsidRDefault="002538D7" w:rsidP="002538D7">
      <w:pPr>
        <w:ind w:firstLine="709"/>
        <w:rPr>
          <w:rFonts w:cs="Arial"/>
          <w:szCs w:val="24"/>
        </w:rPr>
      </w:pPr>
      <w:r w:rsidRPr="00DD40CC">
        <w:rPr>
          <w:rFonts w:cs="Arial"/>
          <w:szCs w:val="24"/>
        </w:rPr>
        <w:t>A PNRS também dispõe que cabe aos fabricantes, importadores, distribuidores e comerciantes desses produtos, “tomar todas as medidas necessárias para assegurar a implementação e operacionalização do sistema de logística reversa sob seu encargo, podendo, entre outras providências: </w:t>
      </w:r>
    </w:p>
    <w:p w:rsidR="002538D7" w:rsidRPr="00DD40CC" w:rsidRDefault="002538D7" w:rsidP="002538D7">
      <w:pPr>
        <w:ind w:firstLine="709"/>
        <w:rPr>
          <w:rFonts w:cs="Arial"/>
          <w:szCs w:val="24"/>
        </w:rPr>
      </w:pPr>
      <w:r w:rsidRPr="00DD40CC">
        <w:rPr>
          <w:rFonts w:cs="Arial"/>
          <w:szCs w:val="24"/>
        </w:rPr>
        <w:t>I - implantar procedimentos de compra de produtos ou embalagens usados; </w:t>
      </w:r>
    </w:p>
    <w:p w:rsidR="002538D7" w:rsidRPr="00DD40CC" w:rsidRDefault="002538D7" w:rsidP="002538D7">
      <w:pPr>
        <w:ind w:firstLine="709"/>
        <w:rPr>
          <w:rFonts w:cs="Arial"/>
          <w:szCs w:val="24"/>
        </w:rPr>
      </w:pPr>
      <w:r w:rsidRPr="00DD40CC">
        <w:rPr>
          <w:rFonts w:cs="Arial"/>
          <w:szCs w:val="24"/>
        </w:rPr>
        <w:t>II - disponibilizar postos de entrega de resíduos reutilizáveis e recicláveis; </w:t>
      </w:r>
    </w:p>
    <w:p w:rsidR="002538D7" w:rsidRPr="00DD40CC" w:rsidRDefault="002538D7" w:rsidP="002538D7">
      <w:pPr>
        <w:ind w:firstLine="709"/>
        <w:rPr>
          <w:rFonts w:cs="Arial"/>
        </w:rPr>
      </w:pPr>
      <w:r w:rsidRPr="00DD40CC">
        <w:rPr>
          <w:rFonts w:cs="Arial"/>
          <w:szCs w:val="24"/>
        </w:rPr>
        <w:t>III - atuar em parceria com cooperativas ou outras formas de associação de catadores de materiais reutilizáveis</w:t>
      </w:r>
      <w:r w:rsidRPr="00DD40CC">
        <w:rPr>
          <w:rFonts w:cs="Arial"/>
        </w:rPr>
        <w:t xml:space="preserve"> e recicláveis”.  </w:t>
      </w:r>
    </w:p>
    <w:p w:rsidR="002538D7" w:rsidRPr="00DD40CC" w:rsidRDefault="002538D7" w:rsidP="002538D7">
      <w:pPr>
        <w:ind w:firstLine="709"/>
        <w:rPr>
          <w:rFonts w:cs="Arial"/>
          <w:szCs w:val="24"/>
        </w:rPr>
      </w:pPr>
      <w:r w:rsidRPr="00DD40CC">
        <w:rPr>
          <w:rFonts w:cs="Arial"/>
          <w:szCs w:val="24"/>
        </w:rPr>
        <w:t xml:space="preserve">A PNRS também determina que “se o titular do serviço público de limpeza urbana e de manejo de resíduos sólidos (Administração Pública), por acordo setorial ou termo de compromisso firmado com o setor empresarial, encarregar-se de atividades de responsabilidade dos fabricantes, importadores, distribuidores e comerciantes nos sistemas de logística reversa desses resíduos, </w:t>
      </w:r>
      <w:r w:rsidRPr="00DD40CC">
        <w:rPr>
          <w:rFonts w:cs="Arial"/>
          <w:b/>
          <w:szCs w:val="24"/>
        </w:rPr>
        <w:t>as ações do Poder Público serão devidamente remuneradas, na forma previamente acordada entre as partes”</w:t>
      </w:r>
      <w:r w:rsidRPr="00DD40CC">
        <w:rPr>
          <w:rFonts w:cs="Arial"/>
          <w:szCs w:val="24"/>
        </w:rPr>
        <w:t xml:space="preserve"> (grifo nosso). </w:t>
      </w:r>
    </w:p>
    <w:p w:rsidR="002538D7" w:rsidRPr="00DD40CC" w:rsidRDefault="002538D7" w:rsidP="002538D7">
      <w:pPr>
        <w:ind w:firstLine="709"/>
        <w:rPr>
          <w:rFonts w:cs="Arial"/>
          <w:szCs w:val="24"/>
        </w:rPr>
      </w:pPr>
      <w:bookmarkStart w:id="652" w:name="_Toc372038723"/>
      <w:r w:rsidRPr="00DD40CC">
        <w:rPr>
          <w:rFonts w:cs="Arial"/>
          <w:szCs w:val="24"/>
        </w:rPr>
        <w:t xml:space="preserve">Assim, vê-se que o processo de logística reversa é estabelecido em função do tipo de resíduo gerado e de seu ciclo de vida ao longo da cadeia produtiva. </w:t>
      </w:r>
    </w:p>
    <w:p w:rsidR="002538D7" w:rsidRPr="00DD40CC" w:rsidRDefault="002538D7" w:rsidP="002538D7">
      <w:pPr>
        <w:ind w:firstLine="709"/>
        <w:rPr>
          <w:rFonts w:cs="Arial"/>
          <w:szCs w:val="24"/>
        </w:rPr>
      </w:pPr>
      <w:r w:rsidRPr="00DD40CC">
        <w:rPr>
          <w:rFonts w:cs="Arial"/>
          <w:szCs w:val="24"/>
        </w:rPr>
        <w:t>Apesar de ser importante a parcela de responsabilidade das empresas privadas na gestão dos resíduos sujeitos à logística reversa, o Poder Público também precisa comprometer-se com atividades de suma importância, uma vez que cabe a ele:</w:t>
      </w:r>
    </w:p>
    <w:bookmarkEnd w:id="652"/>
    <w:p w:rsidR="002538D7" w:rsidRPr="00DD40CC" w:rsidRDefault="002538D7" w:rsidP="002538D7">
      <w:pPr>
        <w:numPr>
          <w:ilvl w:val="0"/>
          <w:numId w:val="13"/>
        </w:numPr>
        <w:ind w:left="1276" w:hanging="425"/>
        <w:contextualSpacing/>
        <w:rPr>
          <w:rFonts w:eastAsia="Times New Roman" w:cs="Arial"/>
          <w:szCs w:val="20"/>
          <w:lang w:eastAsia="pt-BR"/>
        </w:rPr>
      </w:pPr>
      <w:r w:rsidRPr="00DD40CC">
        <w:rPr>
          <w:rFonts w:eastAsia="Times New Roman" w:cs="Arial"/>
          <w:szCs w:val="20"/>
          <w:lang w:eastAsia="pt-BR"/>
        </w:rPr>
        <w:t>Cadastrar os produtos passíveis de logística reversa gerados no município (usar como referência os resíduos indicados na Lei nº 12.305/07).</w:t>
      </w:r>
    </w:p>
    <w:p w:rsidR="002538D7" w:rsidRPr="0027594C" w:rsidRDefault="002538D7" w:rsidP="002538D7">
      <w:pPr>
        <w:numPr>
          <w:ilvl w:val="0"/>
          <w:numId w:val="13"/>
        </w:numPr>
        <w:ind w:left="1276" w:hanging="425"/>
        <w:contextualSpacing/>
        <w:rPr>
          <w:rFonts w:eastAsia="Times New Roman" w:cs="Arial"/>
          <w:szCs w:val="20"/>
          <w:lang w:eastAsia="pt-BR"/>
        </w:rPr>
      </w:pPr>
      <w:r w:rsidRPr="00DD40CC">
        <w:rPr>
          <w:rFonts w:eastAsia="Times New Roman" w:cs="Arial"/>
          <w:szCs w:val="20"/>
          <w:lang w:eastAsia="pt-BR"/>
        </w:rPr>
        <w:lastRenderedPageBreak/>
        <w:t>Para os resíduos passíveis de logística reversa, planejar o caminhamento invertido na cadeia produtiva, buscando seu reaproveitamento ou uma forma de disposição final ambientalmente adequada. Uma vez firmados os acordos ou termos de compromisso, passar para a implementação de ações, busca</w:t>
      </w:r>
      <w:r w:rsidRPr="0027594C">
        <w:rPr>
          <w:rFonts w:eastAsia="Times New Roman" w:cs="Arial"/>
          <w:szCs w:val="20"/>
          <w:lang w:eastAsia="pt-BR"/>
        </w:rPr>
        <w:t>ndo o cumprimento das metas conforme planejadas.</w:t>
      </w:r>
    </w:p>
    <w:p w:rsidR="002538D7" w:rsidRPr="0027594C" w:rsidRDefault="002538D7" w:rsidP="002538D7">
      <w:pPr>
        <w:numPr>
          <w:ilvl w:val="0"/>
          <w:numId w:val="13"/>
        </w:numPr>
        <w:ind w:left="1276" w:hanging="425"/>
        <w:contextualSpacing/>
        <w:rPr>
          <w:rFonts w:eastAsia="Times New Roman" w:cs="Arial"/>
          <w:szCs w:val="20"/>
          <w:lang w:eastAsia="pt-BR"/>
        </w:rPr>
      </w:pPr>
      <w:r w:rsidRPr="0027594C">
        <w:rPr>
          <w:rFonts w:eastAsia="Times New Roman" w:cs="Arial"/>
          <w:szCs w:val="20"/>
          <w:lang w:eastAsia="pt-BR"/>
        </w:rPr>
        <w:t>Quanto aos resíduos sólidos oriundos dos serviços de limpeza urbana e de manejo de resíduos sólidos que sejam passíveis de logística reversa, articular, com os agentes econômicos e sociais presentes no Município, medidas para viabilizar seu retorno ao ciclo produtivo ou sua disposição final ambientalmente adequada.</w:t>
      </w:r>
    </w:p>
    <w:p w:rsidR="002538D7" w:rsidRPr="0027594C" w:rsidRDefault="002538D7" w:rsidP="002538D7">
      <w:pPr>
        <w:numPr>
          <w:ilvl w:val="0"/>
          <w:numId w:val="13"/>
        </w:numPr>
        <w:ind w:left="1276" w:hanging="425"/>
        <w:contextualSpacing/>
        <w:rPr>
          <w:rFonts w:eastAsia="Times New Roman" w:cs="Arial"/>
          <w:szCs w:val="20"/>
          <w:lang w:eastAsia="pt-BR"/>
        </w:rPr>
      </w:pPr>
      <w:r w:rsidRPr="0027594C">
        <w:rPr>
          <w:rFonts w:eastAsia="Times New Roman" w:cs="Arial"/>
          <w:szCs w:val="20"/>
          <w:lang w:eastAsia="pt-BR"/>
        </w:rPr>
        <w:t>Adotar os seguintes meios de controle:</w:t>
      </w:r>
    </w:p>
    <w:p w:rsidR="002538D7" w:rsidRPr="0027594C" w:rsidRDefault="002538D7" w:rsidP="002538D7">
      <w:pPr>
        <w:numPr>
          <w:ilvl w:val="1"/>
          <w:numId w:val="70"/>
        </w:numPr>
        <w:contextualSpacing/>
        <w:rPr>
          <w:rFonts w:eastAsia="Times New Roman" w:cs="Arial"/>
          <w:szCs w:val="20"/>
          <w:lang w:eastAsia="pt-BR"/>
        </w:rPr>
      </w:pPr>
      <w:r w:rsidRPr="0027594C">
        <w:rPr>
          <w:rFonts w:eastAsia="Times New Roman" w:cs="Arial"/>
          <w:szCs w:val="20"/>
          <w:lang w:eastAsia="pt-BR"/>
        </w:rPr>
        <w:t>Regulamentação de todos os procedimentos acordados no âmbito da logística reversa e fiscalização do cumprimento dos procedimentos e das ações acordadas em Termos de Compromisso ou Acordos Setoriais, por meio dos serviços de fiscais municipais devidamente treinados para esse fim.</w:t>
      </w:r>
    </w:p>
    <w:p w:rsidR="002538D7" w:rsidRPr="0027594C" w:rsidRDefault="002538D7" w:rsidP="002538D7">
      <w:pPr>
        <w:numPr>
          <w:ilvl w:val="1"/>
          <w:numId w:val="70"/>
        </w:numPr>
        <w:contextualSpacing/>
        <w:rPr>
          <w:rFonts w:eastAsia="Times New Roman" w:cs="Arial"/>
          <w:szCs w:val="20"/>
          <w:lang w:eastAsia="pt-BR"/>
        </w:rPr>
      </w:pPr>
      <w:r w:rsidRPr="0027594C">
        <w:rPr>
          <w:rFonts w:eastAsia="Times New Roman" w:cs="Arial"/>
          <w:szCs w:val="20"/>
          <w:lang w:eastAsia="pt-BR"/>
        </w:rPr>
        <w:t>Inclusão entre as atribuições do Conselho Municipal de Saneamento Básico, ou outro que assuma a tarefa, o acompanhamento do cumprimento das ações acordadas.</w:t>
      </w:r>
    </w:p>
    <w:p w:rsidR="002538D7" w:rsidRPr="0027594C" w:rsidRDefault="002538D7" w:rsidP="002538D7">
      <w:pPr>
        <w:numPr>
          <w:ilvl w:val="1"/>
          <w:numId w:val="70"/>
        </w:numPr>
        <w:contextualSpacing/>
        <w:rPr>
          <w:rFonts w:eastAsia="Times New Roman" w:cs="Arial"/>
          <w:szCs w:val="20"/>
          <w:lang w:eastAsia="pt-BR"/>
        </w:rPr>
      </w:pPr>
      <w:r w:rsidRPr="0027594C">
        <w:rPr>
          <w:rFonts w:eastAsia="Times New Roman" w:cs="Arial"/>
          <w:szCs w:val="20"/>
          <w:lang w:eastAsia="pt-BR"/>
        </w:rPr>
        <w:t>Disponibilização à população de relatórios anuais mostrando o desempenho da devolução de cada tipo de resíduos à cadeia produtiva, discriminando o papel de cada participante nos programas acordados no âmbito da logística reversa.</w:t>
      </w:r>
    </w:p>
    <w:p w:rsidR="002538D7" w:rsidRPr="0027594C" w:rsidRDefault="002538D7" w:rsidP="002538D7">
      <w:pPr>
        <w:numPr>
          <w:ilvl w:val="1"/>
          <w:numId w:val="70"/>
        </w:numPr>
        <w:contextualSpacing/>
        <w:rPr>
          <w:rFonts w:eastAsia="Times New Roman" w:cs="Arial"/>
          <w:szCs w:val="20"/>
          <w:lang w:eastAsia="pt-BR"/>
        </w:rPr>
      </w:pPr>
      <w:r w:rsidRPr="0027594C">
        <w:rPr>
          <w:rFonts w:eastAsia="Times New Roman" w:cs="Arial"/>
          <w:szCs w:val="20"/>
          <w:lang w:eastAsia="pt-BR"/>
        </w:rPr>
        <w:t>Fiscalização, de modo particular, quanto aos procedimentos adotados pelos comerciantes e distribuidores, sobre a devolução aos fabricantes ou aos importadores, o encaminhamento a uma destinação final ambientalmente adequada, os referidos materiais descartados e os rejeitos provenientes desses materiais.</w:t>
      </w:r>
    </w:p>
    <w:p w:rsidR="002538D7" w:rsidRPr="0027594C" w:rsidRDefault="002538D7" w:rsidP="002538D7">
      <w:pPr>
        <w:numPr>
          <w:ilvl w:val="1"/>
          <w:numId w:val="70"/>
        </w:numPr>
        <w:contextualSpacing/>
        <w:rPr>
          <w:rFonts w:eastAsia="Times New Roman" w:cs="Arial"/>
          <w:szCs w:val="20"/>
          <w:lang w:eastAsia="pt-BR"/>
        </w:rPr>
      </w:pPr>
      <w:r w:rsidRPr="0027594C">
        <w:rPr>
          <w:rFonts w:eastAsia="Times New Roman" w:cs="Arial"/>
          <w:szCs w:val="20"/>
          <w:lang w:eastAsia="pt-BR"/>
        </w:rPr>
        <w:t>Exigir que todos os participantes dos sistemas de logística reversa disponibilizem ao órgão municipal informações completas e periódicas sobre a realização de suas ações relacionadas a essa prática.</w:t>
      </w:r>
    </w:p>
    <w:p w:rsidR="002538D7" w:rsidRPr="00DD40CC" w:rsidRDefault="002538D7" w:rsidP="002538D7">
      <w:pPr>
        <w:numPr>
          <w:ilvl w:val="0"/>
          <w:numId w:val="13"/>
        </w:numPr>
        <w:ind w:left="1276" w:hanging="425"/>
        <w:contextualSpacing/>
        <w:rPr>
          <w:rFonts w:eastAsia="Times New Roman" w:cs="Arial"/>
          <w:szCs w:val="20"/>
          <w:lang w:eastAsia="pt-BR"/>
        </w:rPr>
      </w:pPr>
      <w:r w:rsidRPr="00DD40CC">
        <w:rPr>
          <w:rFonts w:eastAsia="Times New Roman" w:cs="Arial"/>
          <w:szCs w:val="20"/>
          <w:lang w:eastAsia="pt-BR"/>
        </w:rPr>
        <w:lastRenderedPageBreak/>
        <w:t>Incentivar o setor empresarial a contemplar os agentes ambientais (catadores de materiais recicláveis) na articulação da logística reversa.</w:t>
      </w:r>
      <w:bookmarkStart w:id="653" w:name="_Toc372038880"/>
      <w:bookmarkStart w:id="654" w:name="_Toc392169875"/>
    </w:p>
    <w:p w:rsidR="002538D7" w:rsidRPr="00DD40CC" w:rsidRDefault="002538D7" w:rsidP="002538D7">
      <w:pPr>
        <w:numPr>
          <w:ilvl w:val="0"/>
          <w:numId w:val="13"/>
        </w:numPr>
        <w:ind w:left="1276" w:hanging="425"/>
        <w:contextualSpacing/>
        <w:rPr>
          <w:rFonts w:eastAsia="Times New Roman" w:cs="Arial"/>
          <w:szCs w:val="20"/>
          <w:lang w:eastAsia="pt-BR"/>
        </w:rPr>
      </w:pPr>
      <w:r w:rsidRPr="00DD40CC">
        <w:rPr>
          <w:rFonts w:eastAsia="Times New Roman" w:cs="Arial"/>
          <w:szCs w:val="20"/>
          <w:lang w:eastAsia="pt-BR"/>
        </w:rPr>
        <w:t>Instituir legislação municipal regulando cada um dos acordos setoriais, especificando os compromissos em termos de atribuições, fiscalização e prazos para cumprimento.</w:t>
      </w:r>
    </w:p>
    <w:p w:rsidR="002538D7" w:rsidRPr="00DD40CC" w:rsidRDefault="002538D7" w:rsidP="002538D7">
      <w:pPr>
        <w:ind w:firstLine="709"/>
        <w:rPr>
          <w:rFonts w:cs="Arial"/>
          <w:szCs w:val="24"/>
        </w:rPr>
      </w:pPr>
      <w:r w:rsidRPr="002538D7">
        <w:rPr>
          <w:rFonts w:cs="Arial"/>
          <w:szCs w:val="24"/>
        </w:rPr>
        <w:t xml:space="preserve">O </w:t>
      </w:r>
      <w:r w:rsidRPr="002538D7">
        <w:rPr>
          <w:rFonts w:cs="Arial"/>
          <w:szCs w:val="24"/>
        </w:rPr>
        <w:fldChar w:fldCharType="begin"/>
      </w:r>
      <w:r w:rsidRPr="002538D7">
        <w:rPr>
          <w:rFonts w:cs="Arial"/>
          <w:szCs w:val="24"/>
        </w:rPr>
        <w:instrText xml:space="preserve"> REF _Ref492306781 \h  \* MERGEFORMAT </w:instrText>
      </w:r>
      <w:r w:rsidRPr="002538D7">
        <w:rPr>
          <w:rFonts w:cs="Arial"/>
          <w:szCs w:val="24"/>
        </w:rPr>
      </w:r>
      <w:r w:rsidRPr="002538D7">
        <w:rPr>
          <w:rFonts w:cs="Arial"/>
          <w:szCs w:val="24"/>
        </w:rPr>
        <w:fldChar w:fldCharType="separate"/>
      </w:r>
      <w:r w:rsidR="004D1D76" w:rsidRPr="004D1D76">
        <w:rPr>
          <w:rFonts w:eastAsia="Times New Roman" w:cs="Arial"/>
          <w:bCs/>
          <w:szCs w:val="24"/>
          <w:lang w:val="x-none" w:eastAsia="x-none"/>
        </w:rPr>
        <w:t xml:space="preserve">Quadro </w:t>
      </w:r>
      <w:r w:rsidR="004D1D76" w:rsidRPr="004D1D76">
        <w:rPr>
          <w:rFonts w:eastAsia="Times New Roman" w:cs="Arial"/>
          <w:bCs/>
          <w:noProof/>
          <w:szCs w:val="24"/>
          <w:lang w:val="x-none" w:eastAsia="x-none"/>
        </w:rPr>
        <w:t>71</w:t>
      </w:r>
      <w:r w:rsidRPr="002538D7">
        <w:rPr>
          <w:rFonts w:cs="Arial"/>
          <w:szCs w:val="24"/>
        </w:rPr>
        <w:fldChar w:fldCharType="end"/>
      </w:r>
      <w:r w:rsidRPr="002538D7">
        <w:rPr>
          <w:rFonts w:cs="Arial"/>
          <w:szCs w:val="24"/>
        </w:rPr>
        <w:t xml:space="preserve"> ilustra as etapas do gerenciamento de resíduos sujeitos à logística reversa, indica que os instrumentos de gestão do processo são os acordos setoriais e/ou os termos de compromisso e dá alguns exemplos</w:t>
      </w:r>
      <w:r w:rsidRPr="00DD40CC">
        <w:rPr>
          <w:rFonts w:cs="Arial"/>
          <w:szCs w:val="24"/>
        </w:rPr>
        <w:t xml:space="preserve"> de cuidados a serem tomados em cada etapa, além de atribuir as responsabilidades pela tomada das ações.  </w:t>
      </w:r>
    </w:p>
    <w:p w:rsidR="002538D7" w:rsidRPr="00DD40CC" w:rsidRDefault="002538D7" w:rsidP="00B51A90">
      <w:pPr>
        <w:pStyle w:val="Legenda"/>
      </w:pPr>
      <w:bookmarkStart w:id="655" w:name="_Ref492306781"/>
      <w:bookmarkStart w:id="656" w:name="_Toc399257207"/>
      <w:bookmarkStart w:id="657" w:name="_Ref492306748"/>
      <w:bookmarkStart w:id="658" w:name="_Toc493151621"/>
      <w:bookmarkStart w:id="659" w:name="_Toc497469192"/>
      <w:r w:rsidRPr="00DD40CC">
        <w:t xml:space="preserve">Quadro </w:t>
      </w:r>
      <w:r w:rsidR="00D71C43">
        <w:fldChar w:fldCharType="begin"/>
      </w:r>
      <w:r w:rsidR="00D71C43">
        <w:instrText xml:space="preserve"> SEQ Quadro \* ARABIC </w:instrText>
      </w:r>
      <w:r w:rsidR="00D71C43">
        <w:fldChar w:fldCharType="separate"/>
      </w:r>
      <w:r w:rsidR="004D1D76">
        <w:rPr>
          <w:noProof/>
        </w:rPr>
        <w:t>71</w:t>
      </w:r>
      <w:r w:rsidR="00D71C43">
        <w:rPr>
          <w:noProof/>
        </w:rPr>
        <w:fldChar w:fldCharType="end"/>
      </w:r>
      <w:bookmarkEnd w:id="655"/>
      <w:r w:rsidRPr="00DD40CC">
        <w:t xml:space="preserve"> - Resumo geral das etapas da logística reversa e responsabilidades</w:t>
      </w:r>
      <w:bookmarkEnd w:id="653"/>
      <w:bookmarkEnd w:id="654"/>
      <w:bookmarkEnd w:id="656"/>
      <w:bookmarkEnd w:id="657"/>
      <w:bookmarkEnd w:id="658"/>
      <w:bookmarkEnd w:id="6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2"/>
        <w:gridCol w:w="1960"/>
        <w:gridCol w:w="3684"/>
        <w:gridCol w:w="2154"/>
      </w:tblGrid>
      <w:tr w:rsidR="002538D7" w:rsidRPr="00DD40CC" w:rsidTr="00665BBB">
        <w:trPr>
          <w:jc w:val="center"/>
        </w:trPr>
        <w:tc>
          <w:tcPr>
            <w:tcW w:w="0" w:type="auto"/>
            <w:shd w:val="clear" w:color="auto" w:fill="auto"/>
            <w:vAlign w:val="center"/>
          </w:tcPr>
          <w:p w:rsidR="002538D7" w:rsidRPr="00DD40CC" w:rsidRDefault="002538D7" w:rsidP="00642595">
            <w:pPr>
              <w:spacing w:line="240" w:lineRule="auto"/>
              <w:jc w:val="center"/>
              <w:rPr>
                <w:rFonts w:cs="Arial"/>
                <w:b/>
                <w:bCs/>
                <w:sz w:val="20"/>
                <w:szCs w:val="20"/>
              </w:rPr>
            </w:pPr>
            <w:r w:rsidRPr="00DD40CC">
              <w:rPr>
                <w:rFonts w:cs="Arial"/>
                <w:b/>
                <w:bCs/>
                <w:sz w:val="20"/>
                <w:szCs w:val="20"/>
              </w:rPr>
              <w:t>Etapa</w:t>
            </w:r>
          </w:p>
        </w:tc>
        <w:tc>
          <w:tcPr>
            <w:tcW w:w="0" w:type="auto"/>
            <w:shd w:val="clear" w:color="auto" w:fill="auto"/>
            <w:vAlign w:val="center"/>
          </w:tcPr>
          <w:p w:rsidR="002538D7" w:rsidRPr="00DD40CC" w:rsidRDefault="002538D7" w:rsidP="00642595">
            <w:pPr>
              <w:spacing w:line="240" w:lineRule="auto"/>
              <w:jc w:val="center"/>
              <w:rPr>
                <w:rFonts w:cs="Arial"/>
                <w:b/>
                <w:bCs/>
                <w:sz w:val="20"/>
                <w:szCs w:val="20"/>
              </w:rPr>
            </w:pPr>
            <w:r w:rsidRPr="00DD40CC">
              <w:rPr>
                <w:rFonts w:cs="Arial"/>
                <w:b/>
                <w:bCs/>
                <w:sz w:val="20"/>
                <w:szCs w:val="20"/>
              </w:rPr>
              <w:t>Formas legais para viabilizar a gestão do resíduo</w:t>
            </w:r>
          </w:p>
        </w:tc>
        <w:tc>
          <w:tcPr>
            <w:tcW w:w="0" w:type="auto"/>
            <w:vAlign w:val="center"/>
          </w:tcPr>
          <w:p w:rsidR="002538D7" w:rsidRPr="00DD40CC" w:rsidRDefault="002538D7" w:rsidP="00642595">
            <w:pPr>
              <w:spacing w:line="240" w:lineRule="auto"/>
              <w:jc w:val="center"/>
              <w:rPr>
                <w:rFonts w:cs="Arial"/>
                <w:b/>
                <w:bCs/>
                <w:sz w:val="20"/>
                <w:szCs w:val="20"/>
              </w:rPr>
            </w:pPr>
            <w:r w:rsidRPr="00DD40CC">
              <w:rPr>
                <w:rFonts w:cs="Arial"/>
                <w:b/>
                <w:bCs/>
                <w:sz w:val="20"/>
                <w:szCs w:val="20"/>
              </w:rPr>
              <w:t>Ação</w:t>
            </w:r>
          </w:p>
        </w:tc>
        <w:tc>
          <w:tcPr>
            <w:tcW w:w="0" w:type="auto"/>
            <w:vAlign w:val="center"/>
          </w:tcPr>
          <w:p w:rsidR="002538D7" w:rsidRPr="00DD40CC" w:rsidRDefault="002538D7" w:rsidP="00642595">
            <w:pPr>
              <w:spacing w:line="240" w:lineRule="auto"/>
              <w:jc w:val="center"/>
              <w:rPr>
                <w:rFonts w:cs="Arial"/>
                <w:b/>
                <w:bCs/>
                <w:sz w:val="20"/>
                <w:szCs w:val="20"/>
              </w:rPr>
            </w:pPr>
            <w:r w:rsidRPr="00DD40CC">
              <w:rPr>
                <w:rFonts w:cs="Arial"/>
                <w:b/>
                <w:bCs/>
                <w:sz w:val="20"/>
                <w:szCs w:val="20"/>
              </w:rPr>
              <w:t>Responsabilidade</w:t>
            </w:r>
          </w:p>
        </w:tc>
      </w:tr>
      <w:tr w:rsidR="002538D7" w:rsidRPr="00DD40CC" w:rsidTr="00665BBB">
        <w:trPr>
          <w:jc w:val="center"/>
        </w:trPr>
        <w:tc>
          <w:tcPr>
            <w:tcW w:w="0" w:type="auto"/>
            <w:shd w:val="clear" w:color="auto" w:fill="D3DFEE"/>
            <w:vAlign w:val="center"/>
          </w:tcPr>
          <w:p w:rsidR="002538D7" w:rsidRPr="00DD40CC" w:rsidRDefault="002538D7" w:rsidP="00642595">
            <w:pPr>
              <w:spacing w:line="240" w:lineRule="auto"/>
              <w:jc w:val="center"/>
              <w:rPr>
                <w:rFonts w:cs="Arial"/>
                <w:b/>
                <w:bCs/>
                <w:sz w:val="20"/>
                <w:szCs w:val="20"/>
              </w:rPr>
            </w:pPr>
            <w:r w:rsidRPr="00DD40CC">
              <w:rPr>
                <w:rFonts w:cs="Arial"/>
                <w:b/>
                <w:bCs/>
                <w:sz w:val="20"/>
                <w:szCs w:val="20"/>
              </w:rPr>
              <w:t>Coleta / Entrega</w:t>
            </w:r>
          </w:p>
        </w:tc>
        <w:tc>
          <w:tcPr>
            <w:tcW w:w="0" w:type="auto"/>
            <w:shd w:val="clear" w:color="auto" w:fill="D3DFEE"/>
          </w:tcPr>
          <w:p w:rsidR="002538D7" w:rsidRPr="00DD40CC" w:rsidRDefault="002538D7" w:rsidP="00642595">
            <w:pPr>
              <w:autoSpaceDE w:val="0"/>
              <w:autoSpaceDN w:val="0"/>
              <w:adjustRightInd w:val="0"/>
              <w:spacing w:line="240" w:lineRule="auto"/>
              <w:jc w:val="left"/>
              <w:rPr>
                <w:rFonts w:cs="Arial"/>
                <w:sz w:val="20"/>
                <w:szCs w:val="20"/>
              </w:rPr>
            </w:pPr>
            <w:r w:rsidRPr="00DD40CC">
              <w:rPr>
                <w:rFonts w:cs="Arial"/>
                <w:sz w:val="20"/>
                <w:szCs w:val="20"/>
              </w:rPr>
              <w:t>Acordo Setorial ou Termo de Compromisso, firmados entre o Poder Público e o setor privado.</w:t>
            </w:r>
          </w:p>
        </w:tc>
        <w:tc>
          <w:tcPr>
            <w:tcW w:w="0" w:type="auto"/>
            <w:shd w:val="clear" w:color="auto" w:fill="D3DFEE"/>
          </w:tcPr>
          <w:p w:rsidR="002538D7" w:rsidRPr="00DD40CC" w:rsidRDefault="002538D7" w:rsidP="00642595">
            <w:pPr>
              <w:autoSpaceDE w:val="0"/>
              <w:autoSpaceDN w:val="0"/>
              <w:adjustRightInd w:val="0"/>
              <w:spacing w:line="240" w:lineRule="auto"/>
              <w:jc w:val="left"/>
              <w:rPr>
                <w:rFonts w:cs="Arial"/>
                <w:sz w:val="20"/>
                <w:szCs w:val="20"/>
              </w:rPr>
            </w:pPr>
            <w:r w:rsidRPr="00DD40CC">
              <w:rPr>
                <w:rFonts w:cs="Arial"/>
                <w:sz w:val="20"/>
                <w:szCs w:val="20"/>
              </w:rPr>
              <w:t>Coletar os resíduos nos locais de origem, separada ou conjuntamente com a coleta seletiva, ou viabilizar pontos de devolução em estabelecimentos definidos e amplamente divulgados.</w:t>
            </w:r>
          </w:p>
        </w:tc>
        <w:tc>
          <w:tcPr>
            <w:tcW w:w="0" w:type="auto"/>
            <w:shd w:val="clear" w:color="auto" w:fill="D3DFEE"/>
          </w:tcPr>
          <w:p w:rsidR="002538D7" w:rsidRPr="00DD40CC" w:rsidRDefault="002538D7" w:rsidP="00642595">
            <w:pPr>
              <w:autoSpaceDE w:val="0"/>
              <w:autoSpaceDN w:val="0"/>
              <w:adjustRightInd w:val="0"/>
              <w:spacing w:line="240" w:lineRule="auto"/>
              <w:jc w:val="left"/>
              <w:rPr>
                <w:rFonts w:cs="Arial"/>
                <w:sz w:val="20"/>
                <w:szCs w:val="20"/>
              </w:rPr>
            </w:pPr>
            <w:r w:rsidRPr="00DD40CC">
              <w:rPr>
                <w:rFonts w:cs="Arial"/>
                <w:sz w:val="20"/>
                <w:szCs w:val="20"/>
              </w:rPr>
              <w:t xml:space="preserve">Fabricantes, importadores, distribuidores ou comerciantes. </w:t>
            </w:r>
          </w:p>
          <w:p w:rsidR="002538D7" w:rsidRPr="00DD40CC" w:rsidRDefault="002538D7" w:rsidP="00642595">
            <w:pPr>
              <w:autoSpaceDE w:val="0"/>
              <w:autoSpaceDN w:val="0"/>
              <w:adjustRightInd w:val="0"/>
              <w:spacing w:line="240" w:lineRule="auto"/>
              <w:jc w:val="left"/>
              <w:rPr>
                <w:rFonts w:cs="Arial"/>
                <w:sz w:val="20"/>
                <w:szCs w:val="20"/>
              </w:rPr>
            </w:pPr>
            <w:r w:rsidRPr="00DD40CC">
              <w:rPr>
                <w:rFonts w:cs="Arial"/>
                <w:sz w:val="20"/>
                <w:szCs w:val="20"/>
              </w:rPr>
              <w:t>Caso seja acordado, Prefeitura Municipal.</w:t>
            </w:r>
          </w:p>
        </w:tc>
      </w:tr>
      <w:tr w:rsidR="002538D7" w:rsidRPr="00DD40CC" w:rsidTr="00665BBB">
        <w:trPr>
          <w:jc w:val="center"/>
        </w:trPr>
        <w:tc>
          <w:tcPr>
            <w:tcW w:w="0" w:type="auto"/>
            <w:shd w:val="clear" w:color="auto" w:fill="auto"/>
            <w:vAlign w:val="center"/>
          </w:tcPr>
          <w:p w:rsidR="002538D7" w:rsidRPr="00DD40CC" w:rsidRDefault="002538D7" w:rsidP="00642595">
            <w:pPr>
              <w:spacing w:line="240" w:lineRule="auto"/>
              <w:jc w:val="center"/>
              <w:rPr>
                <w:rFonts w:cs="Arial"/>
                <w:b/>
                <w:bCs/>
                <w:sz w:val="20"/>
                <w:szCs w:val="20"/>
              </w:rPr>
            </w:pPr>
            <w:r w:rsidRPr="00DD40CC">
              <w:rPr>
                <w:rFonts w:cs="Arial"/>
                <w:b/>
                <w:bCs/>
                <w:sz w:val="20"/>
                <w:szCs w:val="20"/>
              </w:rPr>
              <w:t>Armazenamento</w:t>
            </w:r>
          </w:p>
        </w:tc>
        <w:tc>
          <w:tcPr>
            <w:tcW w:w="0" w:type="auto"/>
            <w:shd w:val="clear" w:color="auto" w:fill="auto"/>
          </w:tcPr>
          <w:p w:rsidR="002538D7" w:rsidRPr="00DD40CC" w:rsidRDefault="002538D7" w:rsidP="00642595">
            <w:pPr>
              <w:spacing w:line="240" w:lineRule="auto"/>
              <w:jc w:val="left"/>
              <w:rPr>
                <w:rFonts w:cs="Arial"/>
                <w:sz w:val="20"/>
                <w:szCs w:val="20"/>
              </w:rPr>
            </w:pPr>
            <w:r w:rsidRPr="00DD40CC">
              <w:rPr>
                <w:rFonts w:cs="Arial"/>
                <w:sz w:val="20"/>
                <w:szCs w:val="20"/>
              </w:rPr>
              <w:t>Acordo Setorial ou Termo de Compromisso, firmados entre o Poder Público e o setor privado.</w:t>
            </w:r>
          </w:p>
        </w:tc>
        <w:tc>
          <w:tcPr>
            <w:tcW w:w="0" w:type="auto"/>
          </w:tcPr>
          <w:p w:rsidR="002538D7" w:rsidRPr="00DD40CC" w:rsidRDefault="002538D7" w:rsidP="00642595">
            <w:pPr>
              <w:autoSpaceDE w:val="0"/>
              <w:autoSpaceDN w:val="0"/>
              <w:adjustRightInd w:val="0"/>
              <w:spacing w:line="240" w:lineRule="auto"/>
              <w:jc w:val="left"/>
              <w:rPr>
                <w:rFonts w:cs="Arial"/>
                <w:sz w:val="20"/>
                <w:szCs w:val="20"/>
              </w:rPr>
            </w:pPr>
            <w:r w:rsidRPr="00DD40CC">
              <w:rPr>
                <w:rFonts w:cs="Arial"/>
                <w:sz w:val="20"/>
                <w:szCs w:val="20"/>
              </w:rPr>
              <w:t>Armazenar os resíduos em locais compatíveis com o volume dos resíduos, com periodicidades programadas para coleta até que estes sejam reintroduzidos na cadeia produtiva ou descartados de forma ambientalmente adequada (para eletroeletrônicos um programa de coleta pode ser viabilizado através de redes autorizadas de assistência técnica).</w:t>
            </w:r>
          </w:p>
          <w:p w:rsidR="002538D7" w:rsidRPr="00DD40CC" w:rsidRDefault="002538D7" w:rsidP="00642595">
            <w:pPr>
              <w:autoSpaceDE w:val="0"/>
              <w:autoSpaceDN w:val="0"/>
              <w:adjustRightInd w:val="0"/>
              <w:spacing w:line="240" w:lineRule="auto"/>
              <w:jc w:val="left"/>
              <w:rPr>
                <w:rFonts w:cs="Arial"/>
                <w:sz w:val="20"/>
                <w:szCs w:val="20"/>
              </w:rPr>
            </w:pPr>
          </w:p>
        </w:tc>
        <w:tc>
          <w:tcPr>
            <w:tcW w:w="0" w:type="auto"/>
          </w:tcPr>
          <w:p w:rsidR="002538D7" w:rsidRPr="00DD40CC" w:rsidRDefault="002538D7" w:rsidP="00642595">
            <w:pPr>
              <w:autoSpaceDE w:val="0"/>
              <w:autoSpaceDN w:val="0"/>
              <w:adjustRightInd w:val="0"/>
              <w:spacing w:line="240" w:lineRule="auto"/>
              <w:jc w:val="left"/>
              <w:rPr>
                <w:rFonts w:cs="Arial"/>
                <w:sz w:val="20"/>
                <w:szCs w:val="20"/>
              </w:rPr>
            </w:pPr>
          </w:p>
          <w:p w:rsidR="002538D7" w:rsidRPr="00DD40CC" w:rsidRDefault="002538D7" w:rsidP="00642595">
            <w:pPr>
              <w:autoSpaceDE w:val="0"/>
              <w:autoSpaceDN w:val="0"/>
              <w:adjustRightInd w:val="0"/>
              <w:spacing w:line="240" w:lineRule="auto"/>
              <w:jc w:val="left"/>
              <w:rPr>
                <w:rFonts w:cs="Arial"/>
                <w:sz w:val="20"/>
                <w:szCs w:val="20"/>
              </w:rPr>
            </w:pPr>
            <w:r w:rsidRPr="00DD40CC">
              <w:rPr>
                <w:rFonts w:cs="Arial"/>
                <w:sz w:val="20"/>
                <w:szCs w:val="20"/>
              </w:rPr>
              <w:t xml:space="preserve">Fabricantes, importadores, distribuidores ou comerciantes. </w:t>
            </w:r>
          </w:p>
          <w:p w:rsidR="002538D7" w:rsidRPr="00DD40CC" w:rsidRDefault="002538D7" w:rsidP="00642595">
            <w:pPr>
              <w:autoSpaceDE w:val="0"/>
              <w:autoSpaceDN w:val="0"/>
              <w:adjustRightInd w:val="0"/>
              <w:spacing w:line="240" w:lineRule="auto"/>
              <w:jc w:val="left"/>
              <w:rPr>
                <w:rFonts w:cs="Arial"/>
                <w:sz w:val="20"/>
                <w:szCs w:val="20"/>
              </w:rPr>
            </w:pPr>
            <w:r w:rsidRPr="00DD40CC">
              <w:rPr>
                <w:rFonts w:cs="Arial"/>
                <w:sz w:val="20"/>
                <w:szCs w:val="20"/>
              </w:rPr>
              <w:t>Caso seja acordado, Prefeitura Municipal.</w:t>
            </w:r>
          </w:p>
        </w:tc>
      </w:tr>
      <w:tr w:rsidR="002538D7" w:rsidRPr="00DD40CC" w:rsidTr="00665BBB">
        <w:trPr>
          <w:jc w:val="center"/>
        </w:trPr>
        <w:tc>
          <w:tcPr>
            <w:tcW w:w="0" w:type="auto"/>
            <w:shd w:val="clear" w:color="auto" w:fill="D3DFEE"/>
            <w:vAlign w:val="center"/>
          </w:tcPr>
          <w:p w:rsidR="002538D7" w:rsidRPr="00DD40CC" w:rsidRDefault="002538D7" w:rsidP="00642595">
            <w:pPr>
              <w:spacing w:line="240" w:lineRule="auto"/>
              <w:jc w:val="center"/>
              <w:rPr>
                <w:rFonts w:cs="Arial"/>
                <w:b/>
                <w:bCs/>
                <w:sz w:val="20"/>
                <w:szCs w:val="20"/>
              </w:rPr>
            </w:pPr>
            <w:r w:rsidRPr="00DD40CC">
              <w:rPr>
                <w:rFonts w:cs="Arial"/>
                <w:b/>
                <w:bCs/>
                <w:sz w:val="20"/>
                <w:szCs w:val="20"/>
              </w:rPr>
              <w:t>Transporte</w:t>
            </w:r>
          </w:p>
        </w:tc>
        <w:tc>
          <w:tcPr>
            <w:tcW w:w="0" w:type="auto"/>
            <w:shd w:val="clear" w:color="auto" w:fill="D3DFEE"/>
          </w:tcPr>
          <w:p w:rsidR="002538D7" w:rsidRPr="00DD40CC" w:rsidRDefault="002538D7" w:rsidP="00642595">
            <w:pPr>
              <w:spacing w:line="240" w:lineRule="auto"/>
              <w:jc w:val="left"/>
              <w:rPr>
                <w:rFonts w:cs="Arial"/>
                <w:sz w:val="20"/>
                <w:szCs w:val="20"/>
              </w:rPr>
            </w:pPr>
            <w:r w:rsidRPr="00DD40CC">
              <w:rPr>
                <w:rFonts w:cs="Arial"/>
                <w:sz w:val="20"/>
                <w:szCs w:val="20"/>
              </w:rPr>
              <w:t>Acordo Setorial ou Termo de Compromisso, firmados entre o Poder Público e o setor privado.</w:t>
            </w:r>
          </w:p>
        </w:tc>
        <w:tc>
          <w:tcPr>
            <w:tcW w:w="0" w:type="auto"/>
            <w:shd w:val="clear" w:color="auto" w:fill="D3DFEE"/>
          </w:tcPr>
          <w:p w:rsidR="002538D7" w:rsidRPr="00DD40CC" w:rsidRDefault="002538D7" w:rsidP="00642595">
            <w:pPr>
              <w:autoSpaceDE w:val="0"/>
              <w:autoSpaceDN w:val="0"/>
              <w:adjustRightInd w:val="0"/>
              <w:spacing w:line="240" w:lineRule="auto"/>
              <w:jc w:val="left"/>
              <w:rPr>
                <w:rFonts w:cs="Arial"/>
                <w:sz w:val="20"/>
                <w:szCs w:val="20"/>
              </w:rPr>
            </w:pPr>
            <w:r w:rsidRPr="00DD40CC">
              <w:rPr>
                <w:rFonts w:cs="Arial"/>
                <w:sz w:val="20"/>
                <w:szCs w:val="20"/>
              </w:rPr>
              <w:t>Transportar os resíduos através de veículos compatíveis com a natureza do resíduo, de forma a garantir a segurança das pessoas, a preservação ambiental e, na medida do possível, a integridade do resíduo.</w:t>
            </w:r>
          </w:p>
        </w:tc>
        <w:tc>
          <w:tcPr>
            <w:tcW w:w="0" w:type="auto"/>
            <w:shd w:val="clear" w:color="auto" w:fill="D3DFEE"/>
          </w:tcPr>
          <w:p w:rsidR="002538D7" w:rsidRPr="00DD40CC" w:rsidRDefault="002538D7" w:rsidP="00642595">
            <w:pPr>
              <w:autoSpaceDE w:val="0"/>
              <w:autoSpaceDN w:val="0"/>
              <w:adjustRightInd w:val="0"/>
              <w:spacing w:line="240" w:lineRule="auto"/>
              <w:jc w:val="left"/>
              <w:rPr>
                <w:rFonts w:cs="Arial"/>
                <w:sz w:val="20"/>
                <w:szCs w:val="20"/>
              </w:rPr>
            </w:pPr>
            <w:r w:rsidRPr="00DD40CC">
              <w:rPr>
                <w:rFonts w:cs="Arial"/>
                <w:sz w:val="20"/>
                <w:szCs w:val="20"/>
              </w:rPr>
              <w:t xml:space="preserve">Fabricantes, importadores, distribuidores ou comerciantes. </w:t>
            </w:r>
          </w:p>
          <w:p w:rsidR="002538D7" w:rsidRPr="00DD40CC" w:rsidRDefault="002538D7" w:rsidP="00642595">
            <w:pPr>
              <w:autoSpaceDE w:val="0"/>
              <w:autoSpaceDN w:val="0"/>
              <w:adjustRightInd w:val="0"/>
              <w:spacing w:line="240" w:lineRule="auto"/>
              <w:jc w:val="left"/>
              <w:rPr>
                <w:rFonts w:cs="Arial"/>
                <w:sz w:val="20"/>
                <w:szCs w:val="20"/>
              </w:rPr>
            </w:pPr>
            <w:r w:rsidRPr="00DD40CC">
              <w:rPr>
                <w:rFonts w:cs="Arial"/>
                <w:sz w:val="20"/>
                <w:szCs w:val="20"/>
              </w:rPr>
              <w:t>Caso seja acordado, Prefeitura Municipal.</w:t>
            </w:r>
          </w:p>
        </w:tc>
      </w:tr>
      <w:tr w:rsidR="002538D7" w:rsidRPr="00DD40CC" w:rsidTr="00665BBB">
        <w:trPr>
          <w:jc w:val="center"/>
        </w:trPr>
        <w:tc>
          <w:tcPr>
            <w:tcW w:w="0" w:type="auto"/>
            <w:shd w:val="clear" w:color="auto" w:fill="auto"/>
            <w:vAlign w:val="center"/>
          </w:tcPr>
          <w:p w:rsidR="002538D7" w:rsidRPr="00DD40CC" w:rsidRDefault="002538D7" w:rsidP="00642595">
            <w:pPr>
              <w:spacing w:line="240" w:lineRule="auto"/>
              <w:jc w:val="center"/>
              <w:rPr>
                <w:rFonts w:cs="Arial"/>
                <w:b/>
                <w:bCs/>
                <w:sz w:val="20"/>
                <w:szCs w:val="20"/>
              </w:rPr>
            </w:pPr>
            <w:r w:rsidRPr="00DD40CC">
              <w:rPr>
                <w:rFonts w:cs="Arial"/>
                <w:b/>
                <w:bCs/>
                <w:sz w:val="20"/>
                <w:szCs w:val="20"/>
              </w:rPr>
              <w:t>Disposição final</w:t>
            </w:r>
          </w:p>
        </w:tc>
        <w:tc>
          <w:tcPr>
            <w:tcW w:w="0" w:type="auto"/>
            <w:shd w:val="clear" w:color="auto" w:fill="auto"/>
          </w:tcPr>
          <w:p w:rsidR="002538D7" w:rsidRPr="00DD40CC" w:rsidRDefault="002538D7" w:rsidP="00642595">
            <w:pPr>
              <w:spacing w:line="240" w:lineRule="auto"/>
              <w:jc w:val="left"/>
              <w:rPr>
                <w:rFonts w:cs="Arial"/>
                <w:sz w:val="20"/>
                <w:szCs w:val="20"/>
              </w:rPr>
            </w:pPr>
            <w:r w:rsidRPr="00DD40CC">
              <w:rPr>
                <w:rFonts w:cs="Arial"/>
                <w:sz w:val="20"/>
                <w:szCs w:val="20"/>
              </w:rPr>
              <w:t>Acordo Setorial ou Termo de Compromisso, firmados entre o Poder Público e o setor privado.</w:t>
            </w:r>
          </w:p>
        </w:tc>
        <w:tc>
          <w:tcPr>
            <w:tcW w:w="0" w:type="auto"/>
          </w:tcPr>
          <w:p w:rsidR="002538D7" w:rsidRPr="00DD40CC" w:rsidRDefault="002538D7" w:rsidP="00642595">
            <w:pPr>
              <w:spacing w:line="240" w:lineRule="auto"/>
              <w:jc w:val="left"/>
              <w:rPr>
                <w:rFonts w:cs="Arial"/>
                <w:sz w:val="20"/>
                <w:szCs w:val="20"/>
              </w:rPr>
            </w:pPr>
            <w:r w:rsidRPr="00DD40CC">
              <w:rPr>
                <w:rFonts w:cs="Arial"/>
                <w:sz w:val="20"/>
                <w:szCs w:val="20"/>
              </w:rPr>
              <w:t>Empreender a disposição final através de tecnologias ambientalmente adequadas (aterro sanitário com licenças ambientais válidas).</w:t>
            </w:r>
          </w:p>
        </w:tc>
        <w:tc>
          <w:tcPr>
            <w:tcW w:w="0" w:type="auto"/>
          </w:tcPr>
          <w:p w:rsidR="002538D7" w:rsidRPr="00DD40CC" w:rsidRDefault="002538D7" w:rsidP="00642595">
            <w:pPr>
              <w:spacing w:line="240" w:lineRule="auto"/>
              <w:jc w:val="left"/>
              <w:rPr>
                <w:rFonts w:cs="Arial"/>
                <w:sz w:val="20"/>
                <w:szCs w:val="20"/>
              </w:rPr>
            </w:pPr>
          </w:p>
          <w:p w:rsidR="002538D7" w:rsidRPr="00DD40CC" w:rsidRDefault="002538D7" w:rsidP="00642595">
            <w:pPr>
              <w:spacing w:line="240" w:lineRule="auto"/>
              <w:jc w:val="left"/>
              <w:rPr>
                <w:rFonts w:cs="Arial"/>
                <w:sz w:val="20"/>
                <w:szCs w:val="20"/>
              </w:rPr>
            </w:pPr>
            <w:r w:rsidRPr="00DD40CC">
              <w:rPr>
                <w:rFonts w:cs="Arial"/>
                <w:sz w:val="20"/>
                <w:szCs w:val="20"/>
              </w:rPr>
              <w:t>Fabricante do produto.</w:t>
            </w:r>
          </w:p>
        </w:tc>
      </w:tr>
    </w:tbl>
    <w:p w:rsidR="002538D7" w:rsidRPr="00814C27" w:rsidRDefault="002538D7" w:rsidP="002538D7">
      <w:pPr>
        <w:spacing w:before="120" w:after="120"/>
        <w:contextualSpacing/>
        <w:jc w:val="center"/>
        <w:rPr>
          <w:rFonts w:eastAsia="Times New Roman"/>
          <w:sz w:val="20"/>
          <w:szCs w:val="20"/>
          <w:lang w:eastAsia="pt-BR"/>
        </w:rPr>
      </w:pPr>
      <w:r w:rsidRPr="00814C27">
        <w:rPr>
          <w:rFonts w:eastAsia="Times New Roman"/>
          <w:sz w:val="20"/>
          <w:szCs w:val="20"/>
          <w:lang w:eastAsia="pt-BR"/>
        </w:rPr>
        <w:t>Fonte: SHS, 2017.</w:t>
      </w:r>
    </w:p>
    <w:p w:rsidR="002538D7" w:rsidRDefault="002538D7" w:rsidP="002538D7">
      <w:pPr>
        <w:spacing w:line="240" w:lineRule="auto"/>
        <w:contextualSpacing/>
        <w:jc w:val="center"/>
        <w:rPr>
          <w:rFonts w:eastAsia="Times New Roman"/>
          <w:sz w:val="22"/>
          <w:lang w:eastAsia="pt-BR"/>
        </w:rPr>
      </w:pPr>
    </w:p>
    <w:p w:rsidR="00665BBB" w:rsidRPr="00DD40CC" w:rsidRDefault="00665BBB" w:rsidP="002538D7">
      <w:pPr>
        <w:spacing w:line="240" w:lineRule="auto"/>
        <w:contextualSpacing/>
        <w:jc w:val="center"/>
        <w:rPr>
          <w:rFonts w:eastAsia="Times New Roman"/>
          <w:sz w:val="22"/>
          <w:lang w:eastAsia="pt-BR"/>
        </w:rPr>
      </w:pPr>
    </w:p>
    <w:p w:rsidR="00646530" w:rsidRPr="008044FA" w:rsidRDefault="00646530" w:rsidP="00646530">
      <w:pPr>
        <w:pStyle w:val="SHS-Ttulo01"/>
      </w:pPr>
      <w:bookmarkStart w:id="660" w:name="_Toc484532459"/>
      <w:bookmarkStart w:id="661" w:name="_Toc497469078"/>
      <w:bookmarkEnd w:id="590"/>
      <w:r w:rsidRPr="008044FA">
        <w:lastRenderedPageBreak/>
        <w:t>PLANEJAMENTO ESTRATÉGICO DOS SERVIÇOS PÚBLICOS EM SANEAMENTO BÁSICO</w:t>
      </w:r>
      <w:bookmarkEnd w:id="660"/>
      <w:bookmarkEnd w:id="661"/>
      <w:r w:rsidRPr="008044FA">
        <w:t xml:space="preserve"> </w:t>
      </w:r>
    </w:p>
    <w:p w:rsidR="00646530" w:rsidRPr="00A7700E" w:rsidRDefault="00646530" w:rsidP="00646530">
      <w:pPr>
        <w:spacing w:before="120" w:after="120"/>
        <w:ind w:firstLine="708"/>
        <w:contextualSpacing/>
        <w:rPr>
          <w:rFonts w:cs="Arial"/>
          <w:szCs w:val="24"/>
          <w:lang w:eastAsia="pt-BR"/>
        </w:rPr>
      </w:pPr>
      <w:r w:rsidRPr="008044FA">
        <w:rPr>
          <w:rFonts w:cs="Arial"/>
          <w:szCs w:val="24"/>
          <w:lang w:eastAsia="pt-BR"/>
        </w:rPr>
        <w:t xml:space="preserve">A construção de cenários para o planejamento estratégico da política de saneamento básico dos municípios é realizada com um intuito principal: o de se obter uma ferramenta eficiente para que os processos de tomada de decisão considerem condições realísticas em relação aos </w:t>
      </w:r>
      <w:r w:rsidRPr="00A7700E">
        <w:rPr>
          <w:rFonts w:cs="Arial"/>
          <w:szCs w:val="24"/>
          <w:lang w:eastAsia="pt-BR"/>
        </w:rPr>
        <w:t>ambientes institucional, gerencial, operacional econômico e dos serviços prestados que permeiam o município no momento atual e que poderiam influenciá-lo no futuro.</w:t>
      </w:r>
    </w:p>
    <w:p w:rsidR="00646530" w:rsidRPr="008044FA" w:rsidRDefault="00646530" w:rsidP="00646530">
      <w:pPr>
        <w:spacing w:before="120" w:after="120"/>
        <w:ind w:firstLine="708"/>
        <w:contextualSpacing/>
        <w:rPr>
          <w:rFonts w:cs="Arial"/>
          <w:szCs w:val="24"/>
          <w:lang w:eastAsia="pt-BR"/>
        </w:rPr>
      </w:pPr>
      <w:r w:rsidRPr="00A7700E">
        <w:rPr>
          <w:rFonts w:cs="Arial"/>
          <w:szCs w:val="24"/>
          <w:lang w:eastAsia="pt-BR"/>
        </w:rPr>
        <w:t>A formulação dos cenários possibilita, ainda</w:t>
      </w:r>
      <w:r w:rsidRPr="008044FA">
        <w:rPr>
          <w:rFonts w:cs="Arial"/>
          <w:szCs w:val="24"/>
          <w:lang w:eastAsia="pt-BR"/>
        </w:rPr>
        <w:t>, a integração das ações de diferentes agentes e instituições envolvidas no processo, o que facilitará o atendimento de demandas financeiras, ambientais, so</w:t>
      </w:r>
      <w:r>
        <w:rPr>
          <w:rFonts w:cs="Arial"/>
          <w:szCs w:val="24"/>
          <w:lang w:eastAsia="pt-BR"/>
        </w:rPr>
        <w:t>ciais e tecnológicas.</w:t>
      </w:r>
    </w:p>
    <w:p w:rsidR="00646530" w:rsidRPr="008044FA" w:rsidRDefault="00646530" w:rsidP="00646530">
      <w:pPr>
        <w:spacing w:before="120" w:after="120"/>
        <w:ind w:firstLine="708"/>
        <w:contextualSpacing/>
        <w:rPr>
          <w:rFonts w:cs="Arial"/>
          <w:szCs w:val="24"/>
          <w:lang w:eastAsia="pt-BR"/>
        </w:rPr>
      </w:pPr>
      <w:r w:rsidRPr="008044FA">
        <w:rPr>
          <w:rFonts w:cs="Arial"/>
          <w:szCs w:val="24"/>
          <w:lang w:eastAsia="pt-BR"/>
        </w:rPr>
        <w:t>A adoção de cenários serve também ao delineamento de percepções sobre como poderia se dar a evolução de uma situação presente até uma situação futura, o que permite levantar a possibilidade de crises assim como apontar as principais oportunidades a um desenvolvimento mais consensual dos fatores avaliados. Os cenários subsidiarão assim, a configuração de um planejamento mais realista para a constituição de um sistema de saneamento básico que caminhe em direção à sustentabilidade em suas diferentes esferas – social, ambiental e econômica.</w:t>
      </w:r>
    </w:p>
    <w:p w:rsidR="00646530" w:rsidRPr="008044FA" w:rsidRDefault="00646530" w:rsidP="00646530">
      <w:pPr>
        <w:spacing w:before="120" w:after="120"/>
        <w:ind w:firstLine="708"/>
        <w:contextualSpacing/>
        <w:rPr>
          <w:rFonts w:cs="Arial"/>
          <w:szCs w:val="24"/>
          <w:lang w:eastAsia="pt-BR"/>
        </w:rPr>
      </w:pPr>
      <w:r w:rsidRPr="008044FA">
        <w:rPr>
          <w:rFonts w:cs="Arial"/>
          <w:szCs w:val="24"/>
          <w:lang w:eastAsia="pt-BR"/>
        </w:rPr>
        <w:t>Para evitar erros de interpretação esclarece-se que os cenários não devem ser vistos como previsões, mas como imagens alternativas do futuro, subsidiadas com parâmetros técnicos, avaliações de campo, estudos existentes, contribuições da comunidade e direcionamentos permeados pela legislação vigente.</w:t>
      </w:r>
    </w:p>
    <w:p w:rsidR="00646530" w:rsidRPr="002A7628" w:rsidRDefault="00646530" w:rsidP="00646530">
      <w:pPr>
        <w:spacing w:before="120" w:after="120"/>
        <w:ind w:firstLine="708"/>
        <w:contextualSpacing/>
        <w:rPr>
          <w:rFonts w:cs="Arial"/>
          <w:szCs w:val="24"/>
          <w:lang w:eastAsia="pt-BR"/>
        </w:rPr>
      </w:pPr>
      <w:r w:rsidRPr="002A7628">
        <w:rPr>
          <w:rFonts w:cs="Arial"/>
          <w:szCs w:val="24"/>
          <w:lang w:eastAsia="pt-BR"/>
        </w:rPr>
        <w:t xml:space="preserve">Essa ferramenta composta por elementos que, combinados, propiciam uma base teórica capaz de configurar cenários futuros temáticos, </w:t>
      </w:r>
      <w:r>
        <w:rPr>
          <w:rFonts w:cs="Arial"/>
          <w:szCs w:val="24"/>
          <w:lang w:eastAsia="pt-BR"/>
        </w:rPr>
        <w:t>f</w:t>
      </w:r>
      <w:r w:rsidRPr="002A7628">
        <w:rPr>
          <w:rFonts w:cs="Arial"/>
          <w:szCs w:val="24"/>
          <w:lang w:eastAsia="pt-BR"/>
        </w:rPr>
        <w:t>oi concebida para subsidiar o planejamento estratégico de corporações ou empresas, mas, devido à sua simplicidade, passou a ser utilizada também para a configuração de cenários relaci</w:t>
      </w:r>
      <w:r>
        <w:rPr>
          <w:rFonts w:cs="Arial"/>
          <w:szCs w:val="24"/>
          <w:lang w:eastAsia="pt-BR"/>
        </w:rPr>
        <w:t>onados a instituições públicas.</w:t>
      </w:r>
    </w:p>
    <w:p w:rsidR="00646530" w:rsidRPr="008044FA" w:rsidRDefault="00646530" w:rsidP="00646530">
      <w:pPr>
        <w:spacing w:before="120" w:after="120"/>
        <w:ind w:firstLine="708"/>
        <w:contextualSpacing/>
        <w:rPr>
          <w:rFonts w:cs="Arial"/>
          <w:szCs w:val="24"/>
          <w:lang w:eastAsia="pt-BR"/>
        </w:rPr>
      </w:pPr>
      <w:r w:rsidRPr="002A7628">
        <w:rPr>
          <w:rFonts w:cs="Arial"/>
          <w:szCs w:val="24"/>
          <w:lang w:eastAsia="pt-BR"/>
        </w:rPr>
        <w:t xml:space="preserve">Trata-se de um sistema que busca posicionar estrategicamente um setor (nesse caso, setor de saneamento básico) num </w:t>
      </w:r>
      <w:r w:rsidRPr="004234B4">
        <w:rPr>
          <w:rFonts w:cs="Arial"/>
          <w:szCs w:val="24"/>
          <w:lang w:eastAsia="pt-BR"/>
        </w:rPr>
        <w:t>ambiente social, institucional, administrativo e operacional (nesse caso, o município).</w:t>
      </w:r>
    </w:p>
    <w:p w:rsidR="00646530" w:rsidRPr="00125786" w:rsidRDefault="00646530" w:rsidP="00646530">
      <w:pPr>
        <w:spacing w:before="120" w:after="120"/>
        <w:ind w:firstLine="708"/>
        <w:contextualSpacing/>
        <w:rPr>
          <w:rFonts w:cs="Arial"/>
          <w:szCs w:val="24"/>
          <w:lang w:eastAsia="pt-BR"/>
        </w:rPr>
      </w:pPr>
      <w:r w:rsidRPr="00125786">
        <w:rPr>
          <w:rFonts w:cs="Arial"/>
          <w:szCs w:val="24"/>
          <w:lang w:eastAsia="pt-BR"/>
        </w:rPr>
        <w:lastRenderedPageBreak/>
        <w:t>O método SWOT (Strengths, Weaknesses, Opportunities e Threats) ou Análise FFOA (Forças, Fraquezas, Oportunidades e Ameaças) apresenta as seguintes definições:</w:t>
      </w:r>
    </w:p>
    <w:p w:rsidR="00646530" w:rsidRPr="008044FA" w:rsidRDefault="00646530" w:rsidP="00646530">
      <w:pPr>
        <w:numPr>
          <w:ilvl w:val="0"/>
          <w:numId w:val="3"/>
        </w:numPr>
        <w:spacing w:before="120" w:after="120"/>
        <w:contextualSpacing/>
        <w:rPr>
          <w:rFonts w:cs="Arial"/>
          <w:szCs w:val="24"/>
          <w:lang w:eastAsia="pt-BR"/>
        </w:rPr>
      </w:pPr>
      <w:r w:rsidRPr="00125786">
        <w:rPr>
          <w:rFonts w:cs="Arial"/>
          <w:szCs w:val="24"/>
          <w:lang w:eastAsia="pt-BR"/>
        </w:rPr>
        <w:t>Forças:</w:t>
      </w:r>
      <w:r w:rsidRPr="008044FA">
        <w:rPr>
          <w:rFonts w:cs="Arial"/>
          <w:szCs w:val="24"/>
          <w:lang w:eastAsia="pt-BR"/>
        </w:rPr>
        <w:t xml:space="preserve"> são as variáveis internas e controláveis que propiciam condições favoráveis aos setores de saneamento em relação ao seu ambiente. São características ou qualidades que podem colaborar positivamente no desempenho do setor.</w:t>
      </w:r>
    </w:p>
    <w:p w:rsidR="00646530" w:rsidRPr="008044FA" w:rsidRDefault="00646530" w:rsidP="00646530">
      <w:pPr>
        <w:numPr>
          <w:ilvl w:val="0"/>
          <w:numId w:val="3"/>
        </w:numPr>
        <w:spacing w:before="120" w:after="120"/>
        <w:contextualSpacing/>
        <w:rPr>
          <w:rFonts w:cs="Arial"/>
          <w:szCs w:val="24"/>
          <w:lang w:eastAsia="pt-BR"/>
        </w:rPr>
      </w:pPr>
      <w:r w:rsidRPr="008044FA">
        <w:rPr>
          <w:rFonts w:cs="Arial"/>
          <w:szCs w:val="24"/>
          <w:lang w:eastAsia="pt-BR"/>
        </w:rPr>
        <w:t>Fraquezas: são consideradas deficiências internas aos setores de saneamento que inibem a capacidade de desempenho dos mesmos. As fraquezas devem ser superadas para evitar a ineficiência do sistema.</w:t>
      </w:r>
    </w:p>
    <w:p w:rsidR="00646530" w:rsidRPr="008044FA" w:rsidRDefault="00646530" w:rsidP="00646530">
      <w:pPr>
        <w:numPr>
          <w:ilvl w:val="0"/>
          <w:numId w:val="3"/>
        </w:numPr>
        <w:spacing w:before="120" w:after="120"/>
        <w:contextualSpacing/>
        <w:rPr>
          <w:rFonts w:cs="Arial"/>
          <w:szCs w:val="24"/>
          <w:lang w:eastAsia="pt-BR"/>
        </w:rPr>
      </w:pPr>
      <w:r w:rsidRPr="008044FA">
        <w:rPr>
          <w:rFonts w:cs="Arial"/>
          <w:szCs w:val="24"/>
          <w:lang w:eastAsia="pt-BR"/>
        </w:rPr>
        <w:t>Oportunidades: são variáveis contextuais ou circunstâncias e características do ambiente externo que possam ter impacto sobre os setores de saneamento de forma que proporcionem certa facilitação para a concretização dos objetivos estratégicos estabelecidos.</w:t>
      </w:r>
    </w:p>
    <w:p w:rsidR="00646530" w:rsidRPr="008044FA" w:rsidRDefault="00646530" w:rsidP="00646530">
      <w:pPr>
        <w:numPr>
          <w:ilvl w:val="0"/>
          <w:numId w:val="3"/>
        </w:numPr>
        <w:spacing w:before="120" w:after="120"/>
        <w:contextualSpacing/>
        <w:rPr>
          <w:rFonts w:cs="Arial"/>
          <w:szCs w:val="24"/>
          <w:lang w:eastAsia="pt-BR"/>
        </w:rPr>
      </w:pPr>
      <w:r w:rsidRPr="008044FA">
        <w:rPr>
          <w:rFonts w:cs="Arial"/>
          <w:szCs w:val="24"/>
          <w:lang w:eastAsia="pt-BR"/>
        </w:rPr>
        <w:t>Ameaças: são variáveis, circunstâncias ou características do ambiente externo que possam ter impactos negativos sobre o desenvolvimento das metas e objetivos estabelecidos.</w:t>
      </w:r>
    </w:p>
    <w:p w:rsidR="00646530" w:rsidRPr="008044FA" w:rsidRDefault="00646530" w:rsidP="00646530">
      <w:pPr>
        <w:spacing w:before="120" w:after="120"/>
        <w:ind w:firstLine="708"/>
        <w:contextualSpacing/>
        <w:rPr>
          <w:rFonts w:cs="Arial"/>
          <w:szCs w:val="24"/>
          <w:lang w:eastAsia="pt-BR"/>
        </w:rPr>
      </w:pPr>
      <w:r w:rsidRPr="008044FA">
        <w:rPr>
          <w:rFonts w:cs="Arial"/>
          <w:szCs w:val="24"/>
          <w:lang w:eastAsia="pt-BR"/>
        </w:rPr>
        <w:t>As constatações efetuadas a partir da Análise SWOT possibilitam a elaboração de cenários alternativos, sugeridos pelo “Guia para Elaboração de Planos Municipais de Saneamento” do Governo Federal (Secretaria Nacional de Saneamento Ambiental – SNSA/Ministério das Cidades, Fundação Nacional de Saúde – FUNASA/Ministério da Saúde, 2006). O guia sugere, de uma maneira resumida, a adoção de dois cenários alt</w:t>
      </w:r>
      <w:r>
        <w:rPr>
          <w:rFonts w:cs="Arial"/>
          <w:szCs w:val="24"/>
          <w:lang w:eastAsia="pt-BR"/>
        </w:rPr>
        <w:t>ernativos:</w:t>
      </w:r>
    </w:p>
    <w:p w:rsidR="00646530" w:rsidRPr="008044FA" w:rsidRDefault="00646530" w:rsidP="00646530">
      <w:pPr>
        <w:numPr>
          <w:ilvl w:val="0"/>
          <w:numId w:val="4"/>
        </w:numPr>
        <w:spacing w:before="120" w:after="120"/>
        <w:contextualSpacing/>
        <w:rPr>
          <w:rFonts w:cs="Arial"/>
          <w:szCs w:val="24"/>
          <w:lang w:eastAsia="pt-BR"/>
        </w:rPr>
      </w:pPr>
      <w:r w:rsidRPr="008044FA">
        <w:rPr>
          <w:rFonts w:cs="Arial"/>
          <w:szCs w:val="24"/>
          <w:lang w:eastAsia="pt-BR"/>
        </w:rPr>
        <w:t xml:space="preserve">Um cenário a partir das tendências de desenvolvimento do passado recente, considerando para o futuro uma moderada influência dos vetores estratégicos, associados a algumas capacidades de modernização; e </w:t>
      </w:r>
    </w:p>
    <w:p w:rsidR="00646530" w:rsidRPr="008044FA" w:rsidRDefault="00646530" w:rsidP="00646530">
      <w:pPr>
        <w:numPr>
          <w:ilvl w:val="0"/>
          <w:numId w:val="4"/>
        </w:numPr>
        <w:spacing w:before="120" w:after="120"/>
        <w:contextualSpacing/>
        <w:rPr>
          <w:rFonts w:cs="Arial"/>
          <w:szCs w:val="24"/>
          <w:lang w:eastAsia="pt-BR"/>
        </w:rPr>
      </w:pPr>
      <w:r w:rsidRPr="008044FA">
        <w:rPr>
          <w:rFonts w:cs="Arial"/>
          <w:szCs w:val="24"/>
          <w:lang w:eastAsia="pt-BR"/>
        </w:rPr>
        <w:t xml:space="preserve">Um cenário a partir das tendências de desenvolvimento do passado recente, considerando para o futuro os principais vetores estratégicos, associados </w:t>
      </w:r>
      <w:r>
        <w:rPr>
          <w:rFonts w:cs="Arial"/>
          <w:szCs w:val="24"/>
          <w:lang w:eastAsia="pt-BR"/>
        </w:rPr>
        <w:t>a</w:t>
      </w:r>
      <w:r w:rsidRPr="008044FA">
        <w:rPr>
          <w:rFonts w:cs="Arial"/>
          <w:szCs w:val="24"/>
          <w:lang w:eastAsia="pt-BR"/>
        </w:rPr>
        <w:t xml:space="preserve"> uma mobilização ampla da capacidade de modernização.</w:t>
      </w:r>
    </w:p>
    <w:p w:rsidR="00646530" w:rsidRPr="008044FA" w:rsidRDefault="00646530" w:rsidP="00646530">
      <w:pPr>
        <w:spacing w:before="120" w:after="120"/>
        <w:ind w:firstLine="708"/>
        <w:contextualSpacing/>
        <w:rPr>
          <w:rFonts w:cs="Arial"/>
          <w:szCs w:val="24"/>
          <w:lang w:eastAsia="pt-BR"/>
        </w:rPr>
      </w:pPr>
      <w:r w:rsidRPr="008044FA">
        <w:rPr>
          <w:rFonts w:cs="Arial"/>
          <w:szCs w:val="24"/>
          <w:lang w:eastAsia="pt-BR"/>
        </w:rPr>
        <w:t>Buarque (2003) interpreta os cenários alternativos propostos no “Guia para Elaboração de Planos Municipais de Saneamento” da seguinte forma:</w:t>
      </w:r>
    </w:p>
    <w:p w:rsidR="00646530" w:rsidRPr="008044FA" w:rsidRDefault="00646530" w:rsidP="00646530">
      <w:pPr>
        <w:numPr>
          <w:ilvl w:val="0"/>
          <w:numId w:val="5"/>
        </w:numPr>
        <w:spacing w:before="120" w:after="120"/>
        <w:contextualSpacing/>
        <w:rPr>
          <w:rFonts w:cs="Arial"/>
          <w:szCs w:val="24"/>
          <w:lang w:eastAsia="pt-BR"/>
        </w:rPr>
      </w:pPr>
      <w:r w:rsidRPr="008044FA">
        <w:rPr>
          <w:rFonts w:cs="Arial"/>
          <w:szCs w:val="24"/>
          <w:lang w:eastAsia="pt-BR"/>
        </w:rPr>
        <w:lastRenderedPageBreak/>
        <w:t xml:space="preserve">Um </w:t>
      </w:r>
      <w:r w:rsidRPr="008044FA">
        <w:rPr>
          <w:rFonts w:cs="Arial"/>
          <w:b/>
          <w:szCs w:val="24"/>
          <w:lang w:eastAsia="pt-BR"/>
        </w:rPr>
        <w:t>cenário previsível</w:t>
      </w:r>
      <w:r w:rsidRPr="008044FA">
        <w:rPr>
          <w:rFonts w:cs="Arial"/>
          <w:szCs w:val="24"/>
          <w:lang w:eastAsia="pt-BR"/>
        </w:rPr>
        <w:t xml:space="preserve"> constituído a partir de diversos atores setoriais agindo isoladamente, sem considerar a implantação do </w:t>
      </w:r>
      <w:r>
        <w:rPr>
          <w:rFonts w:cs="Arial"/>
          <w:szCs w:val="24"/>
          <w:lang w:eastAsia="pt-BR"/>
        </w:rPr>
        <w:t>P</w:t>
      </w:r>
      <w:r w:rsidRPr="008044FA">
        <w:rPr>
          <w:rFonts w:cs="Arial"/>
          <w:szCs w:val="24"/>
          <w:lang w:eastAsia="pt-BR"/>
        </w:rPr>
        <w:t xml:space="preserve">lano </w:t>
      </w:r>
      <w:r>
        <w:rPr>
          <w:rFonts w:cs="Arial"/>
          <w:szCs w:val="24"/>
          <w:lang w:eastAsia="pt-BR"/>
        </w:rPr>
        <w:t xml:space="preserve">Municipal </w:t>
      </w:r>
      <w:r w:rsidRPr="008044FA">
        <w:rPr>
          <w:rFonts w:cs="Arial"/>
          <w:szCs w:val="24"/>
          <w:lang w:eastAsia="pt-BR"/>
        </w:rPr>
        <w:t xml:space="preserve">de </w:t>
      </w:r>
      <w:r>
        <w:rPr>
          <w:rFonts w:cs="Arial"/>
          <w:szCs w:val="24"/>
          <w:lang w:eastAsia="pt-BR"/>
        </w:rPr>
        <w:t>S</w:t>
      </w:r>
      <w:r w:rsidRPr="008044FA">
        <w:rPr>
          <w:rFonts w:cs="Arial"/>
          <w:szCs w:val="24"/>
          <w:lang w:eastAsia="pt-BR"/>
        </w:rPr>
        <w:t>aneamento</w:t>
      </w:r>
      <w:r>
        <w:rPr>
          <w:rFonts w:cs="Arial"/>
          <w:szCs w:val="24"/>
          <w:lang w:eastAsia="pt-BR"/>
        </w:rPr>
        <w:t xml:space="preserve"> Básico</w:t>
      </w:r>
      <w:r w:rsidRPr="008044FA">
        <w:rPr>
          <w:rFonts w:cs="Arial"/>
          <w:szCs w:val="24"/>
          <w:lang w:eastAsia="pt-BR"/>
        </w:rPr>
        <w:t>. Ainda assim</w:t>
      </w:r>
      <w:r>
        <w:rPr>
          <w:rFonts w:cs="Arial"/>
          <w:szCs w:val="24"/>
          <w:lang w:eastAsia="pt-BR"/>
        </w:rPr>
        <w:t>,</w:t>
      </w:r>
      <w:r w:rsidRPr="008044FA">
        <w:rPr>
          <w:rFonts w:cs="Arial"/>
          <w:szCs w:val="24"/>
          <w:lang w:eastAsia="pt-BR"/>
        </w:rPr>
        <w:t xml:space="preserve"> e</w:t>
      </w:r>
      <w:r>
        <w:rPr>
          <w:rFonts w:cs="Arial"/>
          <w:szCs w:val="24"/>
          <w:lang w:eastAsia="pt-BR"/>
        </w:rPr>
        <w:t>ss</w:t>
      </w:r>
      <w:r w:rsidRPr="008044FA">
        <w:rPr>
          <w:rFonts w:cs="Arial"/>
          <w:szCs w:val="24"/>
          <w:lang w:eastAsia="pt-BR"/>
        </w:rPr>
        <w:t xml:space="preserve">e cenário apresenta avanços ao longo do tempo. </w:t>
      </w:r>
    </w:p>
    <w:p w:rsidR="00646530" w:rsidRPr="008044FA" w:rsidRDefault="00646530" w:rsidP="00646530">
      <w:pPr>
        <w:numPr>
          <w:ilvl w:val="0"/>
          <w:numId w:val="5"/>
        </w:numPr>
        <w:spacing w:before="120" w:after="120"/>
        <w:contextualSpacing/>
        <w:rPr>
          <w:rFonts w:cs="Arial"/>
          <w:szCs w:val="24"/>
          <w:lang w:eastAsia="pt-BR"/>
        </w:rPr>
      </w:pPr>
      <w:r w:rsidRPr="008044FA">
        <w:rPr>
          <w:rFonts w:cs="Arial"/>
          <w:szCs w:val="24"/>
          <w:lang w:eastAsia="pt-BR"/>
        </w:rPr>
        <w:t xml:space="preserve">Um </w:t>
      </w:r>
      <w:r w:rsidRPr="008044FA">
        <w:rPr>
          <w:rFonts w:cs="Arial"/>
          <w:b/>
          <w:szCs w:val="24"/>
          <w:lang w:eastAsia="pt-BR"/>
        </w:rPr>
        <w:t>cenário normativo</w:t>
      </w:r>
      <w:r w:rsidRPr="008044FA">
        <w:rPr>
          <w:rFonts w:cs="Arial"/>
          <w:szCs w:val="24"/>
          <w:lang w:eastAsia="pt-BR"/>
        </w:rPr>
        <w:t xml:space="preserve">, também constituído a partir de diversos atores setoriais, agindo, porém, de forma mais articulada devido ao embasamento dos setores ou eixos nas disposições do </w:t>
      </w:r>
      <w:r>
        <w:rPr>
          <w:rFonts w:cs="Arial"/>
          <w:szCs w:val="24"/>
          <w:lang w:eastAsia="pt-BR"/>
        </w:rPr>
        <w:t>PMSB</w:t>
      </w:r>
      <w:r w:rsidRPr="008044FA">
        <w:rPr>
          <w:rFonts w:cs="Arial"/>
          <w:szCs w:val="24"/>
          <w:lang w:eastAsia="pt-BR"/>
        </w:rPr>
        <w:t>, que funciona como instrumento indutor de ações planejadas e integradas.</w:t>
      </w:r>
    </w:p>
    <w:p w:rsidR="00646530" w:rsidRDefault="00646530" w:rsidP="00646530">
      <w:pPr>
        <w:spacing w:before="120" w:after="120"/>
        <w:ind w:firstLine="708"/>
        <w:contextualSpacing/>
        <w:rPr>
          <w:rFonts w:cs="Arial"/>
          <w:szCs w:val="24"/>
          <w:lang w:eastAsia="pt-BR"/>
        </w:rPr>
      </w:pPr>
      <w:r w:rsidRPr="008044FA">
        <w:rPr>
          <w:rFonts w:cs="Arial"/>
          <w:szCs w:val="24"/>
          <w:lang w:eastAsia="pt-BR"/>
        </w:rPr>
        <w:t>Es</w:t>
      </w:r>
      <w:r>
        <w:rPr>
          <w:rFonts w:cs="Arial"/>
          <w:szCs w:val="24"/>
          <w:lang w:eastAsia="pt-BR"/>
        </w:rPr>
        <w:t>s</w:t>
      </w:r>
      <w:r w:rsidRPr="008044FA">
        <w:rPr>
          <w:rFonts w:cs="Arial"/>
          <w:szCs w:val="24"/>
          <w:lang w:eastAsia="pt-BR"/>
        </w:rPr>
        <w:t xml:space="preserve">a interpretação proposta por Buarque (2003) foi adotada no desenvolvimento dos cenários alternativos do PMSB de </w:t>
      </w:r>
      <w:r>
        <w:rPr>
          <w:rFonts w:cs="Arial"/>
          <w:szCs w:val="24"/>
          <w:lang w:eastAsia="pt-BR"/>
        </w:rPr>
        <w:t>Córrego Novo</w:t>
      </w:r>
      <w:r w:rsidRPr="008044FA">
        <w:rPr>
          <w:rFonts w:cs="Arial"/>
          <w:szCs w:val="24"/>
          <w:lang w:eastAsia="pt-BR"/>
        </w:rPr>
        <w:t>.</w:t>
      </w:r>
      <w:r w:rsidRPr="008044FA">
        <w:rPr>
          <w:rFonts w:cs="Arial"/>
        </w:rPr>
        <w:t xml:space="preserve"> </w:t>
      </w:r>
      <w:r w:rsidRPr="008044FA">
        <w:rPr>
          <w:rFonts w:cs="Arial"/>
          <w:szCs w:val="24"/>
          <w:lang w:eastAsia="pt-BR"/>
        </w:rPr>
        <w:t>Neste sentido, a análise SWOT permit</w:t>
      </w:r>
      <w:r>
        <w:rPr>
          <w:rFonts w:cs="Arial"/>
          <w:szCs w:val="24"/>
          <w:lang w:eastAsia="pt-BR"/>
        </w:rPr>
        <w:t>iu</w:t>
      </w:r>
      <w:r w:rsidRPr="008044FA">
        <w:rPr>
          <w:rFonts w:cs="Arial"/>
          <w:szCs w:val="24"/>
          <w:lang w:eastAsia="pt-BR"/>
        </w:rPr>
        <w:t xml:space="preserve"> a avaliação </w:t>
      </w:r>
      <w:r w:rsidRPr="00DD1335">
        <w:rPr>
          <w:rFonts w:cs="Arial"/>
          <w:szCs w:val="24"/>
          <w:lang w:eastAsia="pt-BR"/>
        </w:rPr>
        <w:t>das forças e fraquezas, oportunidades e ameaças atuantes sobre o sistema de saneamento básico do município e, por consequência, a proposição dos cenários previsível e normativo, considerando um horizonte de planejamento de vinte anos.</w:t>
      </w:r>
    </w:p>
    <w:p w:rsidR="00646530" w:rsidRDefault="00646530" w:rsidP="00646530">
      <w:pPr>
        <w:spacing w:before="120" w:after="120"/>
        <w:ind w:firstLine="708"/>
        <w:contextualSpacing/>
        <w:rPr>
          <w:rFonts w:cs="Arial"/>
          <w:szCs w:val="24"/>
          <w:lang w:eastAsia="pt-BR"/>
        </w:rPr>
      </w:pPr>
      <w:r w:rsidRPr="00DD1335">
        <w:rPr>
          <w:rFonts w:cs="Arial"/>
          <w:szCs w:val="24"/>
          <w:lang w:eastAsia="pt-BR"/>
        </w:rPr>
        <w:t>A seguir são apresentadas as Matrizes SWOT para o sistema de saneamento básico como um todo e para cada um dos sistemas em particular. Na sequência, foram configurados os respectivos cenários e, a partir deles, os objetivos e metas estabelecidos para o município.</w:t>
      </w:r>
    </w:p>
    <w:p w:rsidR="00646530" w:rsidRPr="00E643C7" w:rsidRDefault="00646530" w:rsidP="002828C8">
      <w:pPr>
        <w:pStyle w:val="SHS-Ttulo02"/>
      </w:pPr>
      <w:bookmarkStart w:id="662" w:name="_Toc484422547"/>
      <w:bookmarkStart w:id="663" w:name="_Toc484532460"/>
      <w:bookmarkStart w:id="664" w:name="_Toc497469079"/>
      <w:r w:rsidRPr="00E643C7">
        <w:t>Sistema Geral do Saneamento Básico Municipal</w:t>
      </w:r>
      <w:bookmarkEnd w:id="662"/>
      <w:bookmarkEnd w:id="663"/>
      <w:bookmarkEnd w:id="664"/>
    </w:p>
    <w:p w:rsidR="00646530" w:rsidRPr="00EF4EE0" w:rsidRDefault="00646530" w:rsidP="002828C8">
      <w:pPr>
        <w:pStyle w:val="Ttulo3"/>
      </w:pPr>
      <w:bookmarkStart w:id="665" w:name="_Toc484422548"/>
      <w:bookmarkStart w:id="666" w:name="_Toc484532461"/>
      <w:bookmarkStart w:id="667" w:name="_Toc497469080"/>
      <w:r w:rsidRPr="00EF4EE0">
        <w:t>Proposição de cenários</w:t>
      </w:r>
      <w:bookmarkEnd w:id="665"/>
      <w:bookmarkEnd w:id="666"/>
      <w:bookmarkEnd w:id="667"/>
    </w:p>
    <w:p w:rsidR="00646530" w:rsidRPr="00C52CF6" w:rsidRDefault="00646530" w:rsidP="00646530">
      <w:pPr>
        <w:spacing w:before="120" w:after="120"/>
        <w:ind w:firstLine="708"/>
        <w:contextualSpacing/>
        <w:rPr>
          <w:rFonts w:cs="Arial"/>
          <w:szCs w:val="24"/>
          <w:lang w:eastAsia="pt-BR"/>
        </w:rPr>
      </w:pPr>
      <w:r w:rsidRPr="006F4253">
        <w:rPr>
          <w:rFonts w:cs="Arial"/>
          <w:szCs w:val="24"/>
          <w:lang w:eastAsia="pt-BR"/>
        </w:rPr>
        <w:t xml:space="preserve">O </w:t>
      </w:r>
      <w:r>
        <w:rPr>
          <w:rFonts w:cs="Arial"/>
          <w:szCs w:val="24"/>
          <w:lang w:eastAsia="pt-BR"/>
        </w:rPr>
        <w:fldChar w:fldCharType="begin"/>
      </w:r>
      <w:r>
        <w:rPr>
          <w:rFonts w:cs="Arial"/>
          <w:szCs w:val="24"/>
          <w:lang w:eastAsia="pt-BR"/>
        </w:rPr>
        <w:instrText xml:space="preserve"> REF _Ref484158849 \h </w:instrText>
      </w:r>
      <w:r>
        <w:rPr>
          <w:rFonts w:cs="Arial"/>
          <w:szCs w:val="24"/>
          <w:lang w:eastAsia="pt-BR"/>
        </w:rPr>
      </w:r>
      <w:r>
        <w:rPr>
          <w:rFonts w:cs="Arial"/>
          <w:szCs w:val="24"/>
          <w:lang w:eastAsia="pt-BR"/>
        </w:rPr>
        <w:fldChar w:fldCharType="separate"/>
      </w:r>
      <w:r w:rsidR="004D1D76" w:rsidRPr="00C52CF6">
        <w:t xml:space="preserve">Quadro </w:t>
      </w:r>
      <w:r w:rsidR="004D1D76">
        <w:rPr>
          <w:noProof/>
        </w:rPr>
        <w:t>72</w:t>
      </w:r>
      <w:r>
        <w:rPr>
          <w:rFonts w:cs="Arial"/>
          <w:szCs w:val="24"/>
          <w:lang w:eastAsia="pt-BR"/>
        </w:rPr>
        <w:fldChar w:fldCharType="end"/>
      </w:r>
      <w:r>
        <w:rPr>
          <w:rFonts w:cs="Arial"/>
          <w:szCs w:val="24"/>
          <w:lang w:eastAsia="pt-BR"/>
        </w:rPr>
        <w:t xml:space="preserve"> </w:t>
      </w:r>
      <w:r w:rsidRPr="006F4253">
        <w:rPr>
          <w:rFonts w:cs="Arial"/>
          <w:szCs w:val="24"/>
          <w:lang w:eastAsia="pt-BR"/>
        </w:rPr>
        <w:t xml:space="preserve">representa a matriz SWOT configurada para o sistema municipal de saneamento básico de </w:t>
      </w:r>
      <w:r>
        <w:rPr>
          <w:rFonts w:cs="Arial"/>
          <w:szCs w:val="24"/>
          <w:lang w:eastAsia="pt-BR"/>
        </w:rPr>
        <w:t>Córrego Novo</w:t>
      </w:r>
      <w:r w:rsidRPr="006F4253">
        <w:rPr>
          <w:rFonts w:cs="Arial"/>
          <w:szCs w:val="24"/>
          <w:lang w:eastAsia="pt-BR"/>
        </w:rPr>
        <w:t xml:space="preserve">, levando-se em conta seus quatro eixos: sistema de abastecimento de água, sistema de esgotamento sanitário, sistema de drenagem urbana e </w:t>
      </w:r>
      <w:r w:rsidRPr="00C52CF6">
        <w:rPr>
          <w:rFonts w:cs="Arial"/>
          <w:szCs w:val="24"/>
          <w:lang w:eastAsia="pt-BR"/>
        </w:rPr>
        <w:t>manejo de águas pluviais e sistema de limpeza urbana e manejo de resíduos sólidos.</w:t>
      </w:r>
    </w:p>
    <w:p w:rsidR="00646530" w:rsidRDefault="00646530" w:rsidP="00646530">
      <w:pPr>
        <w:spacing w:before="120" w:after="120"/>
        <w:ind w:firstLine="708"/>
        <w:contextualSpacing/>
        <w:rPr>
          <w:rFonts w:cs="Arial"/>
          <w:color w:val="0070C0"/>
          <w:szCs w:val="24"/>
          <w:lang w:eastAsia="pt-BR"/>
        </w:rPr>
        <w:sectPr w:rsidR="00646530" w:rsidSect="00B94A15">
          <w:footerReference w:type="default" r:id="rId58"/>
          <w:pgSz w:w="11906" w:h="16838"/>
          <w:pgMar w:top="1134" w:right="1134" w:bottom="1134" w:left="1418" w:header="709" w:footer="709" w:gutter="0"/>
          <w:cols w:space="708"/>
          <w:docGrid w:linePitch="360"/>
        </w:sectPr>
      </w:pPr>
    </w:p>
    <w:p w:rsidR="00646530" w:rsidRDefault="00646530" w:rsidP="00646530">
      <w:pPr>
        <w:pStyle w:val="Legenda"/>
        <w:rPr>
          <w:lang w:val="pt-BR" w:eastAsia="pt-BR"/>
        </w:rPr>
      </w:pPr>
      <w:bookmarkStart w:id="668" w:name="_Ref484158849"/>
      <w:bookmarkStart w:id="669" w:name="_Toc484423913"/>
      <w:bookmarkStart w:id="670" w:name="_Toc484532475"/>
      <w:bookmarkStart w:id="671" w:name="_Toc497469193"/>
      <w:r w:rsidRPr="00C52CF6">
        <w:lastRenderedPageBreak/>
        <w:t xml:space="preserve">Quadro </w:t>
      </w:r>
      <w:r w:rsidR="00D71C43">
        <w:fldChar w:fldCharType="begin"/>
      </w:r>
      <w:r w:rsidR="00D71C43">
        <w:instrText xml:space="preserve"> SEQ Quadro \* ARABIC </w:instrText>
      </w:r>
      <w:r w:rsidR="00D71C43">
        <w:fldChar w:fldCharType="separate"/>
      </w:r>
      <w:r w:rsidR="004D1D76">
        <w:rPr>
          <w:noProof/>
        </w:rPr>
        <w:t>72</w:t>
      </w:r>
      <w:r w:rsidR="00D71C43">
        <w:rPr>
          <w:noProof/>
        </w:rPr>
        <w:fldChar w:fldCharType="end"/>
      </w:r>
      <w:bookmarkEnd w:id="668"/>
      <w:r w:rsidRPr="00C52CF6">
        <w:t xml:space="preserve"> - Matriz SWOT do Sistema de Saneamento Básico Municipal de </w:t>
      </w:r>
      <w:bookmarkEnd w:id="669"/>
      <w:r>
        <w:rPr>
          <w:lang w:eastAsia="pt-BR"/>
        </w:rPr>
        <w:t>Córrego Novo</w:t>
      </w:r>
      <w:bookmarkEnd w:id="670"/>
      <w:bookmarkEnd w:id="6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9"/>
        <w:gridCol w:w="4940"/>
        <w:gridCol w:w="2948"/>
        <w:gridCol w:w="5619"/>
      </w:tblGrid>
      <w:tr w:rsidR="00646530" w:rsidRPr="00131EE2" w:rsidTr="00B94A15">
        <w:trPr>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646530" w:rsidRPr="00131EE2" w:rsidRDefault="00646530" w:rsidP="00B94A15">
            <w:pPr>
              <w:autoSpaceDE w:val="0"/>
              <w:autoSpaceDN w:val="0"/>
              <w:adjustRightInd w:val="0"/>
              <w:spacing w:before="60" w:after="60" w:line="240" w:lineRule="auto"/>
              <w:rPr>
                <w:rFonts w:cs="Arial"/>
                <w:color w:val="0070C0"/>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hideMark/>
          </w:tcPr>
          <w:p w:rsidR="00646530" w:rsidRPr="00131EE2" w:rsidRDefault="00646530" w:rsidP="00B94A15">
            <w:pPr>
              <w:autoSpaceDE w:val="0"/>
              <w:autoSpaceDN w:val="0"/>
              <w:adjustRightInd w:val="0"/>
              <w:spacing w:before="60" w:after="60" w:line="240" w:lineRule="auto"/>
              <w:jc w:val="center"/>
              <w:rPr>
                <w:rFonts w:cs="Arial"/>
                <w:b/>
                <w:sz w:val="20"/>
                <w:szCs w:val="20"/>
              </w:rPr>
            </w:pPr>
            <w:r w:rsidRPr="00131EE2">
              <w:rPr>
                <w:rFonts w:cs="Arial"/>
                <w:b/>
                <w:sz w:val="20"/>
                <w:szCs w:val="20"/>
              </w:rPr>
              <w:t>PONTOS POSITIVOS</w:t>
            </w:r>
          </w:p>
        </w:tc>
        <w:tc>
          <w:tcPr>
            <w:tcW w:w="0" w:type="auto"/>
            <w:tcBorders>
              <w:top w:val="single" w:sz="4" w:space="0" w:color="auto"/>
              <w:left w:val="single" w:sz="4" w:space="0" w:color="auto"/>
              <w:bottom w:val="single" w:sz="4" w:space="0" w:color="auto"/>
              <w:right w:val="single" w:sz="4" w:space="0" w:color="auto"/>
            </w:tcBorders>
            <w:shd w:val="clear" w:color="auto" w:fill="95B3D7"/>
            <w:vAlign w:val="center"/>
          </w:tcPr>
          <w:p w:rsidR="00646530" w:rsidRPr="00131EE2" w:rsidRDefault="00646530" w:rsidP="00B94A15">
            <w:pPr>
              <w:autoSpaceDE w:val="0"/>
              <w:autoSpaceDN w:val="0"/>
              <w:adjustRightInd w:val="0"/>
              <w:spacing w:before="60" w:after="60" w:line="240" w:lineRule="auto"/>
              <w:jc w:val="center"/>
              <w:rPr>
                <w:rFonts w:cs="Arial"/>
                <w:b/>
                <w:sz w:val="20"/>
                <w:szCs w:val="20"/>
              </w:rPr>
            </w:pPr>
            <w:r w:rsidRPr="00131EE2">
              <w:rPr>
                <w:rFonts w:cs="Arial"/>
                <w:b/>
                <w:sz w:val="20"/>
                <w:szCs w:val="20"/>
              </w:rPr>
              <w:t>ITENS DE REFLEXÃO</w:t>
            </w:r>
          </w:p>
        </w:tc>
        <w:tc>
          <w:tcPr>
            <w:tcW w:w="0" w:type="auto"/>
            <w:tcBorders>
              <w:top w:val="single" w:sz="4" w:space="0" w:color="auto"/>
              <w:left w:val="single" w:sz="4" w:space="0" w:color="auto"/>
              <w:bottom w:val="single" w:sz="4" w:space="0" w:color="auto"/>
              <w:right w:val="single" w:sz="4" w:space="0" w:color="auto"/>
            </w:tcBorders>
            <w:shd w:val="clear" w:color="auto" w:fill="95B3D7"/>
            <w:vAlign w:val="center"/>
            <w:hideMark/>
          </w:tcPr>
          <w:p w:rsidR="00646530" w:rsidRPr="00131EE2" w:rsidRDefault="00646530" w:rsidP="00B94A15">
            <w:pPr>
              <w:autoSpaceDE w:val="0"/>
              <w:autoSpaceDN w:val="0"/>
              <w:adjustRightInd w:val="0"/>
              <w:spacing w:before="60" w:after="60" w:line="240" w:lineRule="auto"/>
              <w:jc w:val="center"/>
              <w:rPr>
                <w:rFonts w:cs="Arial"/>
                <w:b/>
                <w:sz w:val="20"/>
                <w:szCs w:val="20"/>
              </w:rPr>
            </w:pPr>
            <w:r w:rsidRPr="00131EE2">
              <w:rPr>
                <w:rFonts w:cs="Arial"/>
                <w:b/>
                <w:sz w:val="20"/>
                <w:szCs w:val="20"/>
              </w:rPr>
              <w:t>PONTOS NEGATIVOS</w:t>
            </w:r>
          </w:p>
        </w:tc>
      </w:tr>
      <w:tr w:rsidR="00646530" w:rsidRPr="00131EE2" w:rsidTr="00B94A15">
        <w:trPr>
          <w:trHeight w:val="1115"/>
          <w:jc w:val="center"/>
        </w:trPr>
        <w:tc>
          <w:tcPr>
            <w:tcW w:w="0" w:type="auto"/>
            <w:tcBorders>
              <w:top w:val="single" w:sz="4" w:space="0" w:color="auto"/>
              <w:left w:val="single" w:sz="4" w:space="0" w:color="auto"/>
              <w:bottom w:val="single" w:sz="4" w:space="0" w:color="auto"/>
              <w:right w:val="single" w:sz="4" w:space="0" w:color="auto"/>
            </w:tcBorders>
            <w:shd w:val="clear" w:color="auto" w:fill="365F91"/>
            <w:vAlign w:val="center"/>
            <w:hideMark/>
          </w:tcPr>
          <w:p w:rsidR="00646530" w:rsidRPr="00131EE2" w:rsidRDefault="00646530" w:rsidP="00B94A15">
            <w:pPr>
              <w:autoSpaceDE w:val="0"/>
              <w:autoSpaceDN w:val="0"/>
              <w:adjustRightInd w:val="0"/>
              <w:spacing w:before="60" w:after="60" w:line="240" w:lineRule="auto"/>
              <w:jc w:val="center"/>
              <w:rPr>
                <w:rFonts w:cs="Arial"/>
                <w:b/>
                <w:color w:val="0070C0"/>
                <w:sz w:val="20"/>
                <w:szCs w:val="20"/>
              </w:rPr>
            </w:pPr>
            <w:r w:rsidRPr="00131EE2">
              <w:rPr>
                <w:rFonts w:cs="Arial"/>
                <w:b/>
                <w:color w:val="FFFFFF" w:themeColor="background1"/>
                <w:sz w:val="20"/>
                <w:szCs w:val="20"/>
              </w:rPr>
              <w:t>Ambiente Interno</w:t>
            </w:r>
          </w:p>
        </w:tc>
        <w:tc>
          <w:tcPr>
            <w:tcW w:w="0" w:type="auto"/>
            <w:tcBorders>
              <w:top w:val="single" w:sz="4" w:space="0" w:color="auto"/>
              <w:left w:val="single" w:sz="4" w:space="0" w:color="auto"/>
              <w:bottom w:val="single" w:sz="4" w:space="0" w:color="auto"/>
              <w:right w:val="single" w:sz="4" w:space="0" w:color="auto"/>
            </w:tcBorders>
            <w:shd w:val="clear" w:color="auto" w:fill="B8CCE4" w:themeFill="accent1" w:themeFillTint="66"/>
          </w:tcPr>
          <w:p w:rsidR="00646530" w:rsidRPr="00131EE2" w:rsidRDefault="00646530" w:rsidP="00B94A15">
            <w:pPr>
              <w:pStyle w:val="PargrafodaLista"/>
              <w:tabs>
                <w:tab w:val="left" w:pos="127"/>
                <w:tab w:val="left" w:pos="269"/>
              </w:tabs>
              <w:autoSpaceDE w:val="0"/>
              <w:autoSpaceDN w:val="0"/>
              <w:adjustRightInd w:val="0"/>
              <w:spacing w:before="60" w:after="60" w:line="240" w:lineRule="auto"/>
              <w:ind w:left="127"/>
              <w:jc w:val="center"/>
              <w:rPr>
                <w:b/>
                <w:sz w:val="20"/>
              </w:rPr>
            </w:pPr>
            <w:r w:rsidRPr="00131EE2">
              <w:rPr>
                <w:b/>
                <w:sz w:val="20"/>
              </w:rPr>
              <w:t>FORÇAS</w:t>
            </w:r>
          </w:p>
          <w:p w:rsidR="00646530" w:rsidRPr="00131EE2" w:rsidRDefault="00646530" w:rsidP="00A87269">
            <w:pPr>
              <w:pStyle w:val="PargrafodaLista"/>
              <w:numPr>
                <w:ilvl w:val="0"/>
                <w:numId w:val="48"/>
              </w:numPr>
              <w:tabs>
                <w:tab w:val="left" w:pos="127"/>
                <w:tab w:val="left" w:pos="269"/>
              </w:tabs>
              <w:autoSpaceDE w:val="0"/>
              <w:autoSpaceDN w:val="0"/>
              <w:adjustRightInd w:val="0"/>
              <w:spacing w:before="60" w:after="60" w:line="240" w:lineRule="auto"/>
              <w:ind w:left="127" w:hanging="127"/>
              <w:rPr>
                <w:b/>
                <w:sz w:val="20"/>
              </w:rPr>
            </w:pPr>
            <w:r w:rsidRPr="00131EE2">
              <w:rPr>
                <w:b/>
                <w:sz w:val="20"/>
              </w:rPr>
              <w:t>Perfil institucional</w:t>
            </w:r>
          </w:p>
          <w:p w:rsidR="00646530" w:rsidRPr="00131EE2" w:rsidRDefault="00646530" w:rsidP="00B94A15">
            <w:pPr>
              <w:pStyle w:val="PargrafodaLista"/>
              <w:tabs>
                <w:tab w:val="left" w:pos="127"/>
                <w:tab w:val="left" w:pos="269"/>
              </w:tabs>
              <w:autoSpaceDE w:val="0"/>
              <w:autoSpaceDN w:val="0"/>
              <w:adjustRightInd w:val="0"/>
              <w:spacing w:before="60" w:after="60" w:line="240" w:lineRule="auto"/>
              <w:ind w:left="127"/>
              <w:rPr>
                <w:sz w:val="20"/>
              </w:rPr>
            </w:pPr>
            <w:r w:rsidRPr="00131EE2">
              <w:rPr>
                <w:sz w:val="20"/>
              </w:rPr>
              <w:t>- O município possui uma organização institucional que conta com secretarias, departamentos e órgãos que se responsabilizam por diferentes setores do saneamento básico.</w:t>
            </w:r>
          </w:p>
          <w:p w:rsidR="00646530" w:rsidRPr="00131EE2" w:rsidRDefault="00646530" w:rsidP="00B94A15">
            <w:pPr>
              <w:pStyle w:val="PargrafodaLista"/>
              <w:tabs>
                <w:tab w:val="left" w:pos="127"/>
                <w:tab w:val="left" w:pos="269"/>
              </w:tabs>
              <w:autoSpaceDE w:val="0"/>
              <w:autoSpaceDN w:val="0"/>
              <w:adjustRightInd w:val="0"/>
              <w:spacing w:before="60" w:after="60" w:line="240" w:lineRule="auto"/>
              <w:ind w:left="127"/>
              <w:rPr>
                <w:sz w:val="20"/>
              </w:rPr>
            </w:pPr>
          </w:p>
          <w:p w:rsidR="00646530" w:rsidRPr="00131EE2" w:rsidRDefault="00646530" w:rsidP="00A87269">
            <w:pPr>
              <w:pStyle w:val="PargrafodaLista"/>
              <w:numPr>
                <w:ilvl w:val="0"/>
                <w:numId w:val="48"/>
              </w:numPr>
              <w:tabs>
                <w:tab w:val="left" w:pos="127"/>
                <w:tab w:val="left" w:pos="269"/>
              </w:tabs>
              <w:autoSpaceDE w:val="0"/>
              <w:autoSpaceDN w:val="0"/>
              <w:adjustRightInd w:val="0"/>
              <w:spacing w:before="60" w:after="60" w:line="240" w:lineRule="auto"/>
              <w:ind w:left="127" w:hanging="127"/>
              <w:rPr>
                <w:b/>
                <w:sz w:val="20"/>
              </w:rPr>
            </w:pPr>
            <w:r w:rsidRPr="00131EE2">
              <w:rPr>
                <w:b/>
                <w:sz w:val="20"/>
              </w:rPr>
              <w:t>Atendimento da demanda</w:t>
            </w:r>
          </w:p>
          <w:p w:rsidR="00646530" w:rsidRPr="00131EE2" w:rsidRDefault="00646530" w:rsidP="00B94A15">
            <w:pPr>
              <w:pStyle w:val="PargrafodaLista"/>
              <w:autoSpaceDE w:val="0"/>
              <w:autoSpaceDN w:val="0"/>
              <w:adjustRightInd w:val="0"/>
              <w:spacing w:before="60" w:after="60" w:line="240" w:lineRule="auto"/>
              <w:ind w:left="127"/>
              <w:rPr>
                <w:sz w:val="20"/>
              </w:rPr>
            </w:pPr>
            <w:r w:rsidRPr="00131EE2">
              <w:rPr>
                <w:sz w:val="20"/>
              </w:rPr>
              <w:t>- Grande parte da população urbana recebe os serviços de saneamento do município.</w:t>
            </w:r>
          </w:p>
          <w:p w:rsidR="00646530" w:rsidRPr="00131EE2" w:rsidRDefault="00646530" w:rsidP="00B94A15">
            <w:pPr>
              <w:pStyle w:val="PargrafodaLista"/>
              <w:autoSpaceDE w:val="0"/>
              <w:autoSpaceDN w:val="0"/>
              <w:adjustRightInd w:val="0"/>
              <w:spacing w:before="60" w:after="60" w:line="240" w:lineRule="auto"/>
              <w:ind w:left="127"/>
              <w:rPr>
                <w:sz w:val="20"/>
              </w:rPr>
            </w:pPr>
            <w:r w:rsidRPr="00131EE2">
              <w:rPr>
                <w:sz w:val="20"/>
              </w:rPr>
              <w:t xml:space="preserve">  </w:t>
            </w:r>
          </w:p>
          <w:p w:rsidR="00646530" w:rsidRPr="00131EE2" w:rsidRDefault="00646530" w:rsidP="00A87269">
            <w:pPr>
              <w:pStyle w:val="PargrafodaLista"/>
              <w:numPr>
                <w:ilvl w:val="0"/>
                <w:numId w:val="48"/>
              </w:numPr>
              <w:tabs>
                <w:tab w:val="left" w:pos="127"/>
                <w:tab w:val="left" w:pos="269"/>
              </w:tabs>
              <w:autoSpaceDE w:val="0"/>
              <w:autoSpaceDN w:val="0"/>
              <w:adjustRightInd w:val="0"/>
              <w:spacing w:before="60" w:after="60" w:line="240" w:lineRule="auto"/>
              <w:ind w:left="127" w:hanging="127"/>
              <w:rPr>
                <w:b/>
                <w:sz w:val="20"/>
              </w:rPr>
            </w:pPr>
            <w:r w:rsidRPr="00131EE2">
              <w:rPr>
                <w:b/>
                <w:sz w:val="20"/>
              </w:rPr>
              <w:t>Sustentabilidade econômica</w:t>
            </w:r>
          </w:p>
          <w:p w:rsidR="00646530" w:rsidRPr="00131EE2" w:rsidRDefault="00646530" w:rsidP="00B94A15">
            <w:pPr>
              <w:pStyle w:val="PargrafodaLista"/>
              <w:tabs>
                <w:tab w:val="left" w:pos="127"/>
                <w:tab w:val="left" w:pos="269"/>
              </w:tabs>
              <w:autoSpaceDE w:val="0"/>
              <w:autoSpaceDN w:val="0"/>
              <w:adjustRightInd w:val="0"/>
              <w:spacing w:before="60" w:after="60" w:line="240" w:lineRule="auto"/>
              <w:ind w:left="127"/>
              <w:rPr>
                <w:sz w:val="20"/>
              </w:rPr>
            </w:pPr>
            <w:r w:rsidRPr="00131EE2">
              <w:rPr>
                <w:sz w:val="20"/>
              </w:rPr>
              <w:t>- Há entendimento da gestão local quanto à necessidade de se introduzir a tarifação dos serviços.</w:t>
            </w:r>
          </w:p>
          <w:p w:rsidR="00646530" w:rsidRPr="00131EE2" w:rsidRDefault="00646530" w:rsidP="00B94A15">
            <w:pPr>
              <w:pStyle w:val="PargrafodaLista"/>
              <w:tabs>
                <w:tab w:val="left" w:pos="127"/>
                <w:tab w:val="left" w:pos="269"/>
              </w:tabs>
              <w:autoSpaceDE w:val="0"/>
              <w:autoSpaceDN w:val="0"/>
              <w:adjustRightInd w:val="0"/>
              <w:spacing w:before="60" w:after="60" w:line="240" w:lineRule="auto"/>
              <w:ind w:left="127"/>
              <w:rPr>
                <w:sz w:val="20"/>
              </w:rPr>
            </w:pPr>
            <w:r w:rsidRPr="00131EE2">
              <w:rPr>
                <w:sz w:val="20"/>
              </w:rPr>
              <w:t>- O Plano Plurianual do período já considera investimentos no setor de saneamento.</w:t>
            </w:r>
          </w:p>
          <w:p w:rsidR="00646530" w:rsidRPr="00131EE2" w:rsidRDefault="00646530" w:rsidP="00B94A15">
            <w:pPr>
              <w:pStyle w:val="PargrafodaLista"/>
              <w:tabs>
                <w:tab w:val="left" w:pos="127"/>
                <w:tab w:val="left" w:pos="269"/>
              </w:tabs>
              <w:autoSpaceDE w:val="0"/>
              <w:autoSpaceDN w:val="0"/>
              <w:adjustRightInd w:val="0"/>
              <w:spacing w:before="60" w:after="60" w:line="240" w:lineRule="auto"/>
              <w:ind w:left="127"/>
              <w:rPr>
                <w:sz w:val="20"/>
              </w:rPr>
            </w:pPr>
          </w:p>
          <w:p w:rsidR="00646530" w:rsidRPr="00131EE2" w:rsidRDefault="00646530" w:rsidP="00A87269">
            <w:pPr>
              <w:pStyle w:val="PargrafodaLista"/>
              <w:numPr>
                <w:ilvl w:val="0"/>
                <w:numId w:val="48"/>
              </w:numPr>
              <w:tabs>
                <w:tab w:val="left" w:pos="127"/>
                <w:tab w:val="left" w:pos="269"/>
              </w:tabs>
              <w:autoSpaceDE w:val="0"/>
              <w:autoSpaceDN w:val="0"/>
              <w:adjustRightInd w:val="0"/>
              <w:spacing w:before="60" w:after="60" w:line="240" w:lineRule="auto"/>
              <w:ind w:left="127" w:hanging="127"/>
              <w:rPr>
                <w:b/>
                <w:sz w:val="20"/>
              </w:rPr>
            </w:pPr>
            <w:r w:rsidRPr="00131EE2">
              <w:rPr>
                <w:b/>
                <w:sz w:val="20"/>
              </w:rPr>
              <w:t>Regulação do setor</w:t>
            </w:r>
          </w:p>
          <w:p w:rsidR="00646530" w:rsidRPr="00131EE2" w:rsidRDefault="00646530" w:rsidP="00B94A15">
            <w:pPr>
              <w:pStyle w:val="PargrafodaLista"/>
              <w:tabs>
                <w:tab w:val="left" w:pos="127"/>
                <w:tab w:val="left" w:pos="269"/>
              </w:tabs>
              <w:autoSpaceDE w:val="0"/>
              <w:autoSpaceDN w:val="0"/>
              <w:adjustRightInd w:val="0"/>
              <w:spacing w:before="60" w:after="60" w:line="240" w:lineRule="auto"/>
              <w:ind w:left="127"/>
              <w:rPr>
                <w:sz w:val="20"/>
              </w:rPr>
            </w:pPr>
            <w:r w:rsidRPr="00131EE2">
              <w:rPr>
                <w:sz w:val="20"/>
              </w:rPr>
              <w:t>- O município conta com Conselho que t</w:t>
            </w:r>
            <w:r>
              <w:rPr>
                <w:sz w:val="20"/>
              </w:rPr>
              <w:t>e</w:t>
            </w:r>
            <w:r w:rsidRPr="00131EE2">
              <w:rPr>
                <w:sz w:val="20"/>
              </w:rPr>
              <w:t>m potencial para servir de entidade reguladora dos serviços de saneamento: Conselho Municipal de Desenvolvimento Ambiental.</w:t>
            </w:r>
          </w:p>
          <w:p w:rsidR="00646530" w:rsidRPr="00131EE2" w:rsidRDefault="00646530" w:rsidP="00B94A15">
            <w:pPr>
              <w:pStyle w:val="PargrafodaLista"/>
              <w:tabs>
                <w:tab w:val="left" w:pos="127"/>
                <w:tab w:val="left" w:pos="269"/>
              </w:tabs>
              <w:autoSpaceDE w:val="0"/>
              <w:autoSpaceDN w:val="0"/>
              <w:adjustRightInd w:val="0"/>
              <w:spacing w:before="60" w:after="60" w:line="240" w:lineRule="auto"/>
              <w:ind w:left="127"/>
              <w:rPr>
                <w:sz w:val="20"/>
              </w:rPr>
            </w:pPr>
            <w:r w:rsidRPr="00131EE2">
              <w:rPr>
                <w:sz w:val="20"/>
              </w:rPr>
              <w:t xml:space="preserve"> </w:t>
            </w:r>
          </w:p>
          <w:p w:rsidR="00646530" w:rsidRPr="00131EE2" w:rsidRDefault="00646530" w:rsidP="00A87269">
            <w:pPr>
              <w:pStyle w:val="PargrafodaLista"/>
              <w:numPr>
                <w:ilvl w:val="0"/>
                <w:numId w:val="48"/>
              </w:numPr>
              <w:tabs>
                <w:tab w:val="left" w:pos="127"/>
                <w:tab w:val="left" w:pos="269"/>
              </w:tabs>
              <w:autoSpaceDE w:val="0"/>
              <w:autoSpaceDN w:val="0"/>
              <w:adjustRightInd w:val="0"/>
              <w:spacing w:before="60" w:after="60" w:line="240" w:lineRule="auto"/>
              <w:ind w:left="127" w:hanging="127"/>
              <w:rPr>
                <w:b/>
                <w:sz w:val="20"/>
              </w:rPr>
            </w:pPr>
            <w:r w:rsidRPr="00131EE2">
              <w:rPr>
                <w:b/>
                <w:sz w:val="20"/>
              </w:rPr>
              <w:t>Regularização ambiental do setor</w:t>
            </w:r>
          </w:p>
          <w:p w:rsidR="00646530" w:rsidRPr="00131EE2" w:rsidRDefault="00646530" w:rsidP="00B94A15">
            <w:pPr>
              <w:pStyle w:val="PargrafodaLista"/>
              <w:tabs>
                <w:tab w:val="left" w:pos="127"/>
                <w:tab w:val="left" w:pos="269"/>
              </w:tabs>
              <w:autoSpaceDE w:val="0"/>
              <w:autoSpaceDN w:val="0"/>
              <w:adjustRightInd w:val="0"/>
              <w:spacing w:before="60" w:after="60" w:line="240" w:lineRule="auto"/>
              <w:ind w:left="127"/>
              <w:rPr>
                <w:sz w:val="20"/>
              </w:rPr>
            </w:pPr>
            <w:r w:rsidRPr="00131EE2">
              <w:rPr>
                <w:sz w:val="20"/>
              </w:rPr>
              <w:t>- O município possui captações subterrâneas outorgadas pelo órgão competente.</w:t>
            </w:r>
          </w:p>
          <w:p w:rsidR="00646530" w:rsidRDefault="00646530" w:rsidP="00B94A15">
            <w:pPr>
              <w:pStyle w:val="PargrafodaLista"/>
              <w:tabs>
                <w:tab w:val="left" w:pos="127"/>
                <w:tab w:val="left" w:pos="269"/>
              </w:tabs>
              <w:autoSpaceDE w:val="0"/>
              <w:autoSpaceDN w:val="0"/>
              <w:adjustRightInd w:val="0"/>
              <w:spacing w:before="60" w:after="60" w:line="240" w:lineRule="auto"/>
              <w:ind w:left="127"/>
              <w:rPr>
                <w:sz w:val="20"/>
              </w:rPr>
            </w:pPr>
          </w:p>
          <w:p w:rsidR="00646530" w:rsidRDefault="00646530" w:rsidP="00B94A15">
            <w:pPr>
              <w:pStyle w:val="PargrafodaLista"/>
              <w:tabs>
                <w:tab w:val="left" w:pos="127"/>
                <w:tab w:val="left" w:pos="269"/>
              </w:tabs>
              <w:autoSpaceDE w:val="0"/>
              <w:autoSpaceDN w:val="0"/>
              <w:adjustRightInd w:val="0"/>
              <w:spacing w:before="60" w:after="60" w:line="240" w:lineRule="auto"/>
              <w:ind w:left="127"/>
              <w:rPr>
                <w:sz w:val="20"/>
              </w:rPr>
            </w:pPr>
          </w:p>
          <w:p w:rsidR="00646530" w:rsidRDefault="00646530" w:rsidP="00B94A15">
            <w:pPr>
              <w:pStyle w:val="PargrafodaLista"/>
              <w:tabs>
                <w:tab w:val="left" w:pos="127"/>
                <w:tab w:val="left" w:pos="269"/>
              </w:tabs>
              <w:autoSpaceDE w:val="0"/>
              <w:autoSpaceDN w:val="0"/>
              <w:adjustRightInd w:val="0"/>
              <w:spacing w:before="60" w:after="60" w:line="240" w:lineRule="auto"/>
              <w:ind w:left="127"/>
              <w:rPr>
                <w:sz w:val="20"/>
              </w:rPr>
            </w:pPr>
          </w:p>
          <w:p w:rsidR="00646530" w:rsidRDefault="00646530" w:rsidP="00B94A15">
            <w:pPr>
              <w:pStyle w:val="PargrafodaLista"/>
              <w:tabs>
                <w:tab w:val="left" w:pos="127"/>
                <w:tab w:val="left" w:pos="269"/>
              </w:tabs>
              <w:autoSpaceDE w:val="0"/>
              <w:autoSpaceDN w:val="0"/>
              <w:adjustRightInd w:val="0"/>
              <w:spacing w:before="60" w:after="60" w:line="240" w:lineRule="auto"/>
              <w:ind w:left="127"/>
              <w:rPr>
                <w:sz w:val="20"/>
              </w:rPr>
            </w:pPr>
          </w:p>
          <w:p w:rsidR="00646530" w:rsidRPr="00131EE2" w:rsidRDefault="00646530" w:rsidP="00B94A15">
            <w:pPr>
              <w:pStyle w:val="PargrafodaLista"/>
              <w:tabs>
                <w:tab w:val="left" w:pos="127"/>
                <w:tab w:val="left" w:pos="269"/>
              </w:tabs>
              <w:autoSpaceDE w:val="0"/>
              <w:autoSpaceDN w:val="0"/>
              <w:adjustRightInd w:val="0"/>
              <w:spacing w:before="60" w:after="60" w:line="240" w:lineRule="auto"/>
              <w:ind w:left="127"/>
              <w:rPr>
                <w:sz w:val="20"/>
              </w:rPr>
            </w:pPr>
          </w:p>
          <w:p w:rsidR="00646530" w:rsidRPr="00131EE2" w:rsidRDefault="00646530" w:rsidP="00A87269">
            <w:pPr>
              <w:pStyle w:val="PargrafodaLista"/>
              <w:numPr>
                <w:ilvl w:val="0"/>
                <w:numId w:val="48"/>
              </w:numPr>
              <w:tabs>
                <w:tab w:val="left" w:pos="127"/>
                <w:tab w:val="left" w:pos="269"/>
              </w:tabs>
              <w:autoSpaceDE w:val="0"/>
              <w:autoSpaceDN w:val="0"/>
              <w:adjustRightInd w:val="0"/>
              <w:spacing w:before="60" w:after="60" w:line="240" w:lineRule="auto"/>
              <w:ind w:left="127" w:hanging="127"/>
              <w:rPr>
                <w:b/>
                <w:sz w:val="20"/>
              </w:rPr>
            </w:pPr>
            <w:r w:rsidRPr="00131EE2">
              <w:rPr>
                <w:b/>
                <w:sz w:val="20"/>
              </w:rPr>
              <w:lastRenderedPageBreak/>
              <w:t>Controle social</w:t>
            </w:r>
          </w:p>
          <w:p w:rsidR="00646530" w:rsidRPr="00131EE2" w:rsidRDefault="00646530" w:rsidP="00B94A15">
            <w:pPr>
              <w:pStyle w:val="PargrafodaLista"/>
              <w:tabs>
                <w:tab w:val="left" w:pos="127"/>
                <w:tab w:val="left" w:pos="269"/>
              </w:tabs>
              <w:autoSpaceDE w:val="0"/>
              <w:autoSpaceDN w:val="0"/>
              <w:adjustRightInd w:val="0"/>
              <w:spacing w:before="60" w:after="60" w:line="240" w:lineRule="auto"/>
              <w:ind w:left="127"/>
              <w:rPr>
                <w:sz w:val="20"/>
              </w:rPr>
            </w:pPr>
            <w:r w:rsidRPr="00131EE2">
              <w:rPr>
                <w:sz w:val="20"/>
              </w:rPr>
              <w:t xml:space="preserve">- O município conta com diversas associações que podem atuar aumentando na articulação das comunidades para fins de participação na política do saneamento básico. </w:t>
            </w:r>
          </w:p>
          <w:p w:rsidR="00646530" w:rsidRPr="00131EE2" w:rsidRDefault="00646530" w:rsidP="00B94A15">
            <w:pPr>
              <w:pStyle w:val="PargrafodaLista"/>
              <w:tabs>
                <w:tab w:val="left" w:pos="127"/>
                <w:tab w:val="left" w:pos="269"/>
              </w:tabs>
              <w:autoSpaceDE w:val="0"/>
              <w:autoSpaceDN w:val="0"/>
              <w:adjustRightInd w:val="0"/>
              <w:spacing w:before="60" w:after="60" w:line="240" w:lineRule="auto"/>
              <w:ind w:left="127"/>
              <w:rPr>
                <w:sz w:val="20"/>
              </w:rPr>
            </w:pPr>
          </w:p>
          <w:p w:rsidR="00646530" w:rsidRPr="00131EE2" w:rsidRDefault="00646530" w:rsidP="00A87269">
            <w:pPr>
              <w:pStyle w:val="PargrafodaLista"/>
              <w:numPr>
                <w:ilvl w:val="0"/>
                <w:numId w:val="48"/>
              </w:numPr>
              <w:tabs>
                <w:tab w:val="left" w:pos="127"/>
                <w:tab w:val="left" w:pos="269"/>
              </w:tabs>
              <w:autoSpaceDE w:val="0"/>
              <w:autoSpaceDN w:val="0"/>
              <w:adjustRightInd w:val="0"/>
              <w:spacing w:before="60" w:after="60" w:line="240" w:lineRule="auto"/>
              <w:ind w:left="127" w:hanging="127"/>
              <w:rPr>
                <w:b/>
                <w:sz w:val="20"/>
              </w:rPr>
            </w:pPr>
            <w:r w:rsidRPr="00131EE2">
              <w:rPr>
                <w:b/>
                <w:sz w:val="20"/>
              </w:rPr>
              <w:t xml:space="preserve">Situação do setor na </w:t>
            </w:r>
            <w:r>
              <w:rPr>
                <w:b/>
                <w:sz w:val="20"/>
              </w:rPr>
              <w:t>e</w:t>
            </w:r>
            <w:r w:rsidRPr="00131EE2">
              <w:rPr>
                <w:b/>
                <w:sz w:val="20"/>
              </w:rPr>
              <w:t xml:space="preserve">ducação </w:t>
            </w:r>
            <w:r>
              <w:rPr>
                <w:b/>
                <w:sz w:val="20"/>
              </w:rPr>
              <w:t>pública local</w:t>
            </w:r>
          </w:p>
          <w:p w:rsidR="00646530" w:rsidRPr="00131EE2" w:rsidRDefault="00646530" w:rsidP="00B94A15">
            <w:pPr>
              <w:pStyle w:val="PargrafodaLista"/>
              <w:tabs>
                <w:tab w:val="left" w:pos="127"/>
                <w:tab w:val="left" w:pos="269"/>
              </w:tabs>
              <w:autoSpaceDE w:val="0"/>
              <w:autoSpaceDN w:val="0"/>
              <w:adjustRightInd w:val="0"/>
              <w:spacing w:before="60" w:after="60" w:line="240" w:lineRule="auto"/>
              <w:ind w:left="127"/>
              <w:rPr>
                <w:sz w:val="20"/>
              </w:rPr>
            </w:pPr>
            <w:r w:rsidRPr="00131EE2">
              <w:rPr>
                <w:sz w:val="20"/>
              </w:rPr>
              <w:t>- Existem iniciativas de conscientização ambiental em escolas públicas do município, além de parcerias com órgão de outros âmbitos administrativos, como o Instituto Estadual de Florestas.</w:t>
            </w:r>
          </w:p>
        </w:tc>
        <w:tc>
          <w:tcPr>
            <w:tcW w:w="0" w:type="auto"/>
            <w:vMerge w:val="restart"/>
            <w:tcBorders>
              <w:top w:val="single" w:sz="4" w:space="0" w:color="auto"/>
              <w:left w:val="single" w:sz="4" w:space="0" w:color="auto"/>
              <w:right w:val="single" w:sz="4" w:space="0" w:color="auto"/>
            </w:tcBorders>
            <w:shd w:val="clear" w:color="auto" w:fill="B8CCE4" w:themeFill="accent1" w:themeFillTint="66"/>
            <w:vAlign w:val="center"/>
          </w:tcPr>
          <w:p w:rsidR="00646530" w:rsidRPr="00131EE2" w:rsidRDefault="00646530" w:rsidP="00A87269">
            <w:pPr>
              <w:pStyle w:val="PargrafodaLista"/>
              <w:numPr>
                <w:ilvl w:val="0"/>
                <w:numId w:val="47"/>
              </w:numPr>
              <w:autoSpaceDE w:val="0"/>
              <w:autoSpaceDN w:val="0"/>
              <w:adjustRightInd w:val="0"/>
              <w:spacing w:before="240" w:after="240"/>
              <w:ind w:left="459" w:hanging="283"/>
              <w:jc w:val="center"/>
              <w:rPr>
                <w:b/>
                <w:sz w:val="20"/>
              </w:rPr>
            </w:pPr>
            <w:r w:rsidRPr="00131EE2">
              <w:rPr>
                <w:b/>
                <w:sz w:val="20"/>
              </w:rPr>
              <w:lastRenderedPageBreak/>
              <w:t>Perfil institucional</w:t>
            </w:r>
          </w:p>
          <w:p w:rsidR="00646530" w:rsidRPr="00131EE2" w:rsidRDefault="00646530" w:rsidP="00A87269">
            <w:pPr>
              <w:pStyle w:val="PargrafodaLista"/>
              <w:numPr>
                <w:ilvl w:val="0"/>
                <w:numId w:val="47"/>
              </w:numPr>
              <w:autoSpaceDE w:val="0"/>
              <w:autoSpaceDN w:val="0"/>
              <w:adjustRightInd w:val="0"/>
              <w:spacing w:before="240" w:after="240"/>
              <w:ind w:left="459" w:hanging="283"/>
              <w:jc w:val="center"/>
              <w:rPr>
                <w:b/>
                <w:sz w:val="20"/>
              </w:rPr>
            </w:pPr>
            <w:r w:rsidRPr="00131EE2">
              <w:rPr>
                <w:b/>
                <w:sz w:val="20"/>
              </w:rPr>
              <w:t>Atendimento da demanda</w:t>
            </w:r>
          </w:p>
          <w:p w:rsidR="00646530" w:rsidRPr="00131EE2" w:rsidRDefault="00646530" w:rsidP="00A87269">
            <w:pPr>
              <w:pStyle w:val="PargrafodaLista"/>
              <w:numPr>
                <w:ilvl w:val="0"/>
                <w:numId w:val="47"/>
              </w:numPr>
              <w:autoSpaceDE w:val="0"/>
              <w:autoSpaceDN w:val="0"/>
              <w:adjustRightInd w:val="0"/>
              <w:spacing w:before="240" w:after="240"/>
              <w:ind w:left="459" w:hanging="283"/>
              <w:jc w:val="center"/>
              <w:rPr>
                <w:b/>
                <w:sz w:val="20"/>
              </w:rPr>
            </w:pPr>
            <w:r w:rsidRPr="00131EE2">
              <w:rPr>
                <w:b/>
                <w:sz w:val="20"/>
              </w:rPr>
              <w:t>Sustentabilidade econômica</w:t>
            </w:r>
          </w:p>
          <w:p w:rsidR="00646530" w:rsidRPr="00131EE2" w:rsidRDefault="00646530" w:rsidP="00A87269">
            <w:pPr>
              <w:pStyle w:val="PargrafodaLista"/>
              <w:numPr>
                <w:ilvl w:val="0"/>
                <w:numId w:val="47"/>
              </w:numPr>
              <w:autoSpaceDE w:val="0"/>
              <w:autoSpaceDN w:val="0"/>
              <w:adjustRightInd w:val="0"/>
              <w:spacing w:before="240" w:after="240"/>
              <w:ind w:left="459" w:hanging="283"/>
              <w:jc w:val="center"/>
              <w:rPr>
                <w:b/>
                <w:sz w:val="20"/>
              </w:rPr>
            </w:pPr>
            <w:r w:rsidRPr="00131EE2">
              <w:rPr>
                <w:b/>
                <w:sz w:val="20"/>
              </w:rPr>
              <w:t>Regulação do setor</w:t>
            </w:r>
          </w:p>
          <w:p w:rsidR="00646530" w:rsidRPr="00131EE2" w:rsidRDefault="00646530" w:rsidP="00A87269">
            <w:pPr>
              <w:pStyle w:val="PargrafodaLista"/>
              <w:numPr>
                <w:ilvl w:val="0"/>
                <w:numId w:val="47"/>
              </w:numPr>
              <w:autoSpaceDE w:val="0"/>
              <w:autoSpaceDN w:val="0"/>
              <w:adjustRightInd w:val="0"/>
              <w:spacing w:before="240" w:after="240"/>
              <w:ind w:left="459" w:hanging="283"/>
              <w:jc w:val="center"/>
              <w:rPr>
                <w:b/>
                <w:sz w:val="20"/>
              </w:rPr>
            </w:pPr>
            <w:r w:rsidRPr="00131EE2">
              <w:rPr>
                <w:b/>
                <w:sz w:val="20"/>
              </w:rPr>
              <w:t>Regularização ambiental do setor</w:t>
            </w:r>
          </w:p>
          <w:p w:rsidR="00646530" w:rsidRPr="00131EE2" w:rsidRDefault="00646530" w:rsidP="00A87269">
            <w:pPr>
              <w:pStyle w:val="PargrafodaLista"/>
              <w:numPr>
                <w:ilvl w:val="0"/>
                <w:numId w:val="47"/>
              </w:numPr>
              <w:autoSpaceDE w:val="0"/>
              <w:autoSpaceDN w:val="0"/>
              <w:adjustRightInd w:val="0"/>
              <w:spacing w:before="240" w:after="240"/>
              <w:ind w:left="459" w:hanging="283"/>
              <w:jc w:val="center"/>
              <w:rPr>
                <w:b/>
                <w:sz w:val="20"/>
              </w:rPr>
            </w:pPr>
            <w:r w:rsidRPr="00131EE2">
              <w:rPr>
                <w:b/>
                <w:sz w:val="20"/>
              </w:rPr>
              <w:t>Controle social</w:t>
            </w:r>
          </w:p>
          <w:p w:rsidR="00646530" w:rsidRPr="00131EE2" w:rsidRDefault="00646530" w:rsidP="00A87269">
            <w:pPr>
              <w:pStyle w:val="PargrafodaLista"/>
              <w:numPr>
                <w:ilvl w:val="0"/>
                <w:numId w:val="47"/>
              </w:numPr>
              <w:autoSpaceDE w:val="0"/>
              <w:autoSpaceDN w:val="0"/>
              <w:adjustRightInd w:val="0"/>
              <w:spacing w:before="240" w:after="240"/>
              <w:ind w:left="459" w:hanging="283"/>
              <w:jc w:val="center"/>
              <w:rPr>
                <w:b/>
                <w:sz w:val="20"/>
              </w:rPr>
            </w:pPr>
            <w:r w:rsidRPr="00131EE2">
              <w:rPr>
                <w:b/>
                <w:sz w:val="20"/>
              </w:rPr>
              <w:t>Situação do setor na educação pública local</w:t>
            </w:r>
          </w:p>
        </w:tc>
        <w:tc>
          <w:tcPr>
            <w:tcW w:w="0" w:type="auto"/>
            <w:tcBorders>
              <w:top w:val="single" w:sz="4" w:space="0" w:color="auto"/>
              <w:left w:val="single" w:sz="4" w:space="0" w:color="auto"/>
              <w:bottom w:val="single" w:sz="4" w:space="0" w:color="auto"/>
              <w:right w:val="single" w:sz="4" w:space="0" w:color="auto"/>
            </w:tcBorders>
            <w:shd w:val="clear" w:color="auto" w:fill="B8CCE4" w:themeFill="accent1" w:themeFillTint="66"/>
          </w:tcPr>
          <w:p w:rsidR="00646530" w:rsidRPr="00131EE2" w:rsidRDefault="00646530" w:rsidP="00B94A15">
            <w:pPr>
              <w:autoSpaceDE w:val="0"/>
              <w:autoSpaceDN w:val="0"/>
              <w:adjustRightInd w:val="0"/>
              <w:spacing w:before="60" w:after="60" w:line="240" w:lineRule="auto"/>
              <w:jc w:val="center"/>
              <w:rPr>
                <w:rFonts w:cs="Arial"/>
                <w:b/>
                <w:sz w:val="20"/>
                <w:szCs w:val="20"/>
              </w:rPr>
            </w:pPr>
            <w:r w:rsidRPr="00131EE2">
              <w:rPr>
                <w:rFonts w:cs="Arial"/>
                <w:b/>
                <w:sz w:val="20"/>
                <w:szCs w:val="20"/>
              </w:rPr>
              <w:t>FRAQUEZAS</w:t>
            </w:r>
          </w:p>
          <w:p w:rsidR="00646530" w:rsidRPr="00131EE2" w:rsidRDefault="00646530" w:rsidP="00A87269">
            <w:pPr>
              <w:pStyle w:val="PargrafodaLista"/>
              <w:numPr>
                <w:ilvl w:val="0"/>
                <w:numId w:val="46"/>
              </w:numPr>
              <w:autoSpaceDE w:val="0"/>
              <w:autoSpaceDN w:val="0"/>
              <w:adjustRightInd w:val="0"/>
              <w:spacing w:before="60" w:after="60" w:line="240" w:lineRule="auto"/>
              <w:ind w:left="318" w:hanging="284"/>
              <w:jc w:val="left"/>
              <w:rPr>
                <w:b/>
                <w:sz w:val="20"/>
              </w:rPr>
            </w:pPr>
            <w:r w:rsidRPr="00131EE2">
              <w:rPr>
                <w:b/>
                <w:sz w:val="20"/>
              </w:rPr>
              <w:t xml:space="preserve">Perfil institucional </w:t>
            </w:r>
          </w:p>
          <w:p w:rsidR="00646530" w:rsidRPr="00131EE2" w:rsidRDefault="00646530" w:rsidP="00B94A15">
            <w:pPr>
              <w:autoSpaceDE w:val="0"/>
              <w:autoSpaceDN w:val="0"/>
              <w:adjustRightInd w:val="0"/>
              <w:spacing w:before="60" w:after="60" w:line="240" w:lineRule="auto"/>
              <w:jc w:val="left"/>
              <w:rPr>
                <w:rFonts w:cs="Arial"/>
                <w:sz w:val="20"/>
                <w:szCs w:val="20"/>
              </w:rPr>
            </w:pPr>
            <w:r w:rsidRPr="00131EE2">
              <w:rPr>
                <w:rFonts w:cs="Arial"/>
                <w:sz w:val="20"/>
                <w:szCs w:val="20"/>
              </w:rPr>
              <w:t>- Não há um órgão na administração municipal que integre institucionalmente os quatro setores do saneamento básico.</w:t>
            </w:r>
          </w:p>
          <w:p w:rsidR="00646530" w:rsidRPr="00131EE2" w:rsidRDefault="00646530" w:rsidP="00B94A15">
            <w:pPr>
              <w:autoSpaceDE w:val="0"/>
              <w:autoSpaceDN w:val="0"/>
              <w:adjustRightInd w:val="0"/>
              <w:spacing w:before="60" w:after="60" w:line="240" w:lineRule="auto"/>
              <w:jc w:val="left"/>
              <w:rPr>
                <w:rFonts w:cs="Arial"/>
                <w:sz w:val="20"/>
                <w:szCs w:val="20"/>
              </w:rPr>
            </w:pPr>
            <w:r w:rsidRPr="00131EE2">
              <w:rPr>
                <w:rFonts w:cs="Arial"/>
                <w:sz w:val="20"/>
                <w:szCs w:val="20"/>
              </w:rPr>
              <w:t>- Falta planejamento no setor de saneamento, incluindo definição de atribuições responsabilidades e competências.</w:t>
            </w:r>
          </w:p>
          <w:p w:rsidR="00646530" w:rsidRPr="00131EE2" w:rsidRDefault="00646530" w:rsidP="00B94A15">
            <w:pPr>
              <w:autoSpaceDE w:val="0"/>
              <w:autoSpaceDN w:val="0"/>
              <w:adjustRightInd w:val="0"/>
              <w:spacing w:before="60" w:after="60" w:line="240" w:lineRule="auto"/>
              <w:jc w:val="left"/>
              <w:rPr>
                <w:rFonts w:cs="Arial"/>
                <w:sz w:val="20"/>
                <w:szCs w:val="20"/>
              </w:rPr>
            </w:pPr>
            <w:r w:rsidRPr="00131EE2">
              <w:rPr>
                <w:rFonts w:cs="Arial"/>
                <w:sz w:val="20"/>
                <w:szCs w:val="20"/>
              </w:rPr>
              <w:t>- Falta definição de ações de contingência.</w:t>
            </w:r>
          </w:p>
          <w:p w:rsidR="00646530" w:rsidRPr="00131EE2" w:rsidRDefault="00646530" w:rsidP="00B94A15">
            <w:pPr>
              <w:autoSpaceDE w:val="0"/>
              <w:autoSpaceDN w:val="0"/>
              <w:adjustRightInd w:val="0"/>
              <w:spacing w:before="60" w:after="60" w:line="240" w:lineRule="auto"/>
              <w:jc w:val="left"/>
              <w:rPr>
                <w:rFonts w:cs="Arial"/>
                <w:sz w:val="20"/>
                <w:szCs w:val="20"/>
              </w:rPr>
            </w:pPr>
            <w:r w:rsidRPr="00131EE2">
              <w:rPr>
                <w:rFonts w:cs="Arial"/>
                <w:sz w:val="20"/>
                <w:szCs w:val="20"/>
              </w:rPr>
              <w:t xml:space="preserve">- </w:t>
            </w:r>
            <w:r>
              <w:rPr>
                <w:rFonts w:cs="Arial"/>
                <w:sz w:val="20"/>
                <w:szCs w:val="20"/>
              </w:rPr>
              <w:t xml:space="preserve">Faltam </w:t>
            </w:r>
            <w:r w:rsidRPr="00131EE2">
              <w:rPr>
                <w:rFonts w:cs="Arial"/>
                <w:sz w:val="20"/>
                <w:szCs w:val="20"/>
              </w:rPr>
              <w:t>documentação e gestão do conhecimento.</w:t>
            </w:r>
          </w:p>
          <w:p w:rsidR="00646530" w:rsidRPr="00131EE2" w:rsidRDefault="00646530" w:rsidP="00B94A15">
            <w:pPr>
              <w:autoSpaceDE w:val="0"/>
              <w:autoSpaceDN w:val="0"/>
              <w:adjustRightInd w:val="0"/>
              <w:spacing w:before="60" w:after="60" w:line="240" w:lineRule="auto"/>
              <w:jc w:val="left"/>
              <w:rPr>
                <w:rFonts w:cs="Arial"/>
                <w:sz w:val="20"/>
                <w:szCs w:val="20"/>
              </w:rPr>
            </w:pPr>
            <w:r w:rsidRPr="00131EE2">
              <w:rPr>
                <w:rFonts w:cs="Arial"/>
                <w:sz w:val="20"/>
                <w:szCs w:val="20"/>
              </w:rPr>
              <w:t>- Falta monitoramento dos processos internos de cada sistema.</w:t>
            </w:r>
          </w:p>
          <w:p w:rsidR="00646530" w:rsidRPr="00131EE2" w:rsidRDefault="00646530" w:rsidP="00A87269">
            <w:pPr>
              <w:pStyle w:val="PargrafodaLista"/>
              <w:numPr>
                <w:ilvl w:val="0"/>
                <w:numId w:val="46"/>
              </w:numPr>
              <w:autoSpaceDE w:val="0"/>
              <w:autoSpaceDN w:val="0"/>
              <w:adjustRightInd w:val="0"/>
              <w:spacing w:before="60" w:after="60" w:line="240" w:lineRule="auto"/>
              <w:ind w:left="318" w:hanging="284"/>
              <w:jc w:val="left"/>
              <w:rPr>
                <w:b/>
                <w:sz w:val="20"/>
              </w:rPr>
            </w:pPr>
            <w:r w:rsidRPr="00131EE2">
              <w:rPr>
                <w:b/>
                <w:sz w:val="20"/>
              </w:rPr>
              <w:t>Atendimento da demanda</w:t>
            </w:r>
          </w:p>
          <w:p w:rsidR="00646530" w:rsidRPr="00131EE2" w:rsidRDefault="00646530" w:rsidP="00B94A15">
            <w:pPr>
              <w:autoSpaceDE w:val="0"/>
              <w:autoSpaceDN w:val="0"/>
              <w:adjustRightInd w:val="0"/>
              <w:spacing w:before="60" w:after="60" w:line="240" w:lineRule="auto"/>
              <w:ind w:left="34"/>
              <w:jc w:val="left"/>
              <w:rPr>
                <w:rFonts w:cs="Arial"/>
                <w:sz w:val="20"/>
                <w:szCs w:val="20"/>
              </w:rPr>
            </w:pPr>
            <w:r w:rsidRPr="00131EE2">
              <w:rPr>
                <w:rFonts w:cs="Arial"/>
                <w:sz w:val="20"/>
                <w:szCs w:val="20"/>
              </w:rPr>
              <w:t xml:space="preserve">- As comunidades rurais são desassistidas pelo </w:t>
            </w:r>
            <w:r w:rsidR="008F2F65">
              <w:rPr>
                <w:rFonts w:cs="Arial"/>
                <w:sz w:val="20"/>
                <w:szCs w:val="20"/>
              </w:rPr>
              <w:t>P</w:t>
            </w:r>
            <w:r w:rsidRPr="00131EE2">
              <w:rPr>
                <w:rFonts w:cs="Arial"/>
                <w:sz w:val="20"/>
                <w:szCs w:val="20"/>
              </w:rPr>
              <w:t xml:space="preserve">oder </w:t>
            </w:r>
            <w:r w:rsidR="008F2F65">
              <w:rPr>
                <w:rFonts w:cs="Arial"/>
                <w:sz w:val="20"/>
                <w:szCs w:val="20"/>
              </w:rPr>
              <w:t>P</w:t>
            </w:r>
            <w:r w:rsidRPr="00131EE2">
              <w:rPr>
                <w:rFonts w:cs="Arial"/>
                <w:sz w:val="20"/>
                <w:szCs w:val="20"/>
              </w:rPr>
              <w:t>úblico no setor do saneamento básico.</w:t>
            </w:r>
          </w:p>
          <w:p w:rsidR="00646530" w:rsidRPr="00131EE2" w:rsidRDefault="00646530" w:rsidP="00B94A15">
            <w:pPr>
              <w:autoSpaceDE w:val="0"/>
              <w:autoSpaceDN w:val="0"/>
              <w:adjustRightInd w:val="0"/>
              <w:spacing w:before="60" w:after="60" w:line="240" w:lineRule="auto"/>
              <w:ind w:left="34"/>
              <w:jc w:val="left"/>
              <w:rPr>
                <w:rFonts w:cs="Arial"/>
                <w:sz w:val="20"/>
                <w:szCs w:val="20"/>
              </w:rPr>
            </w:pPr>
            <w:r w:rsidRPr="00131EE2">
              <w:rPr>
                <w:rFonts w:cs="Arial"/>
                <w:sz w:val="20"/>
                <w:szCs w:val="20"/>
              </w:rPr>
              <w:t>- Falta de planejamento para expandir o atendimento à população, em especial nas áreas rurais.</w:t>
            </w:r>
          </w:p>
          <w:p w:rsidR="00646530" w:rsidRPr="00131EE2" w:rsidRDefault="00646530" w:rsidP="00A87269">
            <w:pPr>
              <w:pStyle w:val="PargrafodaLista"/>
              <w:numPr>
                <w:ilvl w:val="0"/>
                <w:numId w:val="46"/>
              </w:numPr>
              <w:autoSpaceDE w:val="0"/>
              <w:autoSpaceDN w:val="0"/>
              <w:adjustRightInd w:val="0"/>
              <w:spacing w:before="60" w:after="60" w:line="240" w:lineRule="auto"/>
              <w:ind w:left="318" w:hanging="284"/>
              <w:jc w:val="left"/>
              <w:rPr>
                <w:b/>
                <w:sz w:val="20"/>
              </w:rPr>
            </w:pPr>
            <w:r w:rsidRPr="00131EE2">
              <w:rPr>
                <w:b/>
                <w:sz w:val="20"/>
              </w:rPr>
              <w:t>Sustentabilidade econômica</w:t>
            </w:r>
          </w:p>
          <w:p w:rsidR="00646530" w:rsidRPr="00131EE2" w:rsidRDefault="00646530" w:rsidP="00B94A15">
            <w:pPr>
              <w:autoSpaceDE w:val="0"/>
              <w:autoSpaceDN w:val="0"/>
              <w:adjustRightInd w:val="0"/>
              <w:spacing w:before="60" w:after="60" w:line="240" w:lineRule="auto"/>
              <w:jc w:val="left"/>
              <w:rPr>
                <w:rFonts w:cs="Arial"/>
                <w:sz w:val="20"/>
                <w:szCs w:val="20"/>
              </w:rPr>
            </w:pPr>
            <w:r w:rsidRPr="00131EE2">
              <w:rPr>
                <w:rFonts w:cs="Arial"/>
                <w:sz w:val="20"/>
                <w:szCs w:val="20"/>
              </w:rPr>
              <w:t>- A prestação dos serviços de saneamento básico no município está financeiramente deficitária, não apresentando sustentabilidade econômica.</w:t>
            </w:r>
          </w:p>
          <w:p w:rsidR="00646530" w:rsidRPr="00131EE2" w:rsidRDefault="00646530" w:rsidP="00B94A15">
            <w:pPr>
              <w:autoSpaceDE w:val="0"/>
              <w:autoSpaceDN w:val="0"/>
              <w:adjustRightInd w:val="0"/>
              <w:spacing w:before="60" w:after="60" w:line="240" w:lineRule="auto"/>
              <w:jc w:val="left"/>
              <w:rPr>
                <w:rFonts w:cs="Arial"/>
                <w:sz w:val="20"/>
                <w:szCs w:val="20"/>
              </w:rPr>
            </w:pPr>
            <w:r w:rsidRPr="00131EE2">
              <w:rPr>
                <w:rFonts w:cs="Arial"/>
                <w:sz w:val="20"/>
                <w:szCs w:val="20"/>
              </w:rPr>
              <w:t xml:space="preserve">- Não existe monitoramento sistematizado dos custos do setor. </w:t>
            </w:r>
          </w:p>
          <w:p w:rsidR="00646530" w:rsidRPr="00131EE2" w:rsidRDefault="00646530" w:rsidP="00A87269">
            <w:pPr>
              <w:pStyle w:val="PargrafodaLista"/>
              <w:numPr>
                <w:ilvl w:val="0"/>
                <w:numId w:val="46"/>
              </w:numPr>
              <w:autoSpaceDE w:val="0"/>
              <w:autoSpaceDN w:val="0"/>
              <w:adjustRightInd w:val="0"/>
              <w:spacing w:before="60" w:after="60" w:line="240" w:lineRule="auto"/>
              <w:ind w:left="318" w:hanging="284"/>
              <w:rPr>
                <w:b/>
                <w:sz w:val="20"/>
              </w:rPr>
            </w:pPr>
            <w:r w:rsidRPr="00131EE2">
              <w:rPr>
                <w:b/>
                <w:sz w:val="20"/>
              </w:rPr>
              <w:t>Regulação do setor</w:t>
            </w:r>
          </w:p>
          <w:p w:rsidR="00646530" w:rsidRPr="00131EE2" w:rsidRDefault="00646530" w:rsidP="00B94A15">
            <w:pPr>
              <w:autoSpaceDE w:val="0"/>
              <w:autoSpaceDN w:val="0"/>
              <w:adjustRightInd w:val="0"/>
              <w:spacing w:before="60" w:after="60" w:line="240" w:lineRule="auto"/>
              <w:jc w:val="left"/>
              <w:rPr>
                <w:rFonts w:cs="Arial"/>
                <w:sz w:val="20"/>
                <w:szCs w:val="20"/>
              </w:rPr>
            </w:pPr>
            <w:r w:rsidRPr="00131EE2">
              <w:rPr>
                <w:rFonts w:cs="Arial"/>
                <w:sz w:val="20"/>
                <w:szCs w:val="20"/>
              </w:rPr>
              <w:t>- Os serviços de saneamento básico não são submetidos a nenhum órgão regulador.</w:t>
            </w:r>
          </w:p>
          <w:p w:rsidR="00646530" w:rsidRPr="00131EE2" w:rsidRDefault="00646530" w:rsidP="00A87269">
            <w:pPr>
              <w:pStyle w:val="PargrafodaLista"/>
              <w:numPr>
                <w:ilvl w:val="0"/>
                <w:numId w:val="46"/>
              </w:numPr>
              <w:autoSpaceDE w:val="0"/>
              <w:autoSpaceDN w:val="0"/>
              <w:adjustRightInd w:val="0"/>
              <w:spacing w:before="60" w:after="60" w:line="240" w:lineRule="auto"/>
              <w:ind w:left="318" w:hanging="284"/>
              <w:jc w:val="left"/>
              <w:rPr>
                <w:b/>
                <w:sz w:val="20"/>
              </w:rPr>
            </w:pPr>
            <w:r w:rsidRPr="00131EE2">
              <w:rPr>
                <w:b/>
                <w:sz w:val="20"/>
              </w:rPr>
              <w:t xml:space="preserve">Regularização ambiental </w:t>
            </w:r>
            <w:r>
              <w:rPr>
                <w:b/>
                <w:sz w:val="20"/>
              </w:rPr>
              <w:t>do setor</w:t>
            </w:r>
          </w:p>
          <w:p w:rsidR="00646530" w:rsidRPr="00131EE2" w:rsidRDefault="00646530" w:rsidP="00B94A15">
            <w:pPr>
              <w:autoSpaceDE w:val="0"/>
              <w:autoSpaceDN w:val="0"/>
              <w:adjustRightInd w:val="0"/>
              <w:spacing w:before="60" w:after="60" w:line="240" w:lineRule="auto"/>
              <w:jc w:val="left"/>
              <w:rPr>
                <w:rFonts w:cs="Arial"/>
                <w:sz w:val="20"/>
                <w:szCs w:val="20"/>
              </w:rPr>
            </w:pPr>
            <w:r w:rsidRPr="00131EE2">
              <w:rPr>
                <w:rFonts w:cs="Arial"/>
                <w:sz w:val="20"/>
                <w:szCs w:val="20"/>
              </w:rPr>
              <w:t xml:space="preserve">- A maioria dos processos passíveis de causar impacto ambiental realizados no setor do saneamento não possui </w:t>
            </w:r>
            <w:r w:rsidRPr="00131EE2">
              <w:rPr>
                <w:rFonts w:cs="Arial"/>
                <w:sz w:val="20"/>
                <w:szCs w:val="20"/>
              </w:rPr>
              <w:lastRenderedPageBreak/>
              <w:t xml:space="preserve">licença ambiental. </w:t>
            </w:r>
          </w:p>
          <w:p w:rsidR="00646530" w:rsidRPr="00131EE2" w:rsidRDefault="00646530" w:rsidP="00A87269">
            <w:pPr>
              <w:pStyle w:val="PargrafodaLista"/>
              <w:numPr>
                <w:ilvl w:val="0"/>
                <w:numId w:val="46"/>
              </w:numPr>
              <w:autoSpaceDE w:val="0"/>
              <w:autoSpaceDN w:val="0"/>
              <w:adjustRightInd w:val="0"/>
              <w:spacing w:before="60" w:after="60" w:line="240" w:lineRule="auto"/>
              <w:ind w:left="318" w:hanging="318"/>
              <w:jc w:val="left"/>
              <w:rPr>
                <w:b/>
                <w:sz w:val="20"/>
              </w:rPr>
            </w:pPr>
            <w:r w:rsidRPr="00131EE2">
              <w:rPr>
                <w:b/>
                <w:sz w:val="20"/>
              </w:rPr>
              <w:t>Controle social</w:t>
            </w:r>
          </w:p>
          <w:p w:rsidR="00646530" w:rsidRPr="00131EE2" w:rsidRDefault="00646530" w:rsidP="00B94A15">
            <w:pPr>
              <w:autoSpaceDE w:val="0"/>
              <w:autoSpaceDN w:val="0"/>
              <w:adjustRightInd w:val="0"/>
              <w:spacing w:before="60" w:after="60" w:line="240" w:lineRule="auto"/>
              <w:jc w:val="left"/>
              <w:rPr>
                <w:rFonts w:cs="Arial"/>
                <w:sz w:val="20"/>
                <w:szCs w:val="20"/>
              </w:rPr>
            </w:pPr>
            <w:r w:rsidRPr="00131EE2">
              <w:rPr>
                <w:rFonts w:cs="Arial"/>
                <w:sz w:val="20"/>
                <w:szCs w:val="20"/>
              </w:rPr>
              <w:t xml:space="preserve">- Atualmente não há mecanismos implantados que garantam o acesso a informações e a participação da sociedade no planejamento ou na implementação de ações relacionadas à prestação de serviços de saneamento básico. </w:t>
            </w:r>
          </w:p>
          <w:p w:rsidR="00646530" w:rsidRPr="00131EE2" w:rsidRDefault="00646530" w:rsidP="00A87269">
            <w:pPr>
              <w:pStyle w:val="PargrafodaLista"/>
              <w:numPr>
                <w:ilvl w:val="0"/>
                <w:numId w:val="46"/>
              </w:numPr>
              <w:autoSpaceDE w:val="0"/>
              <w:autoSpaceDN w:val="0"/>
              <w:adjustRightInd w:val="0"/>
              <w:spacing w:before="60" w:after="60" w:line="240" w:lineRule="auto"/>
              <w:ind w:left="318" w:hanging="284"/>
              <w:rPr>
                <w:b/>
                <w:sz w:val="20"/>
              </w:rPr>
            </w:pPr>
            <w:r>
              <w:rPr>
                <w:b/>
                <w:sz w:val="20"/>
              </w:rPr>
              <w:t>Situação do setor na e</w:t>
            </w:r>
            <w:r w:rsidRPr="00131EE2">
              <w:rPr>
                <w:b/>
                <w:sz w:val="20"/>
              </w:rPr>
              <w:t xml:space="preserve">ducação </w:t>
            </w:r>
            <w:r>
              <w:rPr>
                <w:b/>
                <w:sz w:val="20"/>
              </w:rPr>
              <w:t>pública local</w:t>
            </w:r>
          </w:p>
          <w:p w:rsidR="00646530" w:rsidRPr="00131EE2" w:rsidRDefault="00646530" w:rsidP="00B94A15">
            <w:pPr>
              <w:autoSpaceDE w:val="0"/>
              <w:autoSpaceDN w:val="0"/>
              <w:adjustRightInd w:val="0"/>
              <w:spacing w:before="60" w:after="60" w:line="240" w:lineRule="auto"/>
              <w:jc w:val="left"/>
              <w:rPr>
                <w:rFonts w:cs="Arial"/>
                <w:sz w:val="20"/>
                <w:szCs w:val="20"/>
              </w:rPr>
            </w:pPr>
            <w:r w:rsidRPr="00131EE2">
              <w:rPr>
                <w:rFonts w:cs="Arial"/>
                <w:sz w:val="20"/>
                <w:szCs w:val="20"/>
              </w:rPr>
              <w:t>- O sistema educacional local não possui disciplinas na grade oficial que tratem</w:t>
            </w:r>
            <w:r>
              <w:rPr>
                <w:rFonts w:cs="Arial"/>
                <w:sz w:val="20"/>
                <w:szCs w:val="20"/>
              </w:rPr>
              <w:t>,</w:t>
            </w:r>
            <w:r w:rsidRPr="00131EE2">
              <w:rPr>
                <w:rFonts w:cs="Arial"/>
                <w:sz w:val="20"/>
                <w:szCs w:val="20"/>
              </w:rPr>
              <w:t xml:space="preserve"> com critérios pedagógicos, dos temas relacionados ao saneamento básico. </w:t>
            </w:r>
          </w:p>
        </w:tc>
      </w:tr>
      <w:tr w:rsidR="00646530" w:rsidRPr="00131EE2" w:rsidTr="00B94A15">
        <w:trPr>
          <w:trHeight w:val="1895"/>
          <w:jc w:val="center"/>
        </w:trPr>
        <w:tc>
          <w:tcPr>
            <w:tcW w:w="0" w:type="auto"/>
            <w:tcBorders>
              <w:top w:val="single" w:sz="4" w:space="0" w:color="auto"/>
              <w:left w:val="single" w:sz="4" w:space="0" w:color="auto"/>
              <w:bottom w:val="single" w:sz="4" w:space="0" w:color="auto"/>
              <w:right w:val="single" w:sz="4" w:space="0" w:color="auto"/>
            </w:tcBorders>
            <w:shd w:val="clear" w:color="auto" w:fill="365F91"/>
            <w:vAlign w:val="center"/>
            <w:hideMark/>
          </w:tcPr>
          <w:p w:rsidR="00646530" w:rsidRPr="00131EE2" w:rsidRDefault="00646530" w:rsidP="00B94A15">
            <w:pPr>
              <w:autoSpaceDE w:val="0"/>
              <w:autoSpaceDN w:val="0"/>
              <w:adjustRightInd w:val="0"/>
              <w:spacing w:before="60" w:after="60" w:line="240" w:lineRule="auto"/>
              <w:jc w:val="center"/>
              <w:rPr>
                <w:rFonts w:cs="Arial"/>
                <w:b/>
                <w:color w:val="0070C0"/>
                <w:sz w:val="20"/>
                <w:szCs w:val="20"/>
              </w:rPr>
            </w:pPr>
            <w:r w:rsidRPr="00131EE2">
              <w:rPr>
                <w:rFonts w:cs="Arial"/>
                <w:b/>
                <w:color w:val="FFFFFF" w:themeColor="background1"/>
                <w:sz w:val="20"/>
                <w:szCs w:val="20"/>
              </w:rPr>
              <w:lastRenderedPageBreak/>
              <w:t>Ambiente Externo</w:t>
            </w:r>
          </w:p>
        </w:tc>
        <w:tc>
          <w:tcPr>
            <w:tcW w:w="0" w:type="auto"/>
            <w:tcBorders>
              <w:top w:val="single" w:sz="4" w:space="0" w:color="auto"/>
              <w:left w:val="single" w:sz="4" w:space="0" w:color="auto"/>
              <w:bottom w:val="single" w:sz="4" w:space="0" w:color="auto"/>
              <w:right w:val="single" w:sz="4" w:space="0" w:color="auto"/>
            </w:tcBorders>
            <w:shd w:val="clear" w:color="auto" w:fill="B8CCE4" w:themeFill="accent1" w:themeFillTint="66"/>
          </w:tcPr>
          <w:p w:rsidR="00646530" w:rsidRPr="00131EE2" w:rsidRDefault="00646530" w:rsidP="00B94A15">
            <w:pPr>
              <w:autoSpaceDE w:val="0"/>
              <w:autoSpaceDN w:val="0"/>
              <w:adjustRightInd w:val="0"/>
              <w:spacing w:before="60" w:after="60" w:line="240" w:lineRule="auto"/>
              <w:jc w:val="center"/>
              <w:rPr>
                <w:rFonts w:cs="Arial"/>
                <w:b/>
                <w:sz w:val="20"/>
                <w:szCs w:val="20"/>
              </w:rPr>
            </w:pPr>
            <w:r w:rsidRPr="00131EE2">
              <w:rPr>
                <w:rFonts w:cs="Arial"/>
                <w:b/>
                <w:sz w:val="20"/>
                <w:szCs w:val="20"/>
              </w:rPr>
              <w:t>OPORTUNIDADES</w:t>
            </w:r>
          </w:p>
          <w:p w:rsidR="00646530" w:rsidRPr="00131EE2" w:rsidRDefault="00646530" w:rsidP="00B94A15">
            <w:pPr>
              <w:autoSpaceDE w:val="0"/>
              <w:autoSpaceDN w:val="0"/>
              <w:adjustRightInd w:val="0"/>
              <w:spacing w:before="60" w:after="60" w:line="240" w:lineRule="auto"/>
              <w:rPr>
                <w:rFonts w:cs="Arial"/>
                <w:b/>
                <w:sz w:val="20"/>
                <w:szCs w:val="20"/>
              </w:rPr>
            </w:pPr>
            <w:r w:rsidRPr="00131EE2">
              <w:rPr>
                <w:rFonts w:cs="Arial"/>
                <w:b/>
                <w:sz w:val="20"/>
                <w:szCs w:val="20"/>
              </w:rPr>
              <w:t>1. Perfil Institucional</w:t>
            </w:r>
          </w:p>
          <w:p w:rsidR="00646530" w:rsidRPr="00131EE2" w:rsidRDefault="00646530" w:rsidP="00B94A15">
            <w:pPr>
              <w:autoSpaceDE w:val="0"/>
              <w:autoSpaceDN w:val="0"/>
              <w:adjustRightInd w:val="0"/>
              <w:spacing w:before="60" w:after="60" w:line="240" w:lineRule="auto"/>
              <w:rPr>
                <w:rFonts w:cs="Arial"/>
                <w:sz w:val="20"/>
                <w:szCs w:val="20"/>
              </w:rPr>
            </w:pPr>
            <w:r w:rsidRPr="00131EE2">
              <w:rPr>
                <w:rFonts w:cs="Arial"/>
                <w:sz w:val="20"/>
                <w:szCs w:val="20"/>
              </w:rPr>
              <w:t>- Legislação federal dispõe sobre necessidade de adequação do perfil institucional da gestão dos serviços de saneamento básico.</w:t>
            </w:r>
          </w:p>
          <w:p w:rsidR="00646530" w:rsidRPr="00131EE2" w:rsidRDefault="00646530" w:rsidP="00B94A15">
            <w:pPr>
              <w:autoSpaceDE w:val="0"/>
              <w:autoSpaceDN w:val="0"/>
              <w:adjustRightInd w:val="0"/>
              <w:spacing w:before="60" w:after="60" w:line="240" w:lineRule="auto"/>
              <w:rPr>
                <w:rFonts w:cs="Arial"/>
                <w:b/>
                <w:sz w:val="20"/>
                <w:szCs w:val="20"/>
              </w:rPr>
            </w:pPr>
            <w:r w:rsidRPr="00131EE2">
              <w:rPr>
                <w:rFonts w:cs="Arial"/>
                <w:b/>
                <w:sz w:val="20"/>
                <w:szCs w:val="20"/>
              </w:rPr>
              <w:t>3. Sustentabilidade econômica</w:t>
            </w:r>
          </w:p>
          <w:p w:rsidR="00646530" w:rsidRPr="00131EE2" w:rsidRDefault="00646530" w:rsidP="00B94A15">
            <w:pPr>
              <w:autoSpaceDE w:val="0"/>
              <w:autoSpaceDN w:val="0"/>
              <w:adjustRightInd w:val="0"/>
              <w:spacing w:before="60" w:after="60" w:line="240" w:lineRule="auto"/>
              <w:rPr>
                <w:rFonts w:cs="Arial"/>
                <w:sz w:val="20"/>
                <w:szCs w:val="20"/>
              </w:rPr>
            </w:pPr>
            <w:r w:rsidRPr="00131EE2">
              <w:rPr>
                <w:rFonts w:cs="Arial"/>
                <w:sz w:val="20"/>
                <w:szCs w:val="20"/>
              </w:rPr>
              <w:t>- Existe a possibilidade de investimentos no setor por parte da Samarco S.A., responsável pelo desastre da barragem do Fundão.</w:t>
            </w:r>
          </w:p>
        </w:tc>
        <w:tc>
          <w:tcPr>
            <w:tcW w:w="0" w:type="auto"/>
            <w:vMerge/>
            <w:tcBorders>
              <w:left w:val="single" w:sz="4" w:space="0" w:color="auto"/>
              <w:right w:val="single" w:sz="4" w:space="0" w:color="auto"/>
            </w:tcBorders>
            <w:shd w:val="clear" w:color="auto" w:fill="B8CCE4" w:themeFill="accent1" w:themeFillTint="66"/>
            <w:vAlign w:val="center"/>
          </w:tcPr>
          <w:p w:rsidR="00646530" w:rsidRPr="00131EE2" w:rsidRDefault="00646530" w:rsidP="00B94A15">
            <w:pPr>
              <w:autoSpaceDE w:val="0"/>
              <w:autoSpaceDN w:val="0"/>
              <w:adjustRightInd w:val="0"/>
              <w:spacing w:before="60" w:after="60" w:line="240" w:lineRule="auto"/>
              <w:rPr>
                <w:rFonts w:cs="Arial"/>
                <w:b/>
                <w:sz w:val="20"/>
                <w:szCs w:val="20"/>
                <w:highlight w:val="yellow"/>
              </w:rPr>
            </w:pPr>
          </w:p>
        </w:tc>
        <w:tc>
          <w:tcPr>
            <w:tcW w:w="0" w:type="auto"/>
            <w:tcBorders>
              <w:top w:val="single" w:sz="4" w:space="0" w:color="auto"/>
              <w:left w:val="single" w:sz="4" w:space="0" w:color="auto"/>
              <w:bottom w:val="single" w:sz="4" w:space="0" w:color="auto"/>
              <w:right w:val="single" w:sz="4" w:space="0" w:color="auto"/>
            </w:tcBorders>
            <w:shd w:val="clear" w:color="auto" w:fill="B8CCE4" w:themeFill="accent1" w:themeFillTint="66"/>
          </w:tcPr>
          <w:p w:rsidR="00646530" w:rsidRPr="00131EE2" w:rsidRDefault="00646530" w:rsidP="00B94A15">
            <w:pPr>
              <w:autoSpaceDE w:val="0"/>
              <w:autoSpaceDN w:val="0"/>
              <w:adjustRightInd w:val="0"/>
              <w:spacing w:before="60" w:after="60" w:line="240" w:lineRule="auto"/>
              <w:jc w:val="center"/>
              <w:rPr>
                <w:rFonts w:cs="Arial"/>
                <w:b/>
                <w:sz w:val="20"/>
                <w:szCs w:val="20"/>
              </w:rPr>
            </w:pPr>
            <w:r w:rsidRPr="00131EE2">
              <w:rPr>
                <w:rFonts w:cs="Arial"/>
                <w:b/>
                <w:sz w:val="20"/>
                <w:szCs w:val="20"/>
              </w:rPr>
              <w:t>AMEAÇAS</w:t>
            </w:r>
          </w:p>
          <w:p w:rsidR="00646530" w:rsidRPr="00131EE2" w:rsidRDefault="00646530" w:rsidP="00A87269">
            <w:pPr>
              <w:pStyle w:val="PargrafodaLista"/>
              <w:numPr>
                <w:ilvl w:val="0"/>
                <w:numId w:val="49"/>
              </w:numPr>
              <w:autoSpaceDE w:val="0"/>
              <w:autoSpaceDN w:val="0"/>
              <w:adjustRightInd w:val="0"/>
              <w:spacing w:before="60" w:after="60" w:line="240" w:lineRule="auto"/>
              <w:ind w:left="176" w:hanging="176"/>
              <w:rPr>
                <w:b/>
                <w:sz w:val="20"/>
              </w:rPr>
            </w:pPr>
            <w:r w:rsidRPr="00131EE2">
              <w:rPr>
                <w:b/>
                <w:sz w:val="20"/>
              </w:rPr>
              <w:t>Perfil institucional</w:t>
            </w:r>
          </w:p>
          <w:p w:rsidR="00646530" w:rsidRPr="00131EE2" w:rsidRDefault="00646530" w:rsidP="00B94A15">
            <w:pPr>
              <w:autoSpaceDE w:val="0"/>
              <w:autoSpaceDN w:val="0"/>
              <w:adjustRightInd w:val="0"/>
              <w:spacing w:before="60" w:after="60" w:line="240" w:lineRule="auto"/>
              <w:rPr>
                <w:rFonts w:cs="Arial"/>
                <w:sz w:val="20"/>
                <w:szCs w:val="20"/>
              </w:rPr>
            </w:pPr>
            <w:r w:rsidRPr="00131EE2">
              <w:rPr>
                <w:rFonts w:cs="Arial"/>
                <w:sz w:val="20"/>
                <w:szCs w:val="20"/>
              </w:rPr>
              <w:t xml:space="preserve">- Falta de articulação entre as políticas setoriais do município. </w:t>
            </w:r>
          </w:p>
          <w:p w:rsidR="00646530" w:rsidRPr="00131EE2" w:rsidRDefault="00646530" w:rsidP="00B94A15">
            <w:pPr>
              <w:autoSpaceDE w:val="0"/>
              <w:autoSpaceDN w:val="0"/>
              <w:adjustRightInd w:val="0"/>
              <w:spacing w:before="60" w:after="60" w:line="240" w:lineRule="auto"/>
              <w:jc w:val="left"/>
              <w:rPr>
                <w:rFonts w:cs="Arial"/>
                <w:b/>
                <w:sz w:val="20"/>
                <w:szCs w:val="20"/>
              </w:rPr>
            </w:pPr>
            <w:r>
              <w:rPr>
                <w:rFonts w:cs="Arial"/>
                <w:b/>
                <w:sz w:val="20"/>
                <w:szCs w:val="20"/>
              </w:rPr>
              <w:t>3</w:t>
            </w:r>
            <w:r w:rsidRPr="00131EE2">
              <w:rPr>
                <w:rFonts w:cs="Arial"/>
                <w:b/>
                <w:sz w:val="20"/>
                <w:szCs w:val="20"/>
              </w:rPr>
              <w:t>. Sustentabilidade econômica</w:t>
            </w:r>
          </w:p>
          <w:p w:rsidR="00646530" w:rsidRPr="00131EE2" w:rsidRDefault="00646530" w:rsidP="00B94A15">
            <w:pPr>
              <w:autoSpaceDE w:val="0"/>
              <w:autoSpaceDN w:val="0"/>
              <w:adjustRightInd w:val="0"/>
              <w:spacing w:before="60" w:after="60" w:line="240" w:lineRule="auto"/>
              <w:jc w:val="left"/>
              <w:rPr>
                <w:rFonts w:cs="Arial"/>
                <w:sz w:val="20"/>
                <w:szCs w:val="20"/>
              </w:rPr>
            </w:pPr>
            <w:r w:rsidRPr="00131EE2">
              <w:rPr>
                <w:rFonts w:cs="Arial"/>
                <w:sz w:val="20"/>
                <w:szCs w:val="20"/>
              </w:rPr>
              <w:t>- Forte dependência do município dos subsídios do Estado e da União para desempenhar seu papel administrativo.</w:t>
            </w:r>
          </w:p>
          <w:p w:rsidR="00646530" w:rsidRPr="00131EE2" w:rsidRDefault="00646530" w:rsidP="00B94A15">
            <w:pPr>
              <w:autoSpaceDE w:val="0"/>
              <w:autoSpaceDN w:val="0"/>
              <w:adjustRightInd w:val="0"/>
              <w:spacing w:before="60" w:after="60" w:line="240" w:lineRule="auto"/>
              <w:jc w:val="left"/>
              <w:rPr>
                <w:rFonts w:cs="Arial"/>
                <w:sz w:val="20"/>
                <w:szCs w:val="20"/>
              </w:rPr>
            </w:pPr>
            <w:r w:rsidRPr="00131EE2">
              <w:rPr>
                <w:rFonts w:cs="Arial"/>
                <w:sz w:val="20"/>
                <w:szCs w:val="20"/>
              </w:rPr>
              <w:t>- Resistência da população em relação à introdução de cobranças sobre a prestação dos serviços de saneamento.</w:t>
            </w:r>
          </w:p>
        </w:tc>
      </w:tr>
    </w:tbl>
    <w:p w:rsidR="00646530" w:rsidRDefault="00646530" w:rsidP="00646530">
      <w:pPr>
        <w:pStyle w:val="Fonte"/>
        <w:rPr>
          <w:rFonts w:cs="Arial"/>
          <w:color w:val="0070C0"/>
          <w:szCs w:val="24"/>
        </w:rPr>
      </w:pPr>
      <w:r w:rsidRPr="00F23897">
        <w:t>Fonte: adaptado por SHS, 2017.</w:t>
      </w:r>
    </w:p>
    <w:p w:rsidR="00646530" w:rsidRDefault="00646530" w:rsidP="00646530">
      <w:pPr>
        <w:spacing w:before="120" w:after="120"/>
        <w:ind w:firstLine="708"/>
        <w:contextualSpacing/>
        <w:rPr>
          <w:rFonts w:cs="Arial"/>
          <w:color w:val="0070C0"/>
          <w:szCs w:val="24"/>
          <w:lang w:eastAsia="pt-BR"/>
        </w:rPr>
        <w:sectPr w:rsidR="00646530" w:rsidSect="00B94A15">
          <w:footerReference w:type="default" r:id="rId59"/>
          <w:pgSz w:w="16838" w:h="11906" w:orient="landscape"/>
          <w:pgMar w:top="1418" w:right="1134" w:bottom="1134" w:left="1134" w:header="709" w:footer="709" w:gutter="0"/>
          <w:cols w:space="708"/>
          <w:docGrid w:linePitch="360"/>
        </w:sectPr>
      </w:pPr>
    </w:p>
    <w:p w:rsidR="00646530" w:rsidRDefault="00646530" w:rsidP="00646530">
      <w:pPr>
        <w:spacing w:before="120" w:after="120"/>
        <w:ind w:firstLine="708"/>
        <w:contextualSpacing/>
        <w:rPr>
          <w:rFonts w:cs="Arial"/>
          <w:szCs w:val="24"/>
          <w:lang w:eastAsia="pt-BR"/>
        </w:rPr>
      </w:pPr>
      <w:bookmarkStart w:id="672" w:name="_Ref484091151"/>
      <w:bookmarkStart w:id="673" w:name="_Toc398040312"/>
      <w:bookmarkStart w:id="674" w:name="_Toc378691288"/>
      <w:bookmarkStart w:id="675" w:name="_Toc375230156"/>
      <w:bookmarkStart w:id="676" w:name="_Toc375213721"/>
      <w:bookmarkStart w:id="677" w:name="_Toc442196444"/>
      <w:r w:rsidRPr="00DD1335">
        <w:rPr>
          <w:rFonts w:cs="Arial"/>
          <w:szCs w:val="24"/>
          <w:lang w:eastAsia="pt-BR"/>
        </w:rPr>
        <w:lastRenderedPageBreak/>
        <w:t xml:space="preserve">A partir da avaliação dos aspectos apresentados na Matriz SWOT, pode-se traçar imagens alternativas do futuro, considerando o horizonte de planejamento de vinte anos. Desta forma, foram construídos cenários para o sistema de saneamento básico de </w:t>
      </w:r>
      <w:r>
        <w:rPr>
          <w:rFonts w:cs="Arial"/>
          <w:szCs w:val="24"/>
          <w:lang w:eastAsia="pt-BR"/>
        </w:rPr>
        <w:t>Córrego Novo</w:t>
      </w:r>
      <w:r w:rsidRPr="00DD1335">
        <w:rPr>
          <w:rFonts w:cs="Arial"/>
          <w:szCs w:val="24"/>
          <w:lang w:eastAsia="pt-BR"/>
        </w:rPr>
        <w:t>, a saber, um cenário previsível e um cenário normativo. Entende-se por cenário previsível aquele que mostra uma evolução pouco expressiva das adequações do setor, conforme tem ocorrido historicamente. O cenário normativo, por sua vez, descreve uma organização setorial mais adequada às normas vigentes, de acordo com as propostas do PMSB. Os cenários assim configurados estão apresentados no</w:t>
      </w:r>
      <w:r>
        <w:rPr>
          <w:rFonts w:cs="Arial"/>
          <w:szCs w:val="24"/>
          <w:lang w:eastAsia="pt-BR"/>
        </w:rPr>
        <w:t xml:space="preserve"> </w:t>
      </w:r>
      <w:r>
        <w:rPr>
          <w:rFonts w:cs="Arial"/>
          <w:szCs w:val="24"/>
          <w:lang w:eastAsia="pt-BR"/>
        </w:rPr>
        <w:fldChar w:fldCharType="begin"/>
      </w:r>
      <w:r>
        <w:rPr>
          <w:rFonts w:cs="Arial"/>
          <w:szCs w:val="24"/>
          <w:lang w:eastAsia="pt-BR"/>
        </w:rPr>
        <w:instrText xml:space="preserve"> REF _Ref484420524 \h </w:instrText>
      </w:r>
      <w:r>
        <w:rPr>
          <w:rFonts w:cs="Arial"/>
          <w:szCs w:val="24"/>
          <w:lang w:eastAsia="pt-BR"/>
        </w:rPr>
      </w:r>
      <w:r>
        <w:rPr>
          <w:rFonts w:cs="Arial"/>
          <w:szCs w:val="24"/>
          <w:lang w:eastAsia="pt-BR"/>
        </w:rPr>
        <w:fldChar w:fldCharType="separate"/>
      </w:r>
      <w:r w:rsidR="004D1D76" w:rsidRPr="00C4340E">
        <w:t xml:space="preserve">Quadro </w:t>
      </w:r>
      <w:r w:rsidR="004D1D76">
        <w:rPr>
          <w:noProof/>
        </w:rPr>
        <w:t>73</w:t>
      </w:r>
      <w:r>
        <w:rPr>
          <w:rFonts w:cs="Arial"/>
          <w:szCs w:val="24"/>
          <w:lang w:eastAsia="pt-BR"/>
        </w:rPr>
        <w:fldChar w:fldCharType="end"/>
      </w:r>
      <w:r>
        <w:rPr>
          <w:rFonts w:cs="Arial"/>
          <w:szCs w:val="24"/>
          <w:lang w:eastAsia="pt-BR"/>
        </w:rPr>
        <w:t>.</w:t>
      </w:r>
    </w:p>
    <w:p w:rsidR="00646530" w:rsidRDefault="00646530" w:rsidP="00646530">
      <w:pPr>
        <w:pStyle w:val="Legenda"/>
        <w:rPr>
          <w:lang w:val="pt-BR"/>
        </w:rPr>
      </w:pPr>
      <w:bookmarkStart w:id="678" w:name="_Ref484420524"/>
      <w:bookmarkStart w:id="679" w:name="_Toc484423914"/>
      <w:bookmarkStart w:id="680" w:name="_Toc484532476"/>
      <w:bookmarkStart w:id="681" w:name="_Toc497469194"/>
      <w:r w:rsidRPr="00C4340E">
        <w:t xml:space="preserve">Quadro </w:t>
      </w:r>
      <w:r w:rsidR="00D71C43">
        <w:fldChar w:fldCharType="begin"/>
      </w:r>
      <w:r w:rsidR="00D71C43">
        <w:instrText xml:space="preserve"> SEQ Quadro \* ARABIC </w:instrText>
      </w:r>
      <w:r w:rsidR="00D71C43">
        <w:fldChar w:fldCharType="separate"/>
      </w:r>
      <w:r w:rsidR="004D1D76">
        <w:rPr>
          <w:noProof/>
        </w:rPr>
        <w:t>73</w:t>
      </w:r>
      <w:r w:rsidR="00D71C43">
        <w:rPr>
          <w:noProof/>
        </w:rPr>
        <w:fldChar w:fldCharType="end"/>
      </w:r>
      <w:bookmarkEnd w:id="672"/>
      <w:bookmarkEnd w:id="678"/>
      <w:r w:rsidRPr="00C4340E">
        <w:t xml:space="preserve"> - </w:t>
      </w:r>
      <w:bookmarkEnd w:id="673"/>
      <w:bookmarkEnd w:id="674"/>
      <w:bookmarkEnd w:id="675"/>
      <w:bookmarkEnd w:id="676"/>
      <w:bookmarkEnd w:id="677"/>
      <w:r w:rsidRPr="006E1C7F">
        <w:t xml:space="preserve">Descrição dos cenários previsível e normativo para o </w:t>
      </w:r>
      <w:r>
        <w:rPr>
          <w:lang w:val="pt-BR"/>
        </w:rPr>
        <w:t xml:space="preserve">Sistema de Saneamento Básico Municipal de </w:t>
      </w:r>
      <w:bookmarkEnd w:id="679"/>
      <w:r>
        <w:rPr>
          <w:lang w:eastAsia="pt-BR"/>
        </w:rPr>
        <w:t>Córrego Novo</w:t>
      </w:r>
      <w:bookmarkEnd w:id="680"/>
      <w:bookmarkEnd w:id="6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41"/>
        <w:gridCol w:w="4629"/>
      </w:tblGrid>
      <w:tr w:rsidR="00646530" w:rsidRPr="003F1EDB" w:rsidTr="00B94A15">
        <w:trPr>
          <w:trHeight w:val="51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4F81BD"/>
            <w:hideMark/>
          </w:tcPr>
          <w:p w:rsidR="00646530" w:rsidRPr="003F1EDB" w:rsidRDefault="00646530" w:rsidP="00B94A15">
            <w:pPr>
              <w:autoSpaceDE w:val="0"/>
              <w:autoSpaceDN w:val="0"/>
              <w:adjustRightInd w:val="0"/>
              <w:spacing w:line="240" w:lineRule="auto"/>
              <w:jc w:val="center"/>
              <w:rPr>
                <w:rFonts w:cs="Arial"/>
                <w:b/>
                <w:bCs/>
                <w:color w:val="FFFFFF" w:themeColor="background1"/>
                <w:sz w:val="20"/>
                <w:szCs w:val="20"/>
              </w:rPr>
            </w:pPr>
            <w:r w:rsidRPr="003F1EDB">
              <w:rPr>
                <w:rFonts w:cs="Arial"/>
                <w:b/>
                <w:bCs/>
                <w:color w:val="FFFFFF" w:themeColor="background1"/>
                <w:sz w:val="20"/>
                <w:szCs w:val="20"/>
              </w:rPr>
              <w:t>Cenário Previsível</w:t>
            </w:r>
          </w:p>
        </w:tc>
        <w:tc>
          <w:tcPr>
            <w:tcW w:w="0" w:type="auto"/>
            <w:tcBorders>
              <w:top w:val="single" w:sz="4" w:space="0" w:color="auto"/>
              <w:left w:val="single" w:sz="4" w:space="0" w:color="auto"/>
              <w:bottom w:val="single" w:sz="4" w:space="0" w:color="auto"/>
              <w:right w:val="single" w:sz="4" w:space="0" w:color="auto"/>
            </w:tcBorders>
            <w:shd w:val="clear" w:color="auto" w:fill="4F81BD"/>
            <w:hideMark/>
          </w:tcPr>
          <w:p w:rsidR="00646530" w:rsidRPr="003F1EDB" w:rsidRDefault="00646530" w:rsidP="00B94A15">
            <w:pPr>
              <w:autoSpaceDE w:val="0"/>
              <w:autoSpaceDN w:val="0"/>
              <w:adjustRightInd w:val="0"/>
              <w:spacing w:line="240" w:lineRule="auto"/>
              <w:jc w:val="center"/>
              <w:rPr>
                <w:rFonts w:cs="Arial"/>
                <w:b/>
                <w:bCs/>
                <w:color w:val="FFFFFF" w:themeColor="background1"/>
                <w:sz w:val="20"/>
                <w:szCs w:val="20"/>
              </w:rPr>
            </w:pPr>
            <w:r w:rsidRPr="003F1EDB">
              <w:rPr>
                <w:rFonts w:cs="Arial"/>
                <w:b/>
                <w:bCs/>
                <w:color w:val="FFFFFF" w:themeColor="background1"/>
                <w:sz w:val="20"/>
                <w:szCs w:val="20"/>
              </w:rPr>
              <w:t>Cenário Normativo</w:t>
            </w:r>
          </w:p>
        </w:tc>
      </w:tr>
      <w:tr w:rsidR="00646530" w:rsidRPr="003F1EDB" w:rsidTr="00B94A15">
        <w:trPr>
          <w:trHeight w:val="510"/>
          <w:jc w:val="center"/>
        </w:trPr>
        <w:tc>
          <w:tcPr>
            <w:tcW w:w="0" w:type="auto"/>
            <w:tcBorders>
              <w:top w:val="single" w:sz="8" w:space="0" w:color="4F81BD"/>
              <w:left w:val="single" w:sz="8" w:space="0" w:color="4F81BD"/>
              <w:bottom w:val="single" w:sz="8" w:space="0" w:color="4F81BD"/>
              <w:right w:val="single" w:sz="4" w:space="0" w:color="auto"/>
            </w:tcBorders>
          </w:tcPr>
          <w:p w:rsidR="00646530" w:rsidRPr="003F1EDB" w:rsidRDefault="00646530" w:rsidP="00B94A15">
            <w:pPr>
              <w:autoSpaceDE w:val="0"/>
              <w:autoSpaceDN w:val="0"/>
              <w:adjustRightInd w:val="0"/>
              <w:spacing w:line="240" w:lineRule="auto"/>
              <w:jc w:val="center"/>
              <w:rPr>
                <w:rFonts w:cs="Arial"/>
                <w:b/>
                <w:bCs/>
                <w:sz w:val="20"/>
                <w:szCs w:val="20"/>
              </w:rPr>
            </w:pPr>
            <w:r w:rsidRPr="003F1EDB">
              <w:rPr>
                <w:rFonts w:cs="Arial"/>
                <w:b/>
                <w:bCs/>
                <w:sz w:val="20"/>
                <w:szCs w:val="20"/>
              </w:rPr>
              <w:t>Perfil institucional</w:t>
            </w:r>
          </w:p>
          <w:p w:rsidR="00646530" w:rsidRPr="003F1EDB" w:rsidRDefault="00646530" w:rsidP="00B94A15">
            <w:pPr>
              <w:autoSpaceDE w:val="0"/>
              <w:autoSpaceDN w:val="0"/>
              <w:adjustRightInd w:val="0"/>
              <w:spacing w:line="240" w:lineRule="auto"/>
              <w:rPr>
                <w:rFonts w:cs="Arial"/>
                <w:b/>
                <w:bCs/>
                <w:sz w:val="20"/>
                <w:szCs w:val="20"/>
              </w:rPr>
            </w:pPr>
            <w:r w:rsidRPr="003F1EDB">
              <w:rPr>
                <w:rFonts w:cs="Arial"/>
                <w:bCs/>
                <w:sz w:val="20"/>
                <w:szCs w:val="20"/>
              </w:rPr>
              <w:t>Os serviços de saneamento básico são prestados por Secretarias Municipais diferentes, estando bem organizados em termos de definição de atribuições, competências e responsabilidades de caráter operacional dentro de cada uma delas, não apresentando, porém, atribuições claras em termos gerenciais e nem canais de articulação entre si.</w:t>
            </w:r>
          </w:p>
        </w:tc>
        <w:tc>
          <w:tcPr>
            <w:tcW w:w="0" w:type="auto"/>
            <w:tcBorders>
              <w:top w:val="single" w:sz="8" w:space="0" w:color="4F81BD"/>
              <w:left w:val="single" w:sz="4" w:space="0" w:color="auto"/>
              <w:bottom w:val="single" w:sz="8" w:space="0" w:color="4F81BD"/>
              <w:right w:val="single" w:sz="8" w:space="0" w:color="4F81BD"/>
            </w:tcBorders>
          </w:tcPr>
          <w:p w:rsidR="00646530" w:rsidRPr="003F1EDB" w:rsidRDefault="00646530" w:rsidP="00B94A15">
            <w:pPr>
              <w:autoSpaceDE w:val="0"/>
              <w:autoSpaceDN w:val="0"/>
              <w:adjustRightInd w:val="0"/>
              <w:spacing w:line="240" w:lineRule="auto"/>
              <w:jc w:val="center"/>
              <w:rPr>
                <w:rFonts w:cs="Arial"/>
                <w:b/>
                <w:bCs/>
                <w:sz w:val="20"/>
                <w:szCs w:val="20"/>
              </w:rPr>
            </w:pPr>
            <w:r w:rsidRPr="003F1EDB">
              <w:rPr>
                <w:rFonts w:cs="Arial"/>
                <w:b/>
                <w:bCs/>
                <w:sz w:val="20"/>
                <w:szCs w:val="20"/>
              </w:rPr>
              <w:t>Perfil institucional</w:t>
            </w:r>
          </w:p>
          <w:p w:rsidR="00646530" w:rsidRPr="003F1EDB" w:rsidRDefault="00646530" w:rsidP="00B94A15">
            <w:pPr>
              <w:autoSpaceDE w:val="0"/>
              <w:autoSpaceDN w:val="0"/>
              <w:adjustRightInd w:val="0"/>
              <w:spacing w:line="240" w:lineRule="auto"/>
              <w:rPr>
                <w:rFonts w:cs="Arial"/>
                <w:b/>
                <w:sz w:val="20"/>
                <w:szCs w:val="20"/>
              </w:rPr>
            </w:pPr>
            <w:r w:rsidRPr="003F1EDB">
              <w:rPr>
                <w:rFonts w:cs="Arial"/>
                <w:sz w:val="20"/>
                <w:szCs w:val="20"/>
              </w:rPr>
              <w:t>O município possui um órgão capaz de monitorar o desenvolvimento dos quatro eixos do saneamento básico, mesmo que os serviços sejam prestados por Secretarias ou departamentos diversos na Prefeitura, por autarquias ou concessionárias.</w:t>
            </w:r>
          </w:p>
          <w:p w:rsidR="00646530" w:rsidRPr="003F1EDB" w:rsidRDefault="00646530" w:rsidP="00B94A15">
            <w:pPr>
              <w:pStyle w:val="PargrafodaLista"/>
              <w:autoSpaceDE w:val="0"/>
              <w:autoSpaceDN w:val="0"/>
              <w:adjustRightInd w:val="0"/>
              <w:spacing w:line="240" w:lineRule="auto"/>
              <w:ind w:left="171"/>
              <w:rPr>
                <w:sz w:val="20"/>
              </w:rPr>
            </w:pPr>
          </w:p>
        </w:tc>
      </w:tr>
      <w:tr w:rsidR="00646530" w:rsidRPr="003F1EDB" w:rsidTr="00B94A15">
        <w:trPr>
          <w:trHeight w:val="510"/>
          <w:jc w:val="center"/>
        </w:trPr>
        <w:tc>
          <w:tcPr>
            <w:tcW w:w="0" w:type="auto"/>
            <w:tcBorders>
              <w:top w:val="single" w:sz="4" w:space="0" w:color="auto"/>
              <w:left w:val="single" w:sz="4" w:space="0" w:color="auto"/>
              <w:bottom w:val="single" w:sz="4" w:space="0" w:color="auto"/>
              <w:right w:val="single" w:sz="4" w:space="0" w:color="auto"/>
            </w:tcBorders>
          </w:tcPr>
          <w:p w:rsidR="00646530" w:rsidRPr="003F1EDB" w:rsidRDefault="00646530" w:rsidP="00B94A15">
            <w:pPr>
              <w:autoSpaceDE w:val="0"/>
              <w:autoSpaceDN w:val="0"/>
              <w:adjustRightInd w:val="0"/>
              <w:spacing w:line="240" w:lineRule="auto"/>
              <w:jc w:val="center"/>
              <w:rPr>
                <w:rFonts w:cs="Arial"/>
                <w:b/>
                <w:bCs/>
                <w:sz w:val="20"/>
                <w:szCs w:val="20"/>
              </w:rPr>
            </w:pPr>
            <w:r w:rsidRPr="003F1EDB">
              <w:rPr>
                <w:rFonts w:cs="Arial"/>
                <w:b/>
                <w:bCs/>
                <w:sz w:val="20"/>
                <w:szCs w:val="20"/>
              </w:rPr>
              <w:t>Atendimento da demanda</w:t>
            </w:r>
          </w:p>
          <w:p w:rsidR="00646530" w:rsidRPr="003F1EDB" w:rsidRDefault="00646530" w:rsidP="00B94A15">
            <w:pPr>
              <w:autoSpaceDE w:val="0"/>
              <w:autoSpaceDN w:val="0"/>
              <w:adjustRightInd w:val="0"/>
              <w:spacing w:line="240" w:lineRule="auto"/>
              <w:rPr>
                <w:rFonts w:cs="Arial"/>
                <w:b/>
                <w:bCs/>
                <w:sz w:val="20"/>
                <w:szCs w:val="20"/>
              </w:rPr>
            </w:pPr>
            <w:r w:rsidRPr="003F1EDB">
              <w:rPr>
                <w:rFonts w:cs="Arial"/>
                <w:bCs/>
                <w:sz w:val="20"/>
                <w:szCs w:val="20"/>
              </w:rPr>
              <w:t xml:space="preserve">Os serviços de saneamento básico ainda não conseguem atender plenamente </w:t>
            </w:r>
            <w:r>
              <w:rPr>
                <w:rFonts w:cs="Arial"/>
                <w:bCs/>
                <w:sz w:val="20"/>
                <w:szCs w:val="20"/>
              </w:rPr>
              <w:t>à</w:t>
            </w:r>
            <w:r w:rsidRPr="003F1EDB">
              <w:rPr>
                <w:rFonts w:cs="Arial"/>
                <w:bCs/>
                <w:sz w:val="20"/>
                <w:szCs w:val="20"/>
              </w:rPr>
              <w:t xml:space="preserve"> demanda municipal e continuam priorizando o atendimento das áreas urbanizadas em detrimento das áreas rurais do município. </w:t>
            </w:r>
          </w:p>
        </w:tc>
        <w:tc>
          <w:tcPr>
            <w:tcW w:w="0" w:type="auto"/>
            <w:tcBorders>
              <w:top w:val="single" w:sz="4" w:space="0" w:color="auto"/>
              <w:left w:val="single" w:sz="4" w:space="0" w:color="auto"/>
              <w:bottom w:val="single" w:sz="4" w:space="0" w:color="auto"/>
              <w:right w:val="single" w:sz="4" w:space="0" w:color="auto"/>
            </w:tcBorders>
          </w:tcPr>
          <w:p w:rsidR="00646530" w:rsidRPr="003F1EDB" w:rsidRDefault="00646530" w:rsidP="00B94A15">
            <w:pPr>
              <w:autoSpaceDE w:val="0"/>
              <w:autoSpaceDN w:val="0"/>
              <w:adjustRightInd w:val="0"/>
              <w:spacing w:line="240" w:lineRule="auto"/>
              <w:jc w:val="center"/>
              <w:rPr>
                <w:rFonts w:cs="Arial"/>
                <w:b/>
                <w:bCs/>
                <w:sz w:val="20"/>
                <w:szCs w:val="20"/>
              </w:rPr>
            </w:pPr>
            <w:r w:rsidRPr="003F1EDB">
              <w:rPr>
                <w:rFonts w:cs="Arial"/>
                <w:b/>
                <w:bCs/>
                <w:sz w:val="20"/>
                <w:szCs w:val="20"/>
              </w:rPr>
              <w:t>Atendimento da demanda</w:t>
            </w:r>
          </w:p>
          <w:p w:rsidR="00646530" w:rsidRPr="003F1EDB" w:rsidRDefault="00646530" w:rsidP="00B94A15">
            <w:pPr>
              <w:autoSpaceDE w:val="0"/>
              <w:autoSpaceDN w:val="0"/>
              <w:adjustRightInd w:val="0"/>
              <w:spacing w:line="240" w:lineRule="auto"/>
              <w:rPr>
                <w:rFonts w:cs="Arial"/>
                <w:sz w:val="20"/>
                <w:szCs w:val="20"/>
              </w:rPr>
            </w:pPr>
            <w:r w:rsidRPr="003F1EDB">
              <w:rPr>
                <w:rFonts w:cs="Arial"/>
                <w:sz w:val="20"/>
                <w:szCs w:val="20"/>
              </w:rPr>
              <w:t xml:space="preserve">Serviços de saneamento básico acompanham a demanda urbana por serviços de saneamento e realiza o monitoramento da qualidade da água, dos lançamentos de esgotos, das áreas sujeitas a inundações e deslizamentos e do manejo de resíduos sólidos na área rural, deslocando equipes para ações corretivas quando necessário. </w:t>
            </w:r>
          </w:p>
        </w:tc>
      </w:tr>
      <w:tr w:rsidR="00646530" w:rsidRPr="003F1EDB" w:rsidTr="00B94A15">
        <w:trPr>
          <w:trHeight w:val="510"/>
          <w:jc w:val="center"/>
        </w:trPr>
        <w:tc>
          <w:tcPr>
            <w:tcW w:w="0" w:type="auto"/>
            <w:tcBorders>
              <w:top w:val="single" w:sz="8" w:space="0" w:color="4F81BD"/>
              <w:left w:val="single" w:sz="8" w:space="0" w:color="4F81BD"/>
              <w:bottom w:val="single" w:sz="8" w:space="0" w:color="4F81BD"/>
              <w:right w:val="single" w:sz="4" w:space="0" w:color="auto"/>
            </w:tcBorders>
            <w:hideMark/>
          </w:tcPr>
          <w:p w:rsidR="00646530" w:rsidRPr="003F1EDB" w:rsidRDefault="00646530" w:rsidP="00B94A15">
            <w:pPr>
              <w:autoSpaceDE w:val="0"/>
              <w:autoSpaceDN w:val="0"/>
              <w:adjustRightInd w:val="0"/>
              <w:spacing w:line="240" w:lineRule="auto"/>
              <w:jc w:val="center"/>
              <w:rPr>
                <w:rFonts w:cs="Arial"/>
                <w:b/>
                <w:bCs/>
                <w:sz w:val="20"/>
                <w:szCs w:val="20"/>
              </w:rPr>
            </w:pPr>
            <w:r w:rsidRPr="003F1EDB">
              <w:rPr>
                <w:rFonts w:cs="Arial"/>
                <w:b/>
                <w:bCs/>
                <w:sz w:val="20"/>
                <w:szCs w:val="20"/>
              </w:rPr>
              <w:t>Gestão integrada</w:t>
            </w:r>
          </w:p>
          <w:p w:rsidR="00646530" w:rsidRPr="003F1EDB" w:rsidRDefault="00646530" w:rsidP="00B94A15">
            <w:pPr>
              <w:autoSpaceDE w:val="0"/>
              <w:autoSpaceDN w:val="0"/>
              <w:adjustRightInd w:val="0"/>
              <w:spacing w:line="240" w:lineRule="auto"/>
              <w:rPr>
                <w:bCs/>
                <w:sz w:val="20"/>
              </w:rPr>
            </w:pPr>
            <w:r w:rsidRPr="003F1EDB">
              <w:rPr>
                <w:bCs/>
                <w:sz w:val="20"/>
              </w:rPr>
              <w:t>Os serviços dos quatro setores estão sendo bem administrados em termos de rotinas operacionais.</w:t>
            </w:r>
          </w:p>
          <w:p w:rsidR="00646530" w:rsidRPr="003F1EDB" w:rsidRDefault="00646530" w:rsidP="00B94A15">
            <w:pPr>
              <w:autoSpaceDE w:val="0"/>
              <w:autoSpaceDN w:val="0"/>
              <w:adjustRightInd w:val="0"/>
              <w:spacing w:line="240" w:lineRule="auto"/>
              <w:rPr>
                <w:bCs/>
                <w:sz w:val="20"/>
              </w:rPr>
            </w:pPr>
            <w:r w:rsidRPr="003F1EDB">
              <w:rPr>
                <w:bCs/>
                <w:sz w:val="20"/>
              </w:rPr>
              <w:t>Não há procedimentos sistematizados para o registro de dados visando manter histórico das operações realizadas.</w:t>
            </w:r>
          </w:p>
          <w:p w:rsidR="00646530" w:rsidRPr="003F1EDB" w:rsidRDefault="00646530" w:rsidP="00B94A15">
            <w:pPr>
              <w:autoSpaceDE w:val="0"/>
              <w:autoSpaceDN w:val="0"/>
              <w:adjustRightInd w:val="0"/>
              <w:spacing w:line="240" w:lineRule="auto"/>
              <w:rPr>
                <w:bCs/>
                <w:sz w:val="20"/>
              </w:rPr>
            </w:pPr>
            <w:r w:rsidRPr="003F1EDB">
              <w:rPr>
                <w:bCs/>
                <w:sz w:val="20"/>
              </w:rPr>
              <w:t xml:space="preserve">As instalações recebem ações de manutenção corretiva, porém não são submetidas a rotinas de manutenção preventiva. </w:t>
            </w:r>
          </w:p>
          <w:p w:rsidR="00646530" w:rsidRPr="003F1EDB" w:rsidRDefault="00646530" w:rsidP="00B94A15">
            <w:pPr>
              <w:autoSpaceDE w:val="0"/>
              <w:autoSpaceDN w:val="0"/>
              <w:adjustRightInd w:val="0"/>
              <w:spacing w:line="240" w:lineRule="auto"/>
              <w:rPr>
                <w:bCs/>
                <w:sz w:val="20"/>
              </w:rPr>
            </w:pPr>
            <w:r w:rsidRPr="003F1EDB">
              <w:rPr>
                <w:bCs/>
                <w:sz w:val="20"/>
              </w:rPr>
              <w:t xml:space="preserve">Os setores dos quatro eixos monitoram alguns processos devido a exigências legais, além de manterem registros apenas de situações de emergência e contingência. </w:t>
            </w:r>
          </w:p>
          <w:p w:rsidR="00646530" w:rsidRPr="003F1EDB" w:rsidRDefault="00646530" w:rsidP="00B94A15">
            <w:pPr>
              <w:autoSpaceDE w:val="0"/>
              <w:autoSpaceDN w:val="0"/>
              <w:adjustRightInd w:val="0"/>
              <w:spacing w:line="240" w:lineRule="auto"/>
              <w:rPr>
                <w:bCs/>
                <w:sz w:val="20"/>
              </w:rPr>
            </w:pPr>
            <w:r w:rsidRPr="003F1EDB">
              <w:rPr>
                <w:bCs/>
                <w:sz w:val="20"/>
              </w:rPr>
              <w:t xml:space="preserve">Os planejamentos do setor são feitos para prazos curtos, visando, em geral, a duração de uma gestão administrativa. </w:t>
            </w:r>
          </w:p>
          <w:p w:rsidR="00646530" w:rsidRPr="003F1EDB" w:rsidRDefault="00646530" w:rsidP="00B94A15">
            <w:pPr>
              <w:autoSpaceDE w:val="0"/>
              <w:autoSpaceDN w:val="0"/>
              <w:adjustRightInd w:val="0"/>
              <w:spacing w:line="240" w:lineRule="auto"/>
              <w:rPr>
                <w:rFonts w:cs="Arial"/>
                <w:b/>
                <w:bCs/>
                <w:sz w:val="20"/>
                <w:szCs w:val="20"/>
              </w:rPr>
            </w:pPr>
          </w:p>
        </w:tc>
        <w:tc>
          <w:tcPr>
            <w:tcW w:w="0" w:type="auto"/>
            <w:tcBorders>
              <w:top w:val="single" w:sz="8" w:space="0" w:color="4F81BD"/>
              <w:left w:val="single" w:sz="4" w:space="0" w:color="auto"/>
              <w:bottom w:val="single" w:sz="8" w:space="0" w:color="4F81BD"/>
              <w:right w:val="single" w:sz="8" w:space="0" w:color="4F81BD"/>
            </w:tcBorders>
            <w:hideMark/>
          </w:tcPr>
          <w:p w:rsidR="00646530" w:rsidRPr="003F1EDB" w:rsidRDefault="00646530" w:rsidP="00B94A15">
            <w:pPr>
              <w:autoSpaceDE w:val="0"/>
              <w:autoSpaceDN w:val="0"/>
              <w:adjustRightInd w:val="0"/>
              <w:spacing w:line="240" w:lineRule="auto"/>
              <w:jc w:val="center"/>
              <w:rPr>
                <w:rFonts w:cs="Arial"/>
                <w:b/>
                <w:sz w:val="20"/>
                <w:szCs w:val="20"/>
              </w:rPr>
            </w:pPr>
            <w:r w:rsidRPr="003F1EDB">
              <w:rPr>
                <w:rFonts w:cs="Arial"/>
                <w:b/>
                <w:sz w:val="20"/>
                <w:szCs w:val="20"/>
              </w:rPr>
              <w:t>Gestão integrada</w:t>
            </w:r>
          </w:p>
          <w:p w:rsidR="00646530" w:rsidRPr="003F1EDB" w:rsidRDefault="00646530" w:rsidP="00B94A15">
            <w:pPr>
              <w:autoSpaceDE w:val="0"/>
              <w:autoSpaceDN w:val="0"/>
              <w:adjustRightInd w:val="0"/>
              <w:spacing w:line="240" w:lineRule="auto"/>
              <w:rPr>
                <w:bCs/>
                <w:sz w:val="20"/>
              </w:rPr>
            </w:pPr>
            <w:r w:rsidRPr="003F1EDB">
              <w:rPr>
                <w:bCs/>
                <w:sz w:val="20"/>
              </w:rPr>
              <w:t xml:space="preserve">Os serviços dos quatro setores estão sendo bem administrados em termos de rotinas operacionais, incluindo ações de manutenção corretiva e preventiva. </w:t>
            </w:r>
          </w:p>
          <w:p w:rsidR="00646530" w:rsidRPr="003F1EDB" w:rsidRDefault="00646530" w:rsidP="00B94A15">
            <w:pPr>
              <w:autoSpaceDE w:val="0"/>
              <w:autoSpaceDN w:val="0"/>
              <w:adjustRightInd w:val="0"/>
              <w:spacing w:line="240" w:lineRule="auto"/>
              <w:rPr>
                <w:bCs/>
                <w:sz w:val="20"/>
              </w:rPr>
            </w:pPr>
            <w:r w:rsidRPr="003F1EDB">
              <w:rPr>
                <w:bCs/>
                <w:sz w:val="20"/>
              </w:rPr>
              <w:t>Há procedimentos sistematizados para o registro de dados visando manter histórico das operações realizadas, cujo objetivo é otimizar o planejamento e informar a população.</w:t>
            </w:r>
          </w:p>
          <w:p w:rsidR="00646530" w:rsidRPr="003F1EDB" w:rsidRDefault="00646530" w:rsidP="00B94A15">
            <w:pPr>
              <w:autoSpaceDE w:val="0"/>
              <w:autoSpaceDN w:val="0"/>
              <w:adjustRightInd w:val="0"/>
              <w:spacing w:line="240" w:lineRule="auto"/>
              <w:rPr>
                <w:bCs/>
                <w:sz w:val="20"/>
              </w:rPr>
            </w:pPr>
            <w:r w:rsidRPr="003F1EDB">
              <w:rPr>
                <w:bCs/>
                <w:sz w:val="20"/>
              </w:rPr>
              <w:t>Os principais processos inseridos nos quatro sistemas são monitorados através do acompanhamento de indicadores utilizados pelo SNIS e outros propostos pelos próprios gestores.</w:t>
            </w:r>
          </w:p>
          <w:p w:rsidR="00646530" w:rsidRPr="003F1EDB" w:rsidRDefault="00646530" w:rsidP="00B94A15">
            <w:pPr>
              <w:autoSpaceDE w:val="0"/>
              <w:autoSpaceDN w:val="0"/>
              <w:adjustRightInd w:val="0"/>
              <w:spacing w:line="240" w:lineRule="auto"/>
              <w:rPr>
                <w:sz w:val="20"/>
              </w:rPr>
            </w:pPr>
            <w:r w:rsidRPr="003F1EDB">
              <w:rPr>
                <w:bCs/>
                <w:sz w:val="20"/>
              </w:rPr>
              <w:t>Os quatro setores funcionam com planejamentos que, geralmente, adotam parâmetros de longo prazo para obras, e consideram prazos curtos e médios para outros procedimentos.</w:t>
            </w:r>
          </w:p>
        </w:tc>
      </w:tr>
      <w:tr w:rsidR="00646530" w:rsidRPr="003F1EDB" w:rsidTr="00B94A15">
        <w:trPr>
          <w:trHeight w:val="510"/>
          <w:jc w:val="center"/>
        </w:trPr>
        <w:tc>
          <w:tcPr>
            <w:tcW w:w="0" w:type="auto"/>
            <w:tcBorders>
              <w:top w:val="single" w:sz="4" w:space="0" w:color="auto"/>
              <w:left w:val="single" w:sz="4" w:space="0" w:color="auto"/>
              <w:bottom w:val="single" w:sz="4" w:space="0" w:color="auto"/>
              <w:right w:val="single" w:sz="4" w:space="0" w:color="auto"/>
            </w:tcBorders>
            <w:hideMark/>
          </w:tcPr>
          <w:p w:rsidR="00646530" w:rsidRPr="003F1EDB" w:rsidRDefault="00646530" w:rsidP="00B94A15">
            <w:pPr>
              <w:autoSpaceDE w:val="0"/>
              <w:autoSpaceDN w:val="0"/>
              <w:adjustRightInd w:val="0"/>
              <w:spacing w:line="240" w:lineRule="auto"/>
              <w:jc w:val="center"/>
              <w:rPr>
                <w:rFonts w:cs="Arial"/>
                <w:b/>
                <w:bCs/>
                <w:sz w:val="20"/>
                <w:szCs w:val="20"/>
              </w:rPr>
            </w:pPr>
            <w:r w:rsidRPr="003F1EDB">
              <w:rPr>
                <w:rFonts w:cs="Arial"/>
                <w:b/>
                <w:bCs/>
                <w:sz w:val="20"/>
                <w:szCs w:val="20"/>
              </w:rPr>
              <w:lastRenderedPageBreak/>
              <w:t>Sustentabilidade econômica</w:t>
            </w:r>
          </w:p>
          <w:p w:rsidR="00646530" w:rsidRPr="003F1EDB" w:rsidRDefault="00646530" w:rsidP="00B94A15">
            <w:pPr>
              <w:autoSpaceDE w:val="0"/>
              <w:autoSpaceDN w:val="0"/>
              <w:adjustRightInd w:val="0"/>
              <w:spacing w:line="240" w:lineRule="auto"/>
              <w:rPr>
                <w:rFonts w:cs="Arial"/>
                <w:bCs/>
                <w:sz w:val="20"/>
                <w:szCs w:val="20"/>
              </w:rPr>
            </w:pPr>
            <w:r w:rsidRPr="003F1EDB">
              <w:rPr>
                <w:rFonts w:cs="Arial"/>
                <w:bCs/>
                <w:sz w:val="20"/>
                <w:szCs w:val="20"/>
              </w:rPr>
              <w:t>A prestação dos serviços de saneamento básico não apresenta equilíbrio econômico-financeiro, sendo que:</w:t>
            </w:r>
          </w:p>
          <w:p w:rsidR="00646530" w:rsidRPr="003F1EDB" w:rsidRDefault="00646530" w:rsidP="00A87269">
            <w:pPr>
              <w:pStyle w:val="PargrafodaLista"/>
              <w:numPr>
                <w:ilvl w:val="0"/>
                <w:numId w:val="23"/>
              </w:numPr>
              <w:spacing w:line="240" w:lineRule="atLeast"/>
              <w:ind w:left="714" w:hanging="357"/>
              <w:jc w:val="left"/>
              <w:rPr>
                <w:sz w:val="20"/>
              </w:rPr>
            </w:pPr>
            <w:r w:rsidRPr="003F1EDB">
              <w:rPr>
                <w:sz w:val="20"/>
              </w:rPr>
              <w:t>Nem todos os setores do saneamento básico prestam serviços remunerados através de taxas ou tarifas.</w:t>
            </w:r>
          </w:p>
          <w:p w:rsidR="00646530" w:rsidRPr="003F1EDB" w:rsidRDefault="00646530" w:rsidP="00A87269">
            <w:pPr>
              <w:pStyle w:val="PargrafodaLista"/>
              <w:numPr>
                <w:ilvl w:val="0"/>
                <w:numId w:val="23"/>
              </w:numPr>
              <w:spacing w:line="240" w:lineRule="atLeast"/>
              <w:ind w:left="714" w:hanging="357"/>
              <w:jc w:val="left"/>
              <w:rPr>
                <w:sz w:val="20"/>
              </w:rPr>
            </w:pPr>
            <w:r w:rsidRPr="003F1EDB">
              <w:rPr>
                <w:sz w:val="20"/>
              </w:rPr>
              <w:t>Há uma sistemática de reajustes de taxas e tarifas.</w:t>
            </w:r>
          </w:p>
          <w:p w:rsidR="00646530" w:rsidRPr="003F1EDB" w:rsidRDefault="00646530" w:rsidP="00A87269">
            <w:pPr>
              <w:pStyle w:val="PargrafodaLista"/>
              <w:numPr>
                <w:ilvl w:val="0"/>
                <w:numId w:val="23"/>
              </w:numPr>
              <w:autoSpaceDE w:val="0"/>
              <w:autoSpaceDN w:val="0"/>
              <w:adjustRightInd w:val="0"/>
              <w:spacing w:line="240" w:lineRule="auto"/>
              <w:ind w:left="714" w:hanging="357"/>
              <w:jc w:val="left"/>
              <w:rPr>
                <w:b/>
                <w:bCs/>
                <w:sz w:val="20"/>
              </w:rPr>
            </w:pPr>
            <w:r w:rsidRPr="003F1EDB">
              <w:rPr>
                <w:sz w:val="20"/>
              </w:rPr>
              <w:t xml:space="preserve">Ocorrem subsídios, porém esses não estão atrelados </w:t>
            </w:r>
            <w:r>
              <w:rPr>
                <w:sz w:val="20"/>
              </w:rPr>
              <w:t>a</w:t>
            </w:r>
            <w:r w:rsidRPr="003F1EDB">
              <w:rPr>
                <w:sz w:val="20"/>
              </w:rPr>
              <w:t xml:space="preserve"> uma política devidamente implementada.</w:t>
            </w:r>
          </w:p>
        </w:tc>
        <w:tc>
          <w:tcPr>
            <w:tcW w:w="0" w:type="auto"/>
            <w:tcBorders>
              <w:top w:val="single" w:sz="4" w:space="0" w:color="auto"/>
              <w:left w:val="single" w:sz="4" w:space="0" w:color="auto"/>
              <w:bottom w:val="single" w:sz="4" w:space="0" w:color="auto"/>
              <w:right w:val="single" w:sz="4" w:space="0" w:color="auto"/>
            </w:tcBorders>
            <w:hideMark/>
          </w:tcPr>
          <w:p w:rsidR="00646530" w:rsidRPr="003F1EDB" w:rsidRDefault="00646530" w:rsidP="00B94A15">
            <w:pPr>
              <w:autoSpaceDE w:val="0"/>
              <w:autoSpaceDN w:val="0"/>
              <w:adjustRightInd w:val="0"/>
              <w:spacing w:line="240" w:lineRule="auto"/>
              <w:jc w:val="center"/>
              <w:rPr>
                <w:rFonts w:cs="Arial"/>
                <w:b/>
                <w:bCs/>
                <w:sz w:val="20"/>
                <w:szCs w:val="20"/>
              </w:rPr>
            </w:pPr>
            <w:r w:rsidRPr="003F1EDB">
              <w:rPr>
                <w:rFonts w:cs="Arial"/>
                <w:b/>
                <w:bCs/>
                <w:sz w:val="20"/>
                <w:szCs w:val="20"/>
              </w:rPr>
              <w:t>Sustentabilidade econômica</w:t>
            </w:r>
          </w:p>
          <w:p w:rsidR="00646530" w:rsidRPr="003F1EDB" w:rsidRDefault="00646530" w:rsidP="00B94A15">
            <w:pPr>
              <w:autoSpaceDE w:val="0"/>
              <w:autoSpaceDN w:val="0"/>
              <w:adjustRightInd w:val="0"/>
              <w:spacing w:line="240" w:lineRule="auto"/>
              <w:rPr>
                <w:rFonts w:eastAsia="Times New Roman" w:cs="Arial"/>
                <w:sz w:val="20"/>
                <w:szCs w:val="20"/>
                <w:lang w:eastAsia="pt-BR"/>
              </w:rPr>
            </w:pPr>
            <w:r w:rsidRPr="003F1EDB">
              <w:rPr>
                <w:rFonts w:eastAsia="Times New Roman" w:cs="Arial"/>
                <w:sz w:val="20"/>
                <w:szCs w:val="20"/>
                <w:lang w:eastAsia="pt-BR"/>
              </w:rPr>
              <w:t xml:space="preserve">A prestação dos serviços de saneamento básico </w:t>
            </w:r>
            <w:r w:rsidRPr="003F1EDB">
              <w:rPr>
                <w:rFonts w:cs="Arial"/>
                <w:sz w:val="20"/>
                <w:szCs w:val="20"/>
              </w:rPr>
              <w:t xml:space="preserve">apresenta </w:t>
            </w:r>
            <w:r w:rsidRPr="003F1EDB">
              <w:rPr>
                <w:rFonts w:eastAsia="Times New Roman" w:cs="Arial"/>
                <w:sz w:val="20"/>
                <w:szCs w:val="20"/>
                <w:lang w:eastAsia="pt-BR"/>
              </w:rPr>
              <w:t xml:space="preserve">equilíbrio econômico-financeiro e inclui: </w:t>
            </w:r>
          </w:p>
          <w:p w:rsidR="00646530" w:rsidRPr="003F1EDB" w:rsidRDefault="00646530" w:rsidP="00A87269">
            <w:pPr>
              <w:pStyle w:val="PargrafodaLista"/>
              <w:numPr>
                <w:ilvl w:val="0"/>
                <w:numId w:val="24"/>
              </w:numPr>
              <w:spacing w:line="240" w:lineRule="atLeast"/>
              <w:jc w:val="left"/>
              <w:rPr>
                <w:sz w:val="20"/>
              </w:rPr>
            </w:pPr>
            <w:r w:rsidRPr="003F1EDB">
              <w:rPr>
                <w:sz w:val="20"/>
              </w:rPr>
              <w:t>Um sistema de cobran</w:t>
            </w:r>
            <w:r>
              <w:rPr>
                <w:sz w:val="20"/>
              </w:rPr>
              <w:t>ça composto por taxas e tarifas.</w:t>
            </w:r>
          </w:p>
          <w:p w:rsidR="00646530" w:rsidRPr="003F1EDB" w:rsidRDefault="00646530" w:rsidP="00A87269">
            <w:pPr>
              <w:pStyle w:val="PargrafodaLista"/>
              <w:numPr>
                <w:ilvl w:val="0"/>
                <w:numId w:val="24"/>
              </w:numPr>
              <w:spacing w:line="240" w:lineRule="atLeast"/>
              <w:ind w:left="714" w:hanging="357"/>
              <w:jc w:val="left"/>
              <w:rPr>
                <w:sz w:val="20"/>
              </w:rPr>
            </w:pPr>
            <w:r w:rsidRPr="003F1EDB">
              <w:rPr>
                <w:sz w:val="20"/>
              </w:rPr>
              <w:t xml:space="preserve">Uma sistemática de reajustes e </w:t>
            </w:r>
            <w:r>
              <w:rPr>
                <w:sz w:val="20"/>
              </w:rPr>
              <w:t>de revisões de taxas e tarifas.</w:t>
            </w:r>
          </w:p>
          <w:p w:rsidR="00646530" w:rsidRPr="003F1EDB" w:rsidRDefault="00646530" w:rsidP="00A87269">
            <w:pPr>
              <w:pStyle w:val="PargrafodaLista"/>
              <w:numPr>
                <w:ilvl w:val="0"/>
                <w:numId w:val="24"/>
              </w:numPr>
              <w:spacing w:line="240" w:lineRule="atLeast"/>
              <w:ind w:left="714" w:hanging="357"/>
              <w:jc w:val="left"/>
              <w:rPr>
                <w:sz w:val="20"/>
              </w:rPr>
            </w:pPr>
            <w:r w:rsidRPr="003F1EDB">
              <w:rPr>
                <w:sz w:val="20"/>
              </w:rPr>
              <w:t>Uma política de subsídios.</w:t>
            </w:r>
          </w:p>
          <w:p w:rsidR="00646530" w:rsidRPr="003F1EDB" w:rsidRDefault="00646530" w:rsidP="00B94A15">
            <w:pPr>
              <w:autoSpaceDE w:val="0"/>
              <w:autoSpaceDN w:val="0"/>
              <w:adjustRightInd w:val="0"/>
              <w:spacing w:line="240" w:lineRule="auto"/>
              <w:rPr>
                <w:rFonts w:cs="Arial"/>
                <w:sz w:val="20"/>
                <w:szCs w:val="20"/>
              </w:rPr>
            </w:pPr>
          </w:p>
        </w:tc>
      </w:tr>
      <w:tr w:rsidR="00646530" w:rsidRPr="003F1EDB" w:rsidTr="00B94A15">
        <w:trPr>
          <w:trHeight w:val="510"/>
          <w:jc w:val="center"/>
        </w:trPr>
        <w:tc>
          <w:tcPr>
            <w:tcW w:w="0" w:type="auto"/>
            <w:tcBorders>
              <w:top w:val="single" w:sz="4" w:space="0" w:color="auto"/>
              <w:left w:val="single" w:sz="4" w:space="0" w:color="auto"/>
              <w:bottom w:val="single" w:sz="4" w:space="0" w:color="auto"/>
              <w:right w:val="single" w:sz="4" w:space="0" w:color="auto"/>
            </w:tcBorders>
          </w:tcPr>
          <w:p w:rsidR="00646530" w:rsidRPr="003F1EDB" w:rsidRDefault="00646530" w:rsidP="00B94A15">
            <w:pPr>
              <w:autoSpaceDE w:val="0"/>
              <w:autoSpaceDN w:val="0"/>
              <w:adjustRightInd w:val="0"/>
              <w:spacing w:line="240" w:lineRule="auto"/>
              <w:jc w:val="center"/>
              <w:rPr>
                <w:rFonts w:cs="Arial"/>
                <w:b/>
                <w:bCs/>
                <w:sz w:val="20"/>
                <w:szCs w:val="20"/>
              </w:rPr>
            </w:pPr>
            <w:r w:rsidRPr="003F1EDB">
              <w:rPr>
                <w:rFonts w:cs="Arial"/>
                <w:b/>
                <w:bCs/>
                <w:sz w:val="20"/>
                <w:szCs w:val="20"/>
              </w:rPr>
              <w:t>Regulação do setor</w:t>
            </w:r>
          </w:p>
          <w:p w:rsidR="00646530" w:rsidRPr="003F1EDB" w:rsidRDefault="00646530" w:rsidP="00B94A15">
            <w:pPr>
              <w:autoSpaceDE w:val="0"/>
              <w:autoSpaceDN w:val="0"/>
              <w:adjustRightInd w:val="0"/>
              <w:spacing w:line="240" w:lineRule="auto"/>
              <w:rPr>
                <w:rFonts w:cs="Arial"/>
                <w:bCs/>
                <w:sz w:val="20"/>
                <w:szCs w:val="20"/>
              </w:rPr>
            </w:pPr>
            <w:r w:rsidRPr="003F1EDB">
              <w:rPr>
                <w:rFonts w:cs="Arial"/>
                <w:bCs/>
                <w:sz w:val="20"/>
                <w:szCs w:val="20"/>
              </w:rPr>
              <w:t xml:space="preserve">Os setores de água e esgoto são remunerados através do pagamento de tarifas pelos usuários e obedecem </w:t>
            </w:r>
            <w:r>
              <w:rPr>
                <w:rFonts w:cs="Arial"/>
                <w:bCs/>
                <w:sz w:val="20"/>
                <w:szCs w:val="20"/>
              </w:rPr>
              <w:t>a</w:t>
            </w:r>
            <w:r w:rsidRPr="003F1EDB">
              <w:rPr>
                <w:rFonts w:cs="Arial"/>
                <w:bCs/>
                <w:sz w:val="20"/>
                <w:szCs w:val="20"/>
              </w:rPr>
              <w:t xml:space="preserve"> normas ditadas por uma Entidade Reguladora.</w:t>
            </w:r>
          </w:p>
          <w:p w:rsidR="00646530" w:rsidRPr="003F1EDB" w:rsidRDefault="00646530" w:rsidP="00B94A15">
            <w:pPr>
              <w:autoSpaceDE w:val="0"/>
              <w:autoSpaceDN w:val="0"/>
              <w:adjustRightInd w:val="0"/>
              <w:spacing w:line="240" w:lineRule="auto"/>
              <w:rPr>
                <w:rFonts w:cs="Arial"/>
                <w:bCs/>
                <w:sz w:val="20"/>
                <w:szCs w:val="20"/>
              </w:rPr>
            </w:pPr>
            <w:r w:rsidRPr="003F1EDB">
              <w:rPr>
                <w:rFonts w:cs="Arial"/>
                <w:bCs/>
                <w:sz w:val="20"/>
                <w:szCs w:val="20"/>
              </w:rPr>
              <w:t>Nenhum outro procedimento é regulado ou fiscalizado por essa entidade.</w:t>
            </w:r>
          </w:p>
        </w:tc>
        <w:tc>
          <w:tcPr>
            <w:tcW w:w="0" w:type="auto"/>
            <w:tcBorders>
              <w:top w:val="single" w:sz="4" w:space="0" w:color="auto"/>
              <w:left w:val="single" w:sz="4" w:space="0" w:color="auto"/>
              <w:bottom w:val="single" w:sz="4" w:space="0" w:color="auto"/>
              <w:right w:val="single" w:sz="4" w:space="0" w:color="auto"/>
            </w:tcBorders>
          </w:tcPr>
          <w:p w:rsidR="00646530" w:rsidRPr="003F1EDB" w:rsidRDefault="00646530" w:rsidP="00B94A15">
            <w:pPr>
              <w:autoSpaceDE w:val="0"/>
              <w:autoSpaceDN w:val="0"/>
              <w:adjustRightInd w:val="0"/>
              <w:spacing w:line="240" w:lineRule="auto"/>
              <w:jc w:val="center"/>
              <w:rPr>
                <w:rFonts w:cs="Arial"/>
                <w:b/>
                <w:bCs/>
                <w:sz w:val="20"/>
                <w:szCs w:val="20"/>
              </w:rPr>
            </w:pPr>
            <w:r w:rsidRPr="003F1EDB">
              <w:rPr>
                <w:rFonts w:cs="Arial"/>
                <w:b/>
                <w:bCs/>
                <w:sz w:val="20"/>
                <w:szCs w:val="20"/>
              </w:rPr>
              <w:t>Regulação do setor</w:t>
            </w:r>
          </w:p>
          <w:p w:rsidR="00646530" w:rsidRPr="003F1EDB" w:rsidRDefault="00646530" w:rsidP="00B94A15">
            <w:pPr>
              <w:autoSpaceDE w:val="0"/>
              <w:autoSpaceDN w:val="0"/>
              <w:adjustRightInd w:val="0"/>
              <w:spacing w:line="240" w:lineRule="auto"/>
              <w:rPr>
                <w:rFonts w:cs="Arial"/>
                <w:bCs/>
                <w:sz w:val="20"/>
                <w:szCs w:val="20"/>
              </w:rPr>
            </w:pPr>
            <w:r w:rsidRPr="003F1EDB">
              <w:rPr>
                <w:rFonts w:cs="Arial"/>
                <w:bCs/>
                <w:sz w:val="20"/>
                <w:szCs w:val="20"/>
              </w:rPr>
              <w:t>Os serviços de saneamento básico são submetidos a uma Entidade Reguladora, que é encarregada de:</w:t>
            </w:r>
          </w:p>
          <w:p w:rsidR="00646530" w:rsidRPr="003F1EDB" w:rsidRDefault="00646530" w:rsidP="00B94A15">
            <w:pPr>
              <w:autoSpaceDE w:val="0"/>
              <w:autoSpaceDN w:val="0"/>
              <w:adjustRightInd w:val="0"/>
              <w:spacing w:line="240" w:lineRule="auto"/>
              <w:rPr>
                <w:rFonts w:cs="Arial"/>
                <w:sz w:val="20"/>
                <w:szCs w:val="20"/>
              </w:rPr>
            </w:pPr>
            <w:r w:rsidRPr="003F1EDB">
              <w:rPr>
                <w:rFonts w:cs="Arial"/>
                <w:sz w:val="20"/>
                <w:szCs w:val="20"/>
              </w:rPr>
              <w:t>- D</w:t>
            </w:r>
            <w:r w:rsidRPr="003F1EDB">
              <w:rPr>
                <w:rFonts w:cs="Arial"/>
                <w:bCs/>
                <w:sz w:val="20"/>
                <w:szCs w:val="20"/>
              </w:rPr>
              <w:t>efinir a</w:t>
            </w:r>
            <w:r w:rsidRPr="003F1EDB">
              <w:rPr>
                <w:rFonts w:cs="Arial"/>
                <w:sz w:val="20"/>
                <w:szCs w:val="20"/>
              </w:rPr>
              <w:t>s normas relativas às tarifas e aos subsídios.</w:t>
            </w:r>
          </w:p>
          <w:p w:rsidR="00646530" w:rsidRPr="003F1EDB" w:rsidRDefault="00646530" w:rsidP="00B94A15">
            <w:pPr>
              <w:autoSpaceDE w:val="0"/>
              <w:autoSpaceDN w:val="0"/>
              <w:adjustRightInd w:val="0"/>
              <w:spacing w:line="240" w:lineRule="auto"/>
              <w:rPr>
                <w:rFonts w:cs="Arial"/>
                <w:sz w:val="20"/>
                <w:szCs w:val="20"/>
              </w:rPr>
            </w:pPr>
            <w:r w:rsidRPr="003F1EDB">
              <w:rPr>
                <w:rFonts w:cs="Arial"/>
                <w:sz w:val="20"/>
                <w:szCs w:val="20"/>
              </w:rPr>
              <w:t>- Definir os mecanismos de pagamento relativos à inadimplência dos usuários, perdas comerciais e físicas, entre outros casos determinados pelo regulador.</w:t>
            </w:r>
          </w:p>
          <w:p w:rsidR="00646530" w:rsidRPr="003F1EDB" w:rsidRDefault="00646530" w:rsidP="00B94A15">
            <w:pPr>
              <w:autoSpaceDE w:val="0"/>
              <w:autoSpaceDN w:val="0"/>
              <w:adjustRightInd w:val="0"/>
              <w:spacing w:line="240" w:lineRule="auto"/>
              <w:rPr>
                <w:rFonts w:cs="Arial"/>
                <w:sz w:val="20"/>
                <w:szCs w:val="20"/>
              </w:rPr>
            </w:pPr>
            <w:r w:rsidRPr="003F1EDB">
              <w:rPr>
                <w:rFonts w:cs="Arial"/>
                <w:sz w:val="20"/>
                <w:szCs w:val="20"/>
              </w:rPr>
              <w:t>- Fiscalizar a qualidade, quantidade e regularidade da prestação dos serviços.</w:t>
            </w:r>
          </w:p>
        </w:tc>
      </w:tr>
      <w:tr w:rsidR="00646530" w:rsidRPr="003F1EDB" w:rsidTr="00B94A15">
        <w:trPr>
          <w:trHeight w:val="510"/>
          <w:jc w:val="center"/>
        </w:trPr>
        <w:tc>
          <w:tcPr>
            <w:tcW w:w="0" w:type="auto"/>
            <w:tcBorders>
              <w:top w:val="single" w:sz="4" w:space="0" w:color="auto"/>
              <w:left w:val="single" w:sz="4" w:space="0" w:color="auto"/>
              <w:bottom w:val="single" w:sz="4" w:space="0" w:color="auto"/>
              <w:right w:val="single" w:sz="4" w:space="0" w:color="auto"/>
            </w:tcBorders>
          </w:tcPr>
          <w:p w:rsidR="00646530" w:rsidRPr="003F1EDB" w:rsidRDefault="00646530" w:rsidP="00B94A15">
            <w:pPr>
              <w:autoSpaceDE w:val="0"/>
              <w:autoSpaceDN w:val="0"/>
              <w:adjustRightInd w:val="0"/>
              <w:spacing w:line="240" w:lineRule="auto"/>
              <w:jc w:val="center"/>
              <w:rPr>
                <w:rFonts w:cs="Arial"/>
                <w:b/>
                <w:bCs/>
                <w:sz w:val="20"/>
                <w:szCs w:val="20"/>
              </w:rPr>
            </w:pPr>
            <w:r w:rsidRPr="003F1EDB">
              <w:rPr>
                <w:rFonts w:cs="Arial"/>
                <w:b/>
                <w:bCs/>
                <w:sz w:val="20"/>
                <w:szCs w:val="20"/>
              </w:rPr>
              <w:t>Regularização ambiental</w:t>
            </w:r>
          </w:p>
          <w:p w:rsidR="00646530" w:rsidRPr="003F1EDB" w:rsidRDefault="00646530" w:rsidP="00B94A15">
            <w:pPr>
              <w:autoSpaceDE w:val="0"/>
              <w:autoSpaceDN w:val="0"/>
              <w:adjustRightInd w:val="0"/>
              <w:spacing w:line="240" w:lineRule="auto"/>
              <w:rPr>
                <w:rFonts w:cs="Arial"/>
                <w:b/>
                <w:bCs/>
                <w:sz w:val="20"/>
                <w:szCs w:val="20"/>
              </w:rPr>
            </w:pPr>
            <w:r w:rsidRPr="003F1EDB">
              <w:rPr>
                <w:rFonts w:cs="Arial"/>
                <w:bCs/>
                <w:sz w:val="20"/>
                <w:szCs w:val="20"/>
              </w:rPr>
              <w:t xml:space="preserve">Os processos inseridos na prestação de serviços do saneamento básico que são potencialmente causadores de impactos ambientais </w:t>
            </w:r>
            <w:r w:rsidRPr="003F1EDB">
              <w:rPr>
                <w:rFonts w:cs="Arial"/>
                <w:bCs/>
                <w:sz w:val="20"/>
                <w:szCs w:val="20"/>
                <w:u w:val="single"/>
              </w:rPr>
              <w:t>nem sempre</w:t>
            </w:r>
            <w:r w:rsidRPr="003F1EDB">
              <w:rPr>
                <w:rFonts w:cs="Arial"/>
                <w:bCs/>
                <w:sz w:val="20"/>
                <w:szCs w:val="20"/>
              </w:rPr>
              <w:t xml:space="preserve"> são submetidos ao licenciamento ambiental exigido pelos órgãos estaduais competentes. </w:t>
            </w:r>
          </w:p>
        </w:tc>
        <w:tc>
          <w:tcPr>
            <w:tcW w:w="0" w:type="auto"/>
            <w:tcBorders>
              <w:top w:val="single" w:sz="4" w:space="0" w:color="auto"/>
              <w:left w:val="single" w:sz="4" w:space="0" w:color="auto"/>
              <w:bottom w:val="single" w:sz="4" w:space="0" w:color="auto"/>
              <w:right w:val="single" w:sz="4" w:space="0" w:color="auto"/>
            </w:tcBorders>
          </w:tcPr>
          <w:p w:rsidR="00646530" w:rsidRPr="003F1EDB" w:rsidRDefault="00646530" w:rsidP="00B94A15">
            <w:pPr>
              <w:autoSpaceDE w:val="0"/>
              <w:autoSpaceDN w:val="0"/>
              <w:adjustRightInd w:val="0"/>
              <w:spacing w:line="240" w:lineRule="auto"/>
              <w:jc w:val="center"/>
              <w:rPr>
                <w:rFonts w:cs="Arial"/>
                <w:b/>
                <w:bCs/>
                <w:sz w:val="20"/>
                <w:szCs w:val="20"/>
              </w:rPr>
            </w:pPr>
            <w:r w:rsidRPr="003F1EDB">
              <w:rPr>
                <w:rFonts w:cs="Arial"/>
                <w:b/>
                <w:bCs/>
                <w:sz w:val="20"/>
                <w:szCs w:val="20"/>
              </w:rPr>
              <w:t>Regularização ambiental</w:t>
            </w:r>
          </w:p>
          <w:p w:rsidR="00646530" w:rsidRPr="003F1EDB" w:rsidRDefault="00646530" w:rsidP="00B94A15">
            <w:pPr>
              <w:autoSpaceDE w:val="0"/>
              <w:autoSpaceDN w:val="0"/>
              <w:adjustRightInd w:val="0"/>
              <w:spacing w:line="240" w:lineRule="auto"/>
              <w:rPr>
                <w:rFonts w:cs="Arial"/>
                <w:bCs/>
                <w:sz w:val="20"/>
                <w:szCs w:val="20"/>
              </w:rPr>
            </w:pPr>
            <w:r w:rsidRPr="003F1EDB">
              <w:rPr>
                <w:rFonts w:cs="Arial"/>
                <w:bCs/>
                <w:sz w:val="20"/>
                <w:szCs w:val="20"/>
              </w:rPr>
              <w:t xml:space="preserve">Os processos inseridos na prestação de serviços do saneamento básico que são potencialmente causadores de impactos ambientais são submetidos ao licenciamento ambiental exigido pelos órgãos estaduais competentes. </w:t>
            </w:r>
          </w:p>
          <w:p w:rsidR="00646530" w:rsidRPr="003F1EDB" w:rsidRDefault="00646530" w:rsidP="00B94A15">
            <w:pPr>
              <w:autoSpaceDE w:val="0"/>
              <w:autoSpaceDN w:val="0"/>
              <w:adjustRightInd w:val="0"/>
              <w:spacing w:line="240" w:lineRule="auto"/>
              <w:jc w:val="center"/>
              <w:rPr>
                <w:rFonts w:cs="Arial"/>
                <w:b/>
                <w:bCs/>
                <w:sz w:val="20"/>
                <w:szCs w:val="20"/>
              </w:rPr>
            </w:pPr>
          </w:p>
        </w:tc>
      </w:tr>
      <w:tr w:rsidR="00646530" w:rsidRPr="003F1EDB" w:rsidTr="00B94A15">
        <w:trPr>
          <w:trHeight w:val="510"/>
          <w:jc w:val="center"/>
        </w:trPr>
        <w:tc>
          <w:tcPr>
            <w:tcW w:w="0" w:type="auto"/>
            <w:tcBorders>
              <w:top w:val="single" w:sz="4" w:space="0" w:color="auto"/>
              <w:left w:val="single" w:sz="4" w:space="0" w:color="auto"/>
              <w:bottom w:val="single" w:sz="4" w:space="0" w:color="auto"/>
              <w:right w:val="single" w:sz="4" w:space="0" w:color="auto"/>
            </w:tcBorders>
          </w:tcPr>
          <w:p w:rsidR="00646530" w:rsidRPr="003F1EDB" w:rsidRDefault="00646530" w:rsidP="00B94A15">
            <w:pPr>
              <w:autoSpaceDE w:val="0"/>
              <w:autoSpaceDN w:val="0"/>
              <w:adjustRightInd w:val="0"/>
              <w:spacing w:line="240" w:lineRule="auto"/>
              <w:jc w:val="center"/>
              <w:rPr>
                <w:rFonts w:cs="Arial"/>
                <w:b/>
                <w:bCs/>
                <w:sz w:val="20"/>
                <w:szCs w:val="20"/>
              </w:rPr>
            </w:pPr>
            <w:r w:rsidRPr="003F1EDB">
              <w:rPr>
                <w:rFonts w:cs="Arial"/>
                <w:b/>
                <w:bCs/>
                <w:sz w:val="20"/>
                <w:szCs w:val="20"/>
              </w:rPr>
              <w:t>Controle social</w:t>
            </w:r>
          </w:p>
          <w:p w:rsidR="00646530" w:rsidRPr="003F1EDB" w:rsidRDefault="00646530" w:rsidP="00B94A15">
            <w:pPr>
              <w:autoSpaceDE w:val="0"/>
              <w:autoSpaceDN w:val="0"/>
              <w:adjustRightInd w:val="0"/>
              <w:spacing w:line="240" w:lineRule="auto"/>
              <w:rPr>
                <w:rFonts w:cs="Arial"/>
                <w:b/>
                <w:bCs/>
                <w:sz w:val="20"/>
                <w:szCs w:val="20"/>
              </w:rPr>
            </w:pPr>
            <w:r w:rsidRPr="003F1EDB">
              <w:rPr>
                <w:rFonts w:cs="Arial"/>
                <w:bCs/>
                <w:sz w:val="20"/>
                <w:szCs w:val="20"/>
              </w:rPr>
              <w:t>A gestão municipal prevê mecanismos e procedimentos que garantem à sociedade o acesso a informações e a participação nos processos de planejamento e de avaliação relacionados aos serviços públicos de saneamento básico.</w:t>
            </w:r>
          </w:p>
          <w:p w:rsidR="00646530" w:rsidRPr="003F1EDB" w:rsidRDefault="00646530" w:rsidP="00B94A15">
            <w:pPr>
              <w:autoSpaceDE w:val="0"/>
              <w:autoSpaceDN w:val="0"/>
              <w:adjustRightInd w:val="0"/>
              <w:spacing w:line="240" w:lineRule="auto"/>
              <w:jc w:val="center"/>
              <w:rPr>
                <w:rFonts w:cs="Arial"/>
                <w:b/>
                <w:bCs/>
                <w:sz w:val="20"/>
                <w:szCs w:val="20"/>
              </w:rPr>
            </w:pPr>
          </w:p>
        </w:tc>
        <w:tc>
          <w:tcPr>
            <w:tcW w:w="0" w:type="auto"/>
            <w:tcBorders>
              <w:top w:val="single" w:sz="4" w:space="0" w:color="auto"/>
              <w:left w:val="single" w:sz="4" w:space="0" w:color="auto"/>
              <w:bottom w:val="single" w:sz="4" w:space="0" w:color="auto"/>
              <w:right w:val="single" w:sz="4" w:space="0" w:color="auto"/>
            </w:tcBorders>
          </w:tcPr>
          <w:p w:rsidR="00646530" w:rsidRPr="003F1EDB" w:rsidRDefault="00646530" w:rsidP="00B94A15">
            <w:pPr>
              <w:autoSpaceDE w:val="0"/>
              <w:autoSpaceDN w:val="0"/>
              <w:adjustRightInd w:val="0"/>
              <w:spacing w:line="240" w:lineRule="auto"/>
              <w:jc w:val="center"/>
              <w:rPr>
                <w:rFonts w:cs="Arial"/>
                <w:b/>
                <w:bCs/>
                <w:sz w:val="20"/>
                <w:szCs w:val="20"/>
              </w:rPr>
            </w:pPr>
            <w:r w:rsidRPr="003F1EDB">
              <w:rPr>
                <w:rFonts w:cs="Arial"/>
                <w:b/>
                <w:bCs/>
                <w:sz w:val="20"/>
                <w:szCs w:val="20"/>
              </w:rPr>
              <w:t>Controle social</w:t>
            </w:r>
          </w:p>
          <w:p w:rsidR="00646530" w:rsidRPr="003F1EDB" w:rsidRDefault="00646530" w:rsidP="00B94A15">
            <w:pPr>
              <w:autoSpaceDE w:val="0"/>
              <w:autoSpaceDN w:val="0"/>
              <w:adjustRightInd w:val="0"/>
              <w:spacing w:line="240" w:lineRule="auto"/>
              <w:rPr>
                <w:rFonts w:cs="Arial"/>
                <w:bCs/>
                <w:sz w:val="20"/>
                <w:szCs w:val="20"/>
              </w:rPr>
            </w:pPr>
            <w:r w:rsidRPr="003F1EDB">
              <w:rPr>
                <w:rFonts w:cs="Arial"/>
                <w:bCs/>
                <w:sz w:val="20"/>
                <w:szCs w:val="20"/>
              </w:rPr>
              <w:t>A gestão municipal prevê mecanismos e procedimentos que garantem à sociedade o acesso a informações e a participação nos processos de planejamento e de avaliação relacionados aos serviços públicos de saneamento básico.</w:t>
            </w:r>
          </w:p>
          <w:p w:rsidR="00646530" w:rsidRPr="003F1EDB" w:rsidRDefault="00646530" w:rsidP="00B94A15">
            <w:pPr>
              <w:autoSpaceDE w:val="0"/>
              <w:autoSpaceDN w:val="0"/>
              <w:adjustRightInd w:val="0"/>
              <w:spacing w:line="240" w:lineRule="auto"/>
              <w:jc w:val="left"/>
              <w:rPr>
                <w:rFonts w:cs="Arial"/>
                <w:bCs/>
                <w:sz w:val="20"/>
                <w:szCs w:val="20"/>
              </w:rPr>
            </w:pPr>
          </w:p>
        </w:tc>
      </w:tr>
      <w:tr w:rsidR="00646530" w:rsidRPr="003F1EDB" w:rsidTr="00B94A15">
        <w:trPr>
          <w:trHeight w:val="510"/>
          <w:jc w:val="center"/>
        </w:trPr>
        <w:tc>
          <w:tcPr>
            <w:tcW w:w="0" w:type="auto"/>
            <w:tcBorders>
              <w:top w:val="single" w:sz="4" w:space="0" w:color="auto"/>
              <w:left w:val="single" w:sz="4" w:space="0" w:color="auto"/>
              <w:bottom w:val="single" w:sz="4" w:space="0" w:color="auto"/>
              <w:right w:val="single" w:sz="4" w:space="0" w:color="auto"/>
            </w:tcBorders>
          </w:tcPr>
          <w:p w:rsidR="00646530" w:rsidRPr="003F1EDB" w:rsidRDefault="00646530" w:rsidP="00B94A15">
            <w:pPr>
              <w:autoSpaceDE w:val="0"/>
              <w:autoSpaceDN w:val="0"/>
              <w:adjustRightInd w:val="0"/>
              <w:spacing w:line="240" w:lineRule="auto"/>
              <w:jc w:val="center"/>
              <w:rPr>
                <w:rFonts w:cs="Arial"/>
                <w:b/>
                <w:bCs/>
                <w:sz w:val="20"/>
                <w:szCs w:val="20"/>
              </w:rPr>
            </w:pPr>
            <w:r w:rsidRPr="003F1EDB">
              <w:rPr>
                <w:rFonts w:cs="Arial"/>
                <w:b/>
                <w:bCs/>
                <w:sz w:val="20"/>
                <w:szCs w:val="20"/>
              </w:rPr>
              <w:t>Situação do setor na educação pública local</w:t>
            </w:r>
          </w:p>
          <w:p w:rsidR="00646530" w:rsidRPr="003F1EDB" w:rsidRDefault="00646530" w:rsidP="00B94A15">
            <w:pPr>
              <w:autoSpaceDE w:val="0"/>
              <w:autoSpaceDN w:val="0"/>
              <w:adjustRightInd w:val="0"/>
              <w:spacing w:line="240" w:lineRule="auto"/>
              <w:rPr>
                <w:rFonts w:cs="Arial"/>
                <w:b/>
                <w:bCs/>
                <w:sz w:val="20"/>
                <w:szCs w:val="20"/>
              </w:rPr>
            </w:pPr>
            <w:r w:rsidRPr="003F1EDB">
              <w:rPr>
                <w:rFonts w:cs="Arial"/>
                <w:bCs/>
                <w:sz w:val="20"/>
                <w:szCs w:val="20"/>
              </w:rPr>
              <w:t>As escolas públicas municipais não têm, incluídas em suas disciplinas, questões relacionadas aos sistemas de saneamento básico. Ocorrem apenas iniciativas isoladas de algumas escolas buscando a conscientização dos alunos sobre o tema.</w:t>
            </w:r>
          </w:p>
        </w:tc>
        <w:tc>
          <w:tcPr>
            <w:tcW w:w="0" w:type="auto"/>
            <w:tcBorders>
              <w:top w:val="single" w:sz="4" w:space="0" w:color="auto"/>
              <w:left w:val="single" w:sz="4" w:space="0" w:color="auto"/>
              <w:bottom w:val="single" w:sz="4" w:space="0" w:color="auto"/>
              <w:right w:val="single" w:sz="4" w:space="0" w:color="auto"/>
            </w:tcBorders>
          </w:tcPr>
          <w:p w:rsidR="00646530" w:rsidRPr="003F1EDB" w:rsidRDefault="00646530" w:rsidP="00B94A15">
            <w:pPr>
              <w:autoSpaceDE w:val="0"/>
              <w:autoSpaceDN w:val="0"/>
              <w:adjustRightInd w:val="0"/>
              <w:spacing w:line="240" w:lineRule="auto"/>
              <w:jc w:val="center"/>
              <w:rPr>
                <w:rFonts w:cs="Arial"/>
                <w:b/>
                <w:bCs/>
                <w:sz w:val="20"/>
                <w:szCs w:val="20"/>
              </w:rPr>
            </w:pPr>
            <w:r w:rsidRPr="003F1EDB">
              <w:rPr>
                <w:rFonts w:cs="Arial"/>
                <w:b/>
                <w:bCs/>
                <w:sz w:val="20"/>
                <w:szCs w:val="20"/>
              </w:rPr>
              <w:t>Situação do setor na educação pública local</w:t>
            </w:r>
          </w:p>
          <w:p w:rsidR="00646530" w:rsidRPr="003F1EDB" w:rsidRDefault="00646530" w:rsidP="00B94A15">
            <w:pPr>
              <w:autoSpaceDE w:val="0"/>
              <w:autoSpaceDN w:val="0"/>
              <w:adjustRightInd w:val="0"/>
              <w:spacing w:line="240" w:lineRule="auto"/>
              <w:rPr>
                <w:rFonts w:cs="Arial"/>
                <w:bCs/>
                <w:sz w:val="20"/>
                <w:szCs w:val="20"/>
              </w:rPr>
            </w:pPr>
            <w:r w:rsidRPr="003F1EDB">
              <w:rPr>
                <w:rFonts w:cs="Arial"/>
                <w:bCs/>
                <w:sz w:val="20"/>
                <w:szCs w:val="20"/>
              </w:rPr>
              <w:t>Questões relacionadas aos quatro sistemas do saneamento básico são tratadas nas disciplinas das escolas públicas do município, incluindo iniciativas para promover a economia de água pelos usuários.</w:t>
            </w:r>
          </w:p>
        </w:tc>
      </w:tr>
    </w:tbl>
    <w:p w:rsidR="00CE0D96" w:rsidRDefault="00CE0D96" w:rsidP="00646530">
      <w:pPr>
        <w:spacing w:before="120" w:after="120"/>
        <w:ind w:firstLine="708"/>
        <w:contextualSpacing/>
        <w:rPr>
          <w:rFonts w:cs="Arial"/>
          <w:szCs w:val="24"/>
          <w:lang w:eastAsia="pt-BR"/>
        </w:rPr>
      </w:pPr>
    </w:p>
    <w:p w:rsidR="00646530" w:rsidRPr="00DD1335" w:rsidRDefault="00646530" w:rsidP="00646530">
      <w:pPr>
        <w:spacing w:before="120" w:after="120"/>
        <w:ind w:firstLine="708"/>
        <w:contextualSpacing/>
        <w:rPr>
          <w:rFonts w:cs="Arial"/>
          <w:szCs w:val="24"/>
          <w:lang w:eastAsia="pt-BR"/>
        </w:rPr>
      </w:pPr>
      <w:r w:rsidRPr="00DD1335">
        <w:rPr>
          <w:rFonts w:cs="Arial"/>
          <w:szCs w:val="24"/>
          <w:lang w:eastAsia="pt-BR"/>
        </w:rPr>
        <w:t xml:space="preserve">A construção dos cenários futuros para o setor de Saneamento Básico possibilitou à equipe conhecer, com certo nível de abstração, possíveis situações a serem vivenciadas pelo município, sendo que o cenário normativo, por ser o mais eficiente para conduzir os atores da política de saneamento ao sistema desejado, </w:t>
      </w:r>
      <w:r>
        <w:rPr>
          <w:rFonts w:cs="Arial"/>
          <w:szCs w:val="24"/>
          <w:lang w:eastAsia="pt-BR"/>
        </w:rPr>
        <w:t>foi</w:t>
      </w:r>
      <w:r w:rsidRPr="00DD1335">
        <w:rPr>
          <w:rFonts w:cs="Arial"/>
          <w:szCs w:val="24"/>
          <w:lang w:eastAsia="pt-BR"/>
        </w:rPr>
        <w:t xml:space="preserve"> </w:t>
      </w:r>
      <w:r w:rsidRPr="00DD1335">
        <w:rPr>
          <w:rFonts w:cs="Arial"/>
          <w:szCs w:val="24"/>
          <w:lang w:eastAsia="pt-BR"/>
        </w:rPr>
        <w:lastRenderedPageBreak/>
        <w:t>utilizado como referência para o estabelecimento dos objetivos e metas</w:t>
      </w:r>
      <w:r>
        <w:rPr>
          <w:rFonts w:cs="Arial"/>
          <w:szCs w:val="24"/>
          <w:lang w:eastAsia="pt-BR"/>
        </w:rPr>
        <w:t xml:space="preserve"> que, por sua vez, embasarão </w:t>
      </w:r>
      <w:r w:rsidRPr="00DD1335">
        <w:rPr>
          <w:rFonts w:cs="Arial"/>
          <w:szCs w:val="24"/>
          <w:lang w:eastAsia="pt-BR"/>
        </w:rPr>
        <w:t>a proposição de programas e ações neste Plano Municipal de S</w:t>
      </w:r>
      <w:r>
        <w:rPr>
          <w:rFonts w:cs="Arial"/>
          <w:szCs w:val="24"/>
          <w:lang w:eastAsia="pt-BR"/>
        </w:rPr>
        <w:t>aneamento Básico (PMSB).</w:t>
      </w:r>
    </w:p>
    <w:p w:rsidR="00646530" w:rsidRDefault="00646530" w:rsidP="00646530">
      <w:pPr>
        <w:ind w:firstLine="708"/>
        <w:rPr>
          <w:rFonts w:cs="Arial"/>
          <w:szCs w:val="24"/>
          <w:lang w:eastAsia="pt-BR"/>
        </w:rPr>
      </w:pPr>
      <w:r w:rsidRPr="00DD1335">
        <w:rPr>
          <w:rFonts w:cs="Arial"/>
          <w:szCs w:val="24"/>
          <w:lang w:eastAsia="pt-BR"/>
        </w:rPr>
        <w:t>Ressalta-se que, além do cenário de referência, os objetivos e metas apresentados neste PMSB também foram propostos com base no diagnóstico técnico-participativo elaborado pela equipe técnica e gestores municipais.</w:t>
      </w:r>
    </w:p>
    <w:p w:rsidR="00646530" w:rsidRPr="00697CB3" w:rsidRDefault="00646530" w:rsidP="002828C8">
      <w:pPr>
        <w:pStyle w:val="Ttulo3"/>
      </w:pPr>
      <w:bookmarkStart w:id="682" w:name="_Toc484422549"/>
      <w:bookmarkStart w:id="683" w:name="_Toc484532462"/>
      <w:bookmarkStart w:id="684" w:name="_Toc497469081"/>
      <w:r w:rsidRPr="00697CB3">
        <w:t>Objetivos e metas</w:t>
      </w:r>
      <w:bookmarkEnd w:id="682"/>
      <w:bookmarkEnd w:id="683"/>
      <w:bookmarkEnd w:id="684"/>
    </w:p>
    <w:p w:rsidR="00646530" w:rsidRPr="00DD1335" w:rsidRDefault="00646530" w:rsidP="00646530">
      <w:pPr>
        <w:spacing w:before="120" w:after="120"/>
        <w:ind w:firstLine="708"/>
        <w:contextualSpacing/>
        <w:rPr>
          <w:rFonts w:cs="Arial"/>
          <w:szCs w:val="24"/>
          <w:lang w:eastAsia="pt-BR"/>
        </w:rPr>
      </w:pPr>
      <w:r w:rsidRPr="00DD1335">
        <w:rPr>
          <w:rFonts w:cs="Arial"/>
          <w:szCs w:val="24"/>
          <w:lang w:eastAsia="pt-BR"/>
        </w:rPr>
        <w:t xml:space="preserve">À semelhança de outras políticas públicas, o presente PMSB não é estático, devendo, sempre que necessário, sofrer alterações e adaptações, o que o torna um instrumento forte, norteador, porém flexível, capaz de acompanhar as reais demandas municipais para o fornecimento democrático dos serviços de saneamento. </w:t>
      </w:r>
    </w:p>
    <w:p w:rsidR="00646530" w:rsidRPr="00DD1335" w:rsidRDefault="00646530" w:rsidP="00646530">
      <w:pPr>
        <w:spacing w:before="120" w:after="120"/>
        <w:ind w:firstLine="708"/>
        <w:contextualSpacing/>
        <w:rPr>
          <w:rFonts w:cs="Arial"/>
          <w:szCs w:val="24"/>
          <w:lang w:eastAsia="pt-BR"/>
        </w:rPr>
      </w:pPr>
      <w:r w:rsidRPr="00DD1335">
        <w:rPr>
          <w:rFonts w:cs="Arial"/>
          <w:szCs w:val="24"/>
          <w:lang w:eastAsia="pt-BR"/>
        </w:rPr>
        <w:t xml:space="preserve">São premissas básicas assumidas por este Plano, dentro do horizonte de planejamento predeterminado: os objetivos da universalização do acesso ao saneamento básico de toda a população do território municipal; a articulação com as políticas de desenvolvimento que tenham como foco o combate à pobreza; o uso sustentável dos recursos hídricos; a proteção do meio ambiente; a promoção da saúde e o bem-estar da população. </w:t>
      </w:r>
      <w:r>
        <w:rPr>
          <w:rFonts w:cs="Arial"/>
          <w:szCs w:val="24"/>
          <w:lang w:eastAsia="pt-BR"/>
        </w:rPr>
        <w:t xml:space="preserve">Além disso, também </w:t>
      </w:r>
      <w:r w:rsidRPr="00DD1335">
        <w:rPr>
          <w:rFonts w:cs="Arial"/>
          <w:szCs w:val="24"/>
          <w:lang w:eastAsia="pt-BR"/>
        </w:rPr>
        <w:t xml:space="preserve">é objetivo do PMSB assegurar uma gestão racional da demanda por saneamento básico no município como um todo (urbano e rural) em função da garantia de sustentabilidade econômico-financeira considerada viável, inclusive mediante a remuneração pela cobrança dos serviços. Todos esses critérios </w:t>
      </w:r>
      <w:r>
        <w:rPr>
          <w:rFonts w:cs="Arial"/>
          <w:szCs w:val="24"/>
          <w:lang w:eastAsia="pt-BR"/>
        </w:rPr>
        <w:t>foram</w:t>
      </w:r>
      <w:r w:rsidRPr="00DD1335">
        <w:rPr>
          <w:rFonts w:cs="Arial"/>
          <w:szCs w:val="24"/>
          <w:lang w:eastAsia="pt-BR"/>
        </w:rPr>
        <w:t xml:space="preserve"> adotados na configuração do cenário normativo.</w:t>
      </w:r>
    </w:p>
    <w:p w:rsidR="00646530" w:rsidRPr="00DD1335" w:rsidRDefault="00646530" w:rsidP="00646530">
      <w:pPr>
        <w:ind w:firstLine="708"/>
        <w:rPr>
          <w:rFonts w:cs="Arial"/>
          <w:szCs w:val="24"/>
          <w:lang w:eastAsia="pt-BR"/>
        </w:rPr>
      </w:pPr>
      <w:r w:rsidRPr="00DD1335">
        <w:rPr>
          <w:rFonts w:cs="Arial"/>
          <w:szCs w:val="24"/>
          <w:lang w:eastAsia="pt-BR"/>
        </w:rPr>
        <w:t>Para se alcançar tal patamar de funcionalidade, faz-se necessário implementar um arranjo institucional para o saneamento básico municipal que seja regulado e fiscalizado por entidade competente, que mantenha mecanismos de controle social e que possua instrumentos eficazes para a gestão administrativa, operacional e ambiental.</w:t>
      </w:r>
    </w:p>
    <w:p w:rsidR="00646530" w:rsidRPr="00DD1335" w:rsidRDefault="00646530" w:rsidP="00646530">
      <w:pPr>
        <w:spacing w:before="120" w:after="120"/>
        <w:ind w:firstLine="708"/>
        <w:contextualSpacing/>
        <w:rPr>
          <w:rFonts w:cs="Arial"/>
          <w:szCs w:val="24"/>
          <w:lang w:eastAsia="pt-BR"/>
        </w:rPr>
      </w:pPr>
      <w:r w:rsidRPr="00DD1335">
        <w:rPr>
          <w:rFonts w:cs="Arial"/>
          <w:szCs w:val="24"/>
          <w:lang w:eastAsia="pt-BR"/>
        </w:rPr>
        <w:t xml:space="preserve">Vale ainda destacar que </w:t>
      </w:r>
      <w:r w:rsidRPr="00DD1335">
        <w:rPr>
          <w:rFonts w:cs="Arial"/>
          <w:i/>
          <w:szCs w:val="24"/>
          <w:lang w:eastAsia="pt-BR"/>
        </w:rPr>
        <w:t>objetivo</w:t>
      </w:r>
      <w:r w:rsidRPr="00DD1335">
        <w:rPr>
          <w:rFonts w:cs="Arial"/>
          <w:szCs w:val="24"/>
          <w:lang w:eastAsia="pt-BR"/>
        </w:rPr>
        <w:t xml:space="preserve"> e </w:t>
      </w:r>
      <w:r w:rsidRPr="00DD1335">
        <w:rPr>
          <w:rFonts w:cs="Arial"/>
          <w:i/>
          <w:szCs w:val="24"/>
          <w:lang w:eastAsia="pt-BR"/>
        </w:rPr>
        <w:t>meta</w:t>
      </w:r>
      <w:r w:rsidRPr="00DD1335">
        <w:rPr>
          <w:rFonts w:cs="Arial"/>
          <w:szCs w:val="24"/>
          <w:lang w:eastAsia="pt-BR"/>
        </w:rPr>
        <w:t xml:space="preserve"> são conceitos diferentes. Objetivo é o propósito geral ou a descrição qualitativa daquilo que se pretende alcançar. Já meta é uma definição quantitativa do que se pretende alcançar, sempre acompanhada de uma indicação do prazo que se necessita para fazê-lo.</w:t>
      </w:r>
    </w:p>
    <w:p w:rsidR="00646530" w:rsidRPr="00DD1335" w:rsidRDefault="00646530" w:rsidP="00646530">
      <w:pPr>
        <w:spacing w:before="120" w:after="120"/>
        <w:ind w:firstLine="708"/>
        <w:contextualSpacing/>
        <w:rPr>
          <w:rFonts w:cs="Arial"/>
          <w:szCs w:val="24"/>
          <w:lang w:eastAsia="pt-BR"/>
        </w:rPr>
      </w:pPr>
      <w:r w:rsidRPr="00DD1335">
        <w:rPr>
          <w:rFonts w:cs="Arial"/>
          <w:szCs w:val="24"/>
          <w:lang w:eastAsia="pt-BR"/>
        </w:rPr>
        <w:lastRenderedPageBreak/>
        <w:t xml:space="preserve">Traçado </w:t>
      </w:r>
      <w:r>
        <w:rPr>
          <w:rFonts w:cs="Arial"/>
          <w:szCs w:val="24"/>
          <w:lang w:eastAsia="pt-BR"/>
        </w:rPr>
        <w:t>um</w:t>
      </w:r>
      <w:r w:rsidRPr="00DD1335">
        <w:rPr>
          <w:rFonts w:cs="Arial"/>
          <w:szCs w:val="24"/>
          <w:lang w:eastAsia="pt-BR"/>
        </w:rPr>
        <w:t xml:space="preserve"> objetivo específico, </w:t>
      </w:r>
      <w:r>
        <w:rPr>
          <w:rFonts w:cs="Arial"/>
          <w:szCs w:val="24"/>
          <w:lang w:eastAsia="pt-BR"/>
        </w:rPr>
        <w:t>é</w:t>
      </w:r>
      <w:r w:rsidRPr="00DD1335">
        <w:rPr>
          <w:rFonts w:cs="Arial"/>
          <w:szCs w:val="24"/>
          <w:lang w:eastAsia="pt-BR"/>
        </w:rPr>
        <w:t xml:space="preserve"> necessário o estabelecimento de uma ou mais metas para alcançá-lo. Devido ao caráter quantitativo da meta, através do monitoramento dos parâmetros envolvidos</w:t>
      </w:r>
      <w:r>
        <w:rPr>
          <w:rFonts w:cs="Arial"/>
          <w:szCs w:val="24"/>
          <w:lang w:eastAsia="pt-BR"/>
        </w:rPr>
        <w:t>,</w:t>
      </w:r>
      <w:r w:rsidRPr="00DD1335">
        <w:rPr>
          <w:rFonts w:cs="Arial"/>
          <w:szCs w:val="24"/>
          <w:lang w:eastAsia="pt-BR"/>
        </w:rPr>
        <w:t xml:space="preserve"> pode-se concluir sobre o alcance, ou não, de determinado objetivo.</w:t>
      </w:r>
    </w:p>
    <w:p w:rsidR="00646530" w:rsidRPr="00DD1335" w:rsidRDefault="00646530" w:rsidP="00646530">
      <w:pPr>
        <w:spacing w:before="120" w:after="120"/>
        <w:ind w:firstLine="708"/>
        <w:contextualSpacing/>
        <w:rPr>
          <w:rFonts w:cs="Arial"/>
          <w:szCs w:val="24"/>
        </w:rPr>
      </w:pPr>
      <w:r>
        <w:rPr>
          <w:rFonts w:cs="Arial"/>
          <w:szCs w:val="24"/>
          <w:lang w:eastAsia="pt-BR"/>
        </w:rPr>
        <w:t>T</w:t>
      </w:r>
      <w:r w:rsidRPr="00DD1335">
        <w:rPr>
          <w:rFonts w:cs="Arial"/>
          <w:szCs w:val="24"/>
          <w:lang w:eastAsia="pt-BR"/>
        </w:rPr>
        <w:t xml:space="preserve">odos os objetivos </w:t>
      </w:r>
      <w:r>
        <w:rPr>
          <w:rFonts w:cs="Arial"/>
          <w:szCs w:val="24"/>
          <w:lang w:eastAsia="pt-BR"/>
        </w:rPr>
        <w:t xml:space="preserve">foram </w:t>
      </w:r>
      <w:r w:rsidRPr="00DD1335">
        <w:rPr>
          <w:rFonts w:cs="Arial"/>
          <w:szCs w:val="24"/>
          <w:lang w:eastAsia="pt-BR"/>
        </w:rPr>
        <w:t xml:space="preserve">estabelecidos para serem alcançados no final do horizonte de planejamento, que neste caso </w:t>
      </w:r>
      <w:r w:rsidRPr="00001A99">
        <w:rPr>
          <w:rFonts w:cs="Arial"/>
          <w:szCs w:val="24"/>
          <w:lang w:eastAsia="pt-BR"/>
        </w:rPr>
        <w:t xml:space="preserve">é de vinte anos. </w:t>
      </w:r>
      <w:r w:rsidRPr="00001A99">
        <w:rPr>
          <w:rFonts w:cs="Arial"/>
          <w:szCs w:val="24"/>
        </w:rPr>
        <w:t>Dentro</w:t>
      </w:r>
      <w:r w:rsidRPr="00DD1335">
        <w:rPr>
          <w:rFonts w:cs="Arial"/>
          <w:szCs w:val="24"/>
        </w:rPr>
        <w:t xml:space="preserve"> desse período maior, os objetivos e metas deverão ser implantados em prazos distintos, quais sejam:</w:t>
      </w:r>
    </w:p>
    <w:p w:rsidR="00646530" w:rsidRPr="00DD1335" w:rsidRDefault="00646530" w:rsidP="00646530">
      <w:pPr>
        <w:numPr>
          <w:ilvl w:val="0"/>
          <w:numId w:val="10"/>
        </w:numPr>
        <w:autoSpaceDE w:val="0"/>
        <w:autoSpaceDN w:val="0"/>
        <w:adjustRightInd w:val="0"/>
        <w:ind w:hanging="357"/>
        <w:rPr>
          <w:rFonts w:cs="Arial"/>
          <w:szCs w:val="24"/>
          <w:lang w:eastAsia="pt-BR"/>
        </w:rPr>
      </w:pPr>
      <w:r w:rsidRPr="00DD1335">
        <w:rPr>
          <w:rFonts w:cs="Arial"/>
          <w:szCs w:val="24"/>
          <w:lang w:eastAsia="pt-BR"/>
        </w:rPr>
        <w:t>Prazo de ações imediatas ou emergenciais (3 anos – até 3 anos após aprovação do PMSB).</w:t>
      </w:r>
    </w:p>
    <w:p w:rsidR="00646530" w:rsidRPr="00DD1335" w:rsidRDefault="00646530" w:rsidP="00646530">
      <w:pPr>
        <w:numPr>
          <w:ilvl w:val="0"/>
          <w:numId w:val="10"/>
        </w:numPr>
        <w:autoSpaceDE w:val="0"/>
        <w:autoSpaceDN w:val="0"/>
        <w:adjustRightInd w:val="0"/>
        <w:ind w:hanging="357"/>
        <w:rPr>
          <w:rFonts w:cs="Arial"/>
          <w:szCs w:val="24"/>
          <w:lang w:eastAsia="pt-BR"/>
        </w:rPr>
      </w:pPr>
      <w:r w:rsidRPr="00DD1335">
        <w:rPr>
          <w:rFonts w:cs="Arial"/>
          <w:szCs w:val="24"/>
          <w:lang w:eastAsia="pt-BR"/>
        </w:rPr>
        <w:t>Curto prazo (5 anos – 4º ao 8º ano).</w:t>
      </w:r>
    </w:p>
    <w:p w:rsidR="00646530" w:rsidRPr="00001A99" w:rsidRDefault="00646530" w:rsidP="00646530">
      <w:pPr>
        <w:numPr>
          <w:ilvl w:val="0"/>
          <w:numId w:val="10"/>
        </w:numPr>
        <w:autoSpaceDE w:val="0"/>
        <w:autoSpaceDN w:val="0"/>
        <w:adjustRightInd w:val="0"/>
        <w:ind w:hanging="357"/>
        <w:rPr>
          <w:rFonts w:cs="Arial"/>
          <w:szCs w:val="24"/>
          <w:lang w:eastAsia="pt-BR"/>
        </w:rPr>
      </w:pPr>
      <w:r w:rsidRPr="00001A99">
        <w:rPr>
          <w:rFonts w:cs="Arial"/>
          <w:szCs w:val="24"/>
          <w:lang w:eastAsia="pt-BR"/>
        </w:rPr>
        <w:t>Médio prazo (4 anos – 9º ao 12º ).</w:t>
      </w:r>
    </w:p>
    <w:p w:rsidR="00646530" w:rsidRPr="00001A99" w:rsidRDefault="00646530" w:rsidP="00646530">
      <w:pPr>
        <w:numPr>
          <w:ilvl w:val="0"/>
          <w:numId w:val="10"/>
        </w:numPr>
        <w:autoSpaceDE w:val="0"/>
        <w:autoSpaceDN w:val="0"/>
        <w:adjustRightInd w:val="0"/>
        <w:ind w:hanging="357"/>
        <w:rPr>
          <w:rFonts w:cs="Arial"/>
          <w:szCs w:val="24"/>
          <w:lang w:eastAsia="pt-BR"/>
        </w:rPr>
      </w:pPr>
      <w:r w:rsidRPr="00001A99">
        <w:rPr>
          <w:rFonts w:cs="Arial"/>
          <w:szCs w:val="24"/>
          <w:lang w:eastAsia="pt-BR"/>
        </w:rPr>
        <w:t>Longo prazo (8 anos – 13º ao 20º ano).</w:t>
      </w:r>
    </w:p>
    <w:p w:rsidR="00646530" w:rsidRPr="00001A99" w:rsidRDefault="00646530" w:rsidP="00646530">
      <w:pPr>
        <w:spacing w:before="120" w:after="120"/>
        <w:ind w:firstLine="708"/>
        <w:contextualSpacing/>
        <w:rPr>
          <w:rFonts w:cs="Arial"/>
          <w:szCs w:val="24"/>
          <w:lang w:eastAsia="pt-BR"/>
        </w:rPr>
      </w:pPr>
      <w:r w:rsidRPr="00001A99">
        <w:rPr>
          <w:rFonts w:cs="Arial"/>
          <w:szCs w:val="24"/>
        </w:rPr>
        <w:t xml:space="preserve">A distribuição das metas ao longo do horizonte do Plano tende a obedecer às condições de pré-requisição, isto é, a meta anterior deve ser alcançada para viabilizar o programa posterior, e a uma hierarquização de metas construídas pelos gestores e pela população. </w:t>
      </w:r>
      <w:r w:rsidRPr="00001A99">
        <w:rPr>
          <w:rFonts w:cs="Arial"/>
          <w:szCs w:val="24"/>
          <w:lang w:eastAsia="pt-BR"/>
        </w:rPr>
        <w:t>Destaca-se que as metas devem ser entregues nos prazos indicados e, a partir daí, deve-se considerar que toda evolução alcançada seja mantida até o fim do horizonte de planejamento, a menos que se indique o contrário.</w:t>
      </w:r>
    </w:p>
    <w:p w:rsidR="00646530" w:rsidRPr="00001A99" w:rsidRDefault="00646530" w:rsidP="00646530">
      <w:pPr>
        <w:spacing w:before="120" w:after="120"/>
        <w:ind w:firstLine="708"/>
        <w:contextualSpacing/>
        <w:rPr>
          <w:rFonts w:cs="Arial"/>
          <w:szCs w:val="24"/>
          <w:lang w:eastAsia="pt-BR"/>
        </w:rPr>
      </w:pPr>
      <w:r w:rsidRPr="00001A99">
        <w:rPr>
          <w:rFonts w:cs="Arial"/>
          <w:szCs w:val="24"/>
          <w:lang w:eastAsia="pt-BR"/>
        </w:rPr>
        <w:t>Os objetivos e metas propostos para o sistema de saneamento com base no diagnóstico de Córrego Novo e no cenário normativ</w:t>
      </w:r>
      <w:r w:rsidR="00A90214">
        <w:rPr>
          <w:rFonts w:cs="Arial"/>
          <w:szCs w:val="24"/>
          <w:lang w:eastAsia="pt-BR"/>
        </w:rPr>
        <w:t>o estabelecido pela Matriz SWOT</w:t>
      </w:r>
      <w:r w:rsidRPr="00001A99">
        <w:rPr>
          <w:rFonts w:cs="Arial"/>
          <w:szCs w:val="24"/>
          <w:lang w:eastAsia="pt-BR"/>
        </w:rPr>
        <w:t xml:space="preserve"> são descritos a seguir.</w:t>
      </w:r>
    </w:p>
    <w:p w:rsidR="00646530" w:rsidRPr="00001A99" w:rsidRDefault="00646530" w:rsidP="00646530">
      <w:pPr>
        <w:ind w:firstLine="851"/>
        <w:rPr>
          <w:rFonts w:ascii="Calibri" w:hAnsi="Calibri" w:cs="Arial"/>
          <w:sz w:val="22"/>
          <w:szCs w:val="24"/>
        </w:rPr>
      </w:pPr>
    </w:p>
    <w:p w:rsidR="00646530" w:rsidRPr="00001A99" w:rsidRDefault="00646530" w:rsidP="00646530">
      <w:pPr>
        <w:numPr>
          <w:ilvl w:val="0"/>
          <w:numId w:val="6"/>
        </w:numPr>
        <w:ind w:left="2127" w:hanging="1560"/>
        <w:contextualSpacing/>
        <w:rPr>
          <w:rFonts w:eastAsia="Times New Roman" w:cs="Arial"/>
          <w:b/>
          <w:szCs w:val="24"/>
          <w:lang w:eastAsia="pt-BR"/>
        </w:rPr>
      </w:pPr>
      <w:r w:rsidRPr="00001A99">
        <w:rPr>
          <w:rFonts w:eastAsia="Times New Roman" w:cs="Arial"/>
          <w:b/>
          <w:bCs/>
          <w:szCs w:val="24"/>
          <w:lang w:eastAsia="pt-BR"/>
        </w:rPr>
        <w:t>Estabelecer um arranjo institucional capaz de articular os quatro setores do saneamento básico municipal sob uma única supervisão.</w:t>
      </w:r>
    </w:p>
    <w:p w:rsidR="00646530" w:rsidRPr="00001A99" w:rsidRDefault="00646530" w:rsidP="00646530">
      <w:pPr>
        <w:numPr>
          <w:ilvl w:val="0"/>
          <w:numId w:val="6"/>
        </w:numPr>
        <w:ind w:left="2127" w:hanging="1560"/>
        <w:contextualSpacing/>
        <w:rPr>
          <w:rFonts w:eastAsia="Times New Roman" w:cs="Arial"/>
          <w:b/>
          <w:szCs w:val="24"/>
          <w:lang w:eastAsia="pt-BR"/>
        </w:rPr>
      </w:pPr>
      <w:r w:rsidRPr="00001A99">
        <w:rPr>
          <w:rFonts w:eastAsia="Times New Roman" w:cs="Arial"/>
          <w:b/>
          <w:szCs w:val="24"/>
          <w:lang w:eastAsia="pt-BR"/>
        </w:rPr>
        <w:t>Alcançar, no município, a universalidade do acesso aos quatro sistemas do saneamento básico.</w:t>
      </w:r>
    </w:p>
    <w:p w:rsidR="00646530" w:rsidRPr="00001A99" w:rsidRDefault="00646530" w:rsidP="00646530">
      <w:pPr>
        <w:numPr>
          <w:ilvl w:val="0"/>
          <w:numId w:val="6"/>
        </w:numPr>
        <w:ind w:left="2127" w:hanging="1560"/>
        <w:contextualSpacing/>
        <w:rPr>
          <w:rFonts w:eastAsia="Times New Roman" w:cs="Arial"/>
          <w:b/>
          <w:szCs w:val="24"/>
          <w:lang w:eastAsia="pt-BR"/>
        </w:rPr>
      </w:pPr>
      <w:r w:rsidRPr="00001A99">
        <w:rPr>
          <w:rFonts w:eastAsia="Times New Roman" w:cs="Arial"/>
          <w:b/>
          <w:szCs w:val="20"/>
          <w:lang w:eastAsia="pt-BR"/>
        </w:rPr>
        <w:t>Alcançar a sustentabilidade econômico-financeira para o setor do saneamento no município.</w:t>
      </w:r>
    </w:p>
    <w:p w:rsidR="00646530" w:rsidRPr="00001A99" w:rsidRDefault="00646530" w:rsidP="00646530">
      <w:pPr>
        <w:numPr>
          <w:ilvl w:val="0"/>
          <w:numId w:val="6"/>
        </w:numPr>
        <w:ind w:left="2127" w:hanging="1560"/>
        <w:contextualSpacing/>
        <w:rPr>
          <w:rFonts w:eastAsia="Times New Roman" w:cs="Arial"/>
          <w:b/>
          <w:szCs w:val="24"/>
          <w:lang w:eastAsia="pt-BR"/>
        </w:rPr>
      </w:pPr>
      <w:r w:rsidRPr="00001A99">
        <w:rPr>
          <w:rFonts w:eastAsia="Times New Roman" w:cs="Arial"/>
          <w:b/>
          <w:bCs/>
          <w:szCs w:val="24"/>
          <w:lang w:eastAsia="pt-BR"/>
        </w:rPr>
        <w:t>Submeter os quatro eixos do saneamento básico municipal a uma entidade reguladora, cujas atribuições são definidas pela Lei nº 11.445/07 e pelo decreto que a regulamenta.</w:t>
      </w:r>
    </w:p>
    <w:p w:rsidR="00646530" w:rsidRPr="00001A99" w:rsidRDefault="00646530" w:rsidP="00646530">
      <w:pPr>
        <w:numPr>
          <w:ilvl w:val="0"/>
          <w:numId w:val="6"/>
        </w:numPr>
        <w:ind w:left="2127" w:hanging="1560"/>
        <w:contextualSpacing/>
        <w:rPr>
          <w:rFonts w:eastAsia="Times New Roman" w:cs="Arial"/>
          <w:b/>
          <w:bCs/>
          <w:szCs w:val="24"/>
          <w:lang w:eastAsia="pt-BR"/>
        </w:rPr>
      </w:pPr>
      <w:r w:rsidRPr="00001A99">
        <w:rPr>
          <w:rFonts w:eastAsia="Times New Roman" w:cs="Arial"/>
          <w:b/>
          <w:bCs/>
          <w:szCs w:val="24"/>
          <w:lang w:eastAsia="pt-BR"/>
        </w:rPr>
        <w:lastRenderedPageBreak/>
        <w:t>Apresentar conformidade com a legislação ambiental vigente.</w:t>
      </w:r>
    </w:p>
    <w:p w:rsidR="00646530" w:rsidRPr="00001A99" w:rsidRDefault="00646530" w:rsidP="00646530">
      <w:pPr>
        <w:numPr>
          <w:ilvl w:val="0"/>
          <w:numId w:val="6"/>
        </w:numPr>
        <w:ind w:left="2127" w:hanging="1560"/>
        <w:contextualSpacing/>
        <w:rPr>
          <w:rFonts w:eastAsia="Times New Roman" w:cs="Arial"/>
          <w:b/>
          <w:bCs/>
          <w:szCs w:val="24"/>
          <w:lang w:eastAsia="pt-BR"/>
        </w:rPr>
      </w:pPr>
      <w:r w:rsidRPr="00001A99">
        <w:rPr>
          <w:rFonts w:eastAsia="Times New Roman" w:cs="Arial"/>
          <w:b/>
          <w:bCs/>
          <w:szCs w:val="24"/>
          <w:lang w:eastAsia="pt-BR"/>
        </w:rPr>
        <w:t>Introduzir, na gestão do saneamento básico municipal, mecanismos que garantam o acesso a informações e a participação da população na formulação da política local de saneamento básico, além de promover avaliações relacionadas aos serviços prestados.</w:t>
      </w:r>
    </w:p>
    <w:p w:rsidR="00646530" w:rsidRPr="00001A99" w:rsidRDefault="00646530" w:rsidP="00646530">
      <w:pPr>
        <w:numPr>
          <w:ilvl w:val="0"/>
          <w:numId w:val="6"/>
        </w:numPr>
        <w:ind w:left="2127" w:hanging="1560"/>
        <w:contextualSpacing/>
        <w:rPr>
          <w:rFonts w:eastAsia="Times New Roman" w:cs="Arial"/>
          <w:b/>
          <w:bCs/>
          <w:szCs w:val="24"/>
          <w:lang w:eastAsia="pt-BR"/>
        </w:rPr>
      </w:pPr>
      <w:r w:rsidRPr="00001A99">
        <w:rPr>
          <w:rFonts w:eastAsia="Times New Roman" w:cs="Arial"/>
          <w:b/>
          <w:bCs/>
          <w:szCs w:val="24"/>
          <w:lang w:eastAsia="pt-BR"/>
        </w:rPr>
        <w:t>Incentivar que escolas públicas do município tratem de questões relacionadas aos quatro sistemas do saneamento básico em suas disciplinas oficiais, incluindo conteúdos que promovam a economia de água pelos usuários.</w:t>
      </w:r>
    </w:p>
    <w:p w:rsidR="00646530" w:rsidRPr="00697CB3" w:rsidRDefault="00646530" w:rsidP="00646530">
      <w:pPr>
        <w:spacing w:before="120" w:after="120"/>
        <w:ind w:firstLine="708"/>
        <w:contextualSpacing/>
        <w:rPr>
          <w:rFonts w:cs="Arial"/>
          <w:szCs w:val="24"/>
          <w:lang w:eastAsia="pt-BR"/>
        </w:rPr>
      </w:pPr>
      <w:r w:rsidRPr="00697CB3">
        <w:rPr>
          <w:rFonts w:cs="Arial"/>
          <w:szCs w:val="24"/>
          <w:lang w:eastAsia="pt-BR"/>
        </w:rPr>
        <w:t xml:space="preserve">Na </w:t>
      </w:r>
      <w:r w:rsidRPr="00697CB3">
        <w:rPr>
          <w:rFonts w:cs="Arial"/>
          <w:szCs w:val="24"/>
          <w:lang w:eastAsia="pt-BR"/>
        </w:rPr>
        <w:fldChar w:fldCharType="begin"/>
      </w:r>
      <w:r w:rsidRPr="00697CB3">
        <w:rPr>
          <w:rFonts w:cs="Arial"/>
          <w:szCs w:val="24"/>
          <w:lang w:eastAsia="pt-BR"/>
        </w:rPr>
        <w:instrText xml:space="preserve"> REF _Ref484158531 \h  \* MERGEFORMAT </w:instrText>
      </w:r>
      <w:r w:rsidRPr="00697CB3">
        <w:rPr>
          <w:rFonts w:cs="Arial"/>
          <w:szCs w:val="24"/>
          <w:lang w:eastAsia="pt-BR"/>
        </w:rPr>
      </w:r>
      <w:r w:rsidRPr="00697CB3">
        <w:rPr>
          <w:rFonts w:cs="Arial"/>
          <w:szCs w:val="24"/>
          <w:lang w:eastAsia="pt-BR"/>
        </w:rPr>
        <w:fldChar w:fldCharType="separate"/>
      </w:r>
      <w:r w:rsidR="004D1D76" w:rsidRPr="004D1D76">
        <w:rPr>
          <w:rFonts w:cs="Arial"/>
          <w:szCs w:val="24"/>
          <w:lang w:eastAsia="pt-BR"/>
        </w:rPr>
        <w:t>Tabela 12</w:t>
      </w:r>
      <w:r w:rsidRPr="00697CB3">
        <w:rPr>
          <w:rFonts w:cs="Arial"/>
          <w:szCs w:val="24"/>
          <w:lang w:eastAsia="pt-BR"/>
        </w:rPr>
        <w:fldChar w:fldCharType="end"/>
      </w:r>
      <w:r w:rsidRPr="00697CB3">
        <w:rPr>
          <w:rFonts w:cs="Arial"/>
          <w:szCs w:val="24"/>
          <w:lang w:eastAsia="pt-BR"/>
        </w:rPr>
        <w:t xml:space="preserve"> são apresentadas as metas para cada objetivo proposto de forma sistematizada, além dos prazos de cada meta.</w:t>
      </w:r>
    </w:p>
    <w:p w:rsidR="00646530" w:rsidRPr="00697CB3" w:rsidRDefault="00646530" w:rsidP="00646530">
      <w:pPr>
        <w:spacing w:before="120" w:after="120"/>
        <w:ind w:firstLine="708"/>
        <w:contextualSpacing/>
        <w:rPr>
          <w:rFonts w:cs="Arial"/>
          <w:szCs w:val="24"/>
          <w:lang w:eastAsia="pt-BR"/>
        </w:rPr>
      </w:pPr>
    </w:p>
    <w:p w:rsidR="00646530" w:rsidRDefault="00646530" w:rsidP="00646530">
      <w:pPr>
        <w:spacing w:before="120" w:after="120"/>
        <w:ind w:firstLine="708"/>
        <w:contextualSpacing/>
        <w:rPr>
          <w:rFonts w:cs="Arial"/>
          <w:color w:val="0070C0"/>
          <w:szCs w:val="24"/>
          <w:lang w:eastAsia="pt-BR"/>
        </w:rPr>
        <w:sectPr w:rsidR="00646530" w:rsidSect="00B94A15">
          <w:footerReference w:type="default" r:id="rId60"/>
          <w:pgSz w:w="11906" w:h="16838"/>
          <w:pgMar w:top="1134" w:right="1134" w:bottom="1134" w:left="1418" w:header="709" w:footer="709" w:gutter="0"/>
          <w:cols w:space="708"/>
          <w:docGrid w:linePitch="360"/>
        </w:sectPr>
      </w:pPr>
    </w:p>
    <w:p w:rsidR="00646530" w:rsidRPr="00454782" w:rsidRDefault="00646530" w:rsidP="00646530">
      <w:pPr>
        <w:pStyle w:val="Legenda"/>
        <w:rPr>
          <w:lang w:val="pt-BR" w:eastAsia="pt-BR"/>
        </w:rPr>
      </w:pPr>
      <w:bookmarkStart w:id="685" w:name="_Ref484158531"/>
      <w:bookmarkStart w:id="686" w:name="_Toc484422572"/>
      <w:bookmarkStart w:id="687" w:name="_Toc484532485"/>
      <w:bookmarkStart w:id="688" w:name="_Toc497469214"/>
      <w:r w:rsidRPr="00C4340E">
        <w:lastRenderedPageBreak/>
        <w:t xml:space="preserve">Tabela </w:t>
      </w:r>
      <w:r w:rsidR="00D71C43">
        <w:fldChar w:fldCharType="begin"/>
      </w:r>
      <w:r w:rsidR="00D71C43">
        <w:instrText xml:space="preserve"> SEQ Tabela \* ARABIC </w:instrText>
      </w:r>
      <w:r w:rsidR="00D71C43">
        <w:fldChar w:fldCharType="separate"/>
      </w:r>
      <w:r w:rsidR="004D1D76">
        <w:rPr>
          <w:noProof/>
        </w:rPr>
        <w:t>12</w:t>
      </w:r>
      <w:r w:rsidR="00D71C43">
        <w:rPr>
          <w:noProof/>
        </w:rPr>
        <w:fldChar w:fldCharType="end"/>
      </w:r>
      <w:bookmarkEnd w:id="685"/>
      <w:r w:rsidRPr="00C4340E">
        <w:t xml:space="preserve"> - Objetivos e metas do </w:t>
      </w:r>
      <w:r>
        <w:rPr>
          <w:lang w:val="pt-BR"/>
        </w:rPr>
        <w:t xml:space="preserve">Sistema de Saneamento </w:t>
      </w:r>
      <w:r w:rsidRPr="00454782">
        <w:rPr>
          <w:lang w:val="pt-BR"/>
        </w:rPr>
        <w:t>Básico Municipal</w:t>
      </w:r>
      <w:bookmarkEnd w:id="686"/>
      <w:r>
        <w:rPr>
          <w:lang w:val="pt-BR"/>
        </w:rPr>
        <w:t xml:space="preserve"> de Córrego Novo</w:t>
      </w:r>
      <w:bookmarkEnd w:id="687"/>
      <w:bookmarkEnd w:id="688"/>
    </w:p>
    <w:tbl>
      <w:tblPr>
        <w:tblW w:w="13218"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5648"/>
        <w:gridCol w:w="5583"/>
        <w:gridCol w:w="1987"/>
      </w:tblGrid>
      <w:tr w:rsidR="00975813" w:rsidRPr="00975813" w:rsidTr="0081207B">
        <w:trPr>
          <w:cantSplit/>
          <w:trHeight w:val="113"/>
          <w:tblHeader/>
          <w:jc w:val="center"/>
        </w:trPr>
        <w:tc>
          <w:tcPr>
            <w:tcW w:w="5648" w:type="dxa"/>
            <w:shd w:val="clear" w:color="auto" w:fill="4F81BD"/>
            <w:vAlign w:val="center"/>
            <w:hideMark/>
          </w:tcPr>
          <w:p w:rsidR="00646530" w:rsidRPr="00975813" w:rsidRDefault="00646530" w:rsidP="00B94A15">
            <w:pPr>
              <w:autoSpaceDE w:val="0"/>
              <w:autoSpaceDN w:val="0"/>
              <w:adjustRightInd w:val="0"/>
              <w:spacing w:before="60" w:after="60" w:line="240" w:lineRule="auto"/>
              <w:jc w:val="center"/>
              <w:rPr>
                <w:rFonts w:eastAsia="Times New Roman" w:cs="Arial"/>
                <w:b/>
                <w:bCs/>
                <w:sz w:val="20"/>
                <w:szCs w:val="20"/>
              </w:rPr>
            </w:pPr>
            <w:r w:rsidRPr="00975813">
              <w:rPr>
                <w:rFonts w:eastAsia="Times New Roman" w:cs="Arial"/>
                <w:b/>
                <w:bCs/>
                <w:sz w:val="20"/>
                <w:szCs w:val="20"/>
              </w:rPr>
              <w:t>Objetivo</w:t>
            </w:r>
          </w:p>
        </w:tc>
        <w:tc>
          <w:tcPr>
            <w:tcW w:w="5583" w:type="dxa"/>
            <w:shd w:val="clear" w:color="auto" w:fill="4F81BD"/>
            <w:vAlign w:val="center"/>
            <w:hideMark/>
          </w:tcPr>
          <w:p w:rsidR="00646530" w:rsidRPr="00975813" w:rsidRDefault="00646530" w:rsidP="00B94A15">
            <w:pPr>
              <w:autoSpaceDE w:val="0"/>
              <w:autoSpaceDN w:val="0"/>
              <w:adjustRightInd w:val="0"/>
              <w:spacing w:before="60" w:after="60" w:line="240" w:lineRule="auto"/>
              <w:jc w:val="center"/>
              <w:rPr>
                <w:rFonts w:eastAsia="Times New Roman" w:cs="Arial"/>
                <w:b/>
                <w:bCs/>
                <w:sz w:val="20"/>
                <w:szCs w:val="20"/>
              </w:rPr>
            </w:pPr>
            <w:r w:rsidRPr="00975813">
              <w:rPr>
                <w:rFonts w:eastAsia="Times New Roman" w:cs="Arial"/>
                <w:b/>
                <w:bCs/>
                <w:sz w:val="20"/>
                <w:szCs w:val="20"/>
              </w:rPr>
              <w:t>Metas</w:t>
            </w:r>
          </w:p>
        </w:tc>
        <w:tc>
          <w:tcPr>
            <w:tcW w:w="1987" w:type="dxa"/>
            <w:shd w:val="clear" w:color="auto" w:fill="4F81BD"/>
            <w:vAlign w:val="center"/>
            <w:hideMark/>
          </w:tcPr>
          <w:p w:rsidR="00646530" w:rsidRPr="00975813" w:rsidRDefault="00646530" w:rsidP="00B94A15">
            <w:pPr>
              <w:autoSpaceDE w:val="0"/>
              <w:autoSpaceDN w:val="0"/>
              <w:adjustRightInd w:val="0"/>
              <w:spacing w:before="60" w:after="60" w:line="240" w:lineRule="auto"/>
              <w:jc w:val="center"/>
              <w:rPr>
                <w:rFonts w:eastAsia="Times New Roman" w:cs="Arial"/>
                <w:b/>
                <w:bCs/>
                <w:sz w:val="20"/>
                <w:szCs w:val="20"/>
              </w:rPr>
            </w:pPr>
            <w:r w:rsidRPr="00975813">
              <w:rPr>
                <w:rFonts w:eastAsia="Times New Roman" w:cs="Arial"/>
                <w:b/>
                <w:bCs/>
                <w:sz w:val="20"/>
                <w:szCs w:val="20"/>
              </w:rPr>
              <w:t>Prazo de entrega</w:t>
            </w:r>
          </w:p>
        </w:tc>
      </w:tr>
      <w:tr w:rsidR="00975813" w:rsidRPr="00975813" w:rsidTr="0081207B">
        <w:trPr>
          <w:cantSplit/>
          <w:trHeight w:val="244"/>
          <w:jc w:val="center"/>
        </w:trPr>
        <w:tc>
          <w:tcPr>
            <w:tcW w:w="5648" w:type="dxa"/>
            <w:vMerge w:val="restart"/>
            <w:vAlign w:val="center"/>
          </w:tcPr>
          <w:p w:rsidR="00646530" w:rsidRPr="00975813" w:rsidRDefault="00646530" w:rsidP="00A87269">
            <w:pPr>
              <w:numPr>
                <w:ilvl w:val="0"/>
                <w:numId w:val="33"/>
              </w:numPr>
              <w:spacing w:line="240" w:lineRule="auto"/>
              <w:ind w:left="166" w:hanging="2"/>
              <w:contextualSpacing/>
              <w:jc w:val="left"/>
              <w:rPr>
                <w:rFonts w:eastAsia="Times New Roman" w:cs="Arial"/>
                <w:sz w:val="20"/>
                <w:szCs w:val="20"/>
                <w:lang w:eastAsia="pt-BR"/>
              </w:rPr>
            </w:pPr>
            <w:r w:rsidRPr="00975813">
              <w:rPr>
                <w:rFonts w:eastAsia="Times New Roman" w:cs="Arial"/>
                <w:sz w:val="20"/>
                <w:szCs w:val="20"/>
                <w:lang w:eastAsia="pt-BR"/>
              </w:rPr>
              <w:t>Estabelecer um arranjo institucional capaz de articular os quatro setores do saneamento básico municipal sob uma única supervisão.</w:t>
            </w:r>
          </w:p>
          <w:p w:rsidR="00646530" w:rsidRPr="00975813" w:rsidRDefault="00646530" w:rsidP="00B94A15">
            <w:pPr>
              <w:spacing w:line="240" w:lineRule="auto"/>
              <w:jc w:val="left"/>
              <w:rPr>
                <w:rFonts w:cs="Arial"/>
                <w:sz w:val="20"/>
                <w:szCs w:val="20"/>
              </w:rPr>
            </w:pPr>
          </w:p>
          <w:p w:rsidR="00646530" w:rsidRPr="00975813" w:rsidRDefault="00646530" w:rsidP="00B94A15">
            <w:pPr>
              <w:spacing w:line="240" w:lineRule="auto"/>
              <w:jc w:val="left"/>
              <w:rPr>
                <w:rFonts w:cs="Arial"/>
                <w:sz w:val="20"/>
                <w:szCs w:val="20"/>
              </w:rPr>
            </w:pPr>
          </w:p>
          <w:p w:rsidR="00646530" w:rsidRPr="00975813" w:rsidRDefault="00646530" w:rsidP="00B94A15">
            <w:pPr>
              <w:spacing w:line="240" w:lineRule="auto"/>
              <w:jc w:val="left"/>
              <w:rPr>
                <w:rFonts w:cs="Arial"/>
                <w:sz w:val="20"/>
                <w:szCs w:val="20"/>
              </w:rPr>
            </w:pPr>
          </w:p>
          <w:p w:rsidR="00646530" w:rsidRPr="00975813" w:rsidRDefault="00646530" w:rsidP="00B94A15">
            <w:pPr>
              <w:spacing w:line="240" w:lineRule="auto"/>
              <w:jc w:val="left"/>
              <w:rPr>
                <w:rFonts w:cs="Arial"/>
                <w:sz w:val="20"/>
                <w:szCs w:val="20"/>
              </w:rPr>
            </w:pPr>
          </w:p>
          <w:p w:rsidR="00646530" w:rsidRPr="00975813" w:rsidRDefault="00646530" w:rsidP="00B94A15">
            <w:pPr>
              <w:spacing w:line="240" w:lineRule="auto"/>
              <w:jc w:val="left"/>
              <w:rPr>
                <w:rFonts w:cs="Arial"/>
                <w:sz w:val="20"/>
                <w:szCs w:val="20"/>
              </w:rPr>
            </w:pPr>
          </w:p>
        </w:tc>
        <w:tc>
          <w:tcPr>
            <w:tcW w:w="5583" w:type="dxa"/>
            <w:vAlign w:val="center"/>
          </w:tcPr>
          <w:p w:rsidR="00646530" w:rsidRPr="00975813" w:rsidRDefault="00CA1274" w:rsidP="00CA1274">
            <w:pPr>
              <w:pStyle w:val="PargrafodaLista"/>
              <w:numPr>
                <w:ilvl w:val="1"/>
                <w:numId w:val="69"/>
              </w:numPr>
              <w:spacing w:before="60" w:after="60" w:line="240" w:lineRule="auto"/>
              <w:ind w:left="0" w:firstLine="0"/>
              <w:rPr>
                <w:bCs/>
                <w:sz w:val="20"/>
              </w:rPr>
            </w:pPr>
            <w:r w:rsidRPr="00975813">
              <w:rPr>
                <w:bCs/>
                <w:sz w:val="20"/>
              </w:rPr>
              <w:t xml:space="preserve">Instituir Secretaria, Departamento ou Divisão para exercer a função de supervisão do setor de saneamento municipal, com atribuições de acompanhar a prestação, regulação, fiscalização e avaliação da eficiência dos serviços, assim como o desenvolvimento da implementação das ações previstas no PMSB. </w:t>
            </w:r>
          </w:p>
        </w:tc>
        <w:tc>
          <w:tcPr>
            <w:tcW w:w="1987" w:type="dxa"/>
            <w:vAlign w:val="center"/>
          </w:tcPr>
          <w:p w:rsidR="00646530" w:rsidRPr="00975813" w:rsidRDefault="00646530" w:rsidP="00B94A15">
            <w:pPr>
              <w:spacing w:before="60" w:after="60" w:line="240" w:lineRule="auto"/>
              <w:jc w:val="center"/>
              <w:rPr>
                <w:rFonts w:eastAsia="Times New Roman" w:cs="Arial"/>
                <w:bCs/>
                <w:sz w:val="20"/>
                <w:szCs w:val="20"/>
              </w:rPr>
            </w:pPr>
            <w:r w:rsidRPr="00975813">
              <w:rPr>
                <w:rFonts w:eastAsia="Times New Roman" w:cs="Arial"/>
                <w:bCs/>
                <w:sz w:val="20"/>
                <w:szCs w:val="20"/>
              </w:rPr>
              <w:t>Imediato</w:t>
            </w:r>
          </w:p>
        </w:tc>
      </w:tr>
      <w:tr w:rsidR="00975813" w:rsidRPr="00975813" w:rsidTr="0081207B">
        <w:trPr>
          <w:cantSplit/>
          <w:trHeight w:val="244"/>
          <w:jc w:val="center"/>
        </w:trPr>
        <w:tc>
          <w:tcPr>
            <w:tcW w:w="5648" w:type="dxa"/>
            <w:vMerge/>
            <w:vAlign w:val="center"/>
          </w:tcPr>
          <w:p w:rsidR="00646530" w:rsidRPr="00975813" w:rsidRDefault="00646530" w:rsidP="00B94A15">
            <w:pPr>
              <w:spacing w:line="240" w:lineRule="auto"/>
              <w:jc w:val="left"/>
              <w:rPr>
                <w:rFonts w:cs="Arial"/>
                <w:sz w:val="20"/>
                <w:szCs w:val="20"/>
              </w:rPr>
            </w:pPr>
          </w:p>
        </w:tc>
        <w:tc>
          <w:tcPr>
            <w:tcW w:w="5583" w:type="dxa"/>
            <w:vAlign w:val="center"/>
          </w:tcPr>
          <w:p w:rsidR="00646530" w:rsidRPr="00975813" w:rsidRDefault="00646530" w:rsidP="00B94A15">
            <w:pPr>
              <w:spacing w:before="60" w:after="60" w:line="240" w:lineRule="auto"/>
              <w:rPr>
                <w:rFonts w:cs="Arial"/>
                <w:bCs/>
                <w:sz w:val="20"/>
                <w:szCs w:val="20"/>
              </w:rPr>
            </w:pPr>
            <w:r w:rsidRPr="00975813">
              <w:rPr>
                <w:rFonts w:cs="Arial"/>
                <w:bCs/>
                <w:sz w:val="20"/>
                <w:szCs w:val="20"/>
              </w:rPr>
              <w:t>1.2. Estabelecer e normatizar um relacionamento com os setores do saneamento básico instituindo rotinas e fluxos de informação para garantir o alinhamento estratégico.</w:t>
            </w:r>
          </w:p>
        </w:tc>
        <w:tc>
          <w:tcPr>
            <w:tcW w:w="1987" w:type="dxa"/>
            <w:vAlign w:val="center"/>
          </w:tcPr>
          <w:p w:rsidR="00646530" w:rsidRPr="00975813" w:rsidRDefault="00646530" w:rsidP="00B94A15">
            <w:pPr>
              <w:spacing w:before="60" w:after="60" w:line="240" w:lineRule="auto"/>
              <w:jc w:val="center"/>
              <w:rPr>
                <w:rFonts w:eastAsia="Times New Roman" w:cs="Arial"/>
                <w:bCs/>
                <w:sz w:val="20"/>
                <w:szCs w:val="20"/>
              </w:rPr>
            </w:pPr>
            <w:r w:rsidRPr="00975813">
              <w:rPr>
                <w:rFonts w:eastAsia="Times New Roman" w:cs="Arial"/>
                <w:bCs/>
                <w:sz w:val="20"/>
                <w:szCs w:val="20"/>
              </w:rPr>
              <w:t>Imediato</w:t>
            </w:r>
          </w:p>
        </w:tc>
      </w:tr>
      <w:tr w:rsidR="00975813" w:rsidRPr="00975813" w:rsidTr="0081207B">
        <w:trPr>
          <w:cantSplit/>
          <w:trHeight w:val="113"/>
          <w:jc w:val="center"/>
        </w:trPr>
        <w:tc>
          <w:tcPr>
            <w:tcW w:w="5648" w:type="dxa"/>
            <w:vMerge/>
            <w:vAlign w:val="center"/>
          </w:tcPr>
          <w:p w:rsidR="00646530" w:rsidRPr="00975813" w:rsidRDefault="00646530" w:rsidP="00B94A15">
            <w:pPr>
              <w:spacing w:line="240" w:lineRule="auto"/>
              <w:ind w:left="166"/>
              <w:contextualSpacing/>
              <w:jc w:val="left"/>
              <w:rPr>
                <w:rFonts w:eastAsia="Times New Roman" w:cs="Arial"/>
                <w:sz w:val="20"/>
                <w:szCs w:val="20"/>
                <w:lang w:eastAsia="pt-BR"/>
              </w:rPr>
            </w:pPr>
          </w:p>
        </w:tc>
        <w:tc>
          <w:tcPr>
            <w:tcW w:w="5583" w:type="dxa"/>
            <w:vAlign w:val="center"/>
          </w:tcPr>
          <w:p w:rsidR="00646530" w:rsidRPr="00975813" w:rsidRDefault="00646530" w:rsidP="00B94A15">
            <w:pPr>
              <w:spacing w:before="60" w:after="60" w:line="240" w:lineRule="auto"/>
              <w:rPr>
                <w:rFonts w:cs="Arial"/>
                <w:bCs/>
                <w:sz w:val="20"/>
                <w:szCs w:val="20"/>
              </w:rPr>
            </w:pPr>
            <w:r w:rsidRPr="00975813">
              <w:rPr>
                <w:rFonts w:cs="Arial"/>
                <w:bCs/>
                <w:sz w:val="20"/>
                <w:szCs w:val="20"/>
              </w:rPr>
              <w:t xml:space="preserve">1.3. </w:t>
            </w:r>
            <w:r w:rsidR="00195069" w:rsidRPr="00975813">
              <w:rPr>
                <w:bCs/>
                <w:sz w:val="22"/>
              </w:rPr>
              <w:t>Possuir um Conselho Municipal de Saneamento Básico.</w:t>
            </w:r>
          </w:p>
        </w:tc>
        <w:tc>
          <w:tcPr>
            <w:tcW w:w="1987" w:type="dxa"/>
            <w:vAlign w:val="center"/>
          </w:tcPr>
          <w:p w:rsidR="00646530" w:rsidRPr="00975813" w:rsidRDefault="00355DE1" w:rsidP="00B94A15">
            <w:pPr>
              <w:spacing w:before="60" w:after="60" w:line="240" w:lineRule="auto"/>
              <w:jc w:val="center"/>
              <w:rPr>
                <w:rFonts w:eastAsia="Times New Roman" w:cs="Arial"/>
                <w:bCs/>
                <w:sz w:val="20"/>
                <w:szCs w:val="20"/>
              </w:rPr>
            </w:pPr>
            <w:r>
              <w:rPr>
                <w:rFonts w:eastAsia="Times New Roman" w:cs="Arial"/>
                <w:bCs/>
                <w:sz w:val="20"/>
                <w:szCs w:val="20"/>
              </w:rPr>
              <w:t>Imediato</w:t>
            </w:r>
          </w:p>
        </w:tc>
      </w:tr>
      <w:tr w:rsidR="00975813" w:rsidRPr="00975813" w:rsidTr="0081207B">
        <w:trPr>
          <w:cantSplit/>
          <w:trHeight w:val="113"/>
          <w:jc w:val="center"/>
        </w:trPr>
        <w:tc>
          <w:tcPr>
            <w:tcW w:w="5648" w:type="dxa"/>
            <w:vAlign w:val="center"/>
            <w:hideMark/>
          </w:tcPr>
          <w:p w:rsidR="00646530" w:rsidRPr="00975813" w:rsidRDefault="00646530" w:rsidP="00A87269">
            <w:pPr>
              <w:numPr>
                <w:ilvl w:val="0"/>
                <w:numId w:val="33"/>
              </w:numPr>
              <w:spacing w:line="240" w:lineRule="auto"/>
              <w:ind w:left="166" w:hanging="2"/>
              <w:contextualSpacing/>
              <w:jc w:val="left"/>
              <w:rPr>
                <w:rFonts w:eastAsia="Times New Roman" w:cs="Arial"/>
                <w:sz w:val="20"/>
                <w:szCs w:val="20"/>
                <w:lang w:eastAsia="pt-BR"/>
              </w:rPr>
            </w:pPr>
            <w:r w:rsidRPr="00975813">
              <w:rPr>
                <w:rFonts w:eastAsia="Times New Roman" w:cs="Arial"/>
                <w:sz w:val="20"/>
                <w:szCs w:val="20"/>
                <w:lang w:eastAsia="pt-BR"/>
              </w:rPr>
              <w:t xml:space="preserve"> Alcançar, no município, a universalidade do acesso aos quatro sistemas do saneamento básico.</w:t>
            </w:r>
          </w:p>
          <w:p w:rsidR="00646530" w:rsidRPr="00975813" w:rsidRDefault="00646530" w:rsidP="00B94A15">
            <w:pPr>
              <w:spacing w:line="240" w:lineRule="auto"/>
              <w:ind w:left="306" w:hanging="142"/>
              <w:rPr>
                <w:rFonts w:eastAsia="Times New Roman" w:cs="Arial"/>
                <w:bCs/>
                <w:sz w:val="20"/>
                <w:szCs w:val="20"/>
              </w:rPr>
            </w:pPr>
          </w:p>
        </w:tc>
        <w:tc>
          <w:tcPr>
            <w:tcW w:w="5583" w:type="dxa"/>
            <w:vAlign w:val="center"/>
            <w:hideMark/>
          </w:tcPr>
          <w:p w:rsidR="00646530" w:rsidRPr="00975813" w:rsidRDefault="00646530" w:rsidP="00B94A15">
            <w:pPr>
              <w:spacing w:before="60" w:after="60" w:line="240" w:lineRule="auto"/>
              <w:rPr>
                <w:rFonts w:eastAsia="Times New Roman" w:cs="Arial"/>
                <w:bCs/>
                <w:sz w:val="20"/>
                <w:szCs w:val="20"/>
              </w:rPr>
            </w:pPr>
            <w:r w:rsidRPr="00975813">
              <w:rPr>
                <w:rFonts w:eastAsia="Times New Roman" w:cs="Arial"/>
                <w:bCs/>
                <w:sz w:val="20"/>
                <w:szCs w:val="20"/>
              </w:rPr>
              <w:t xml:space="preserve">2.1. </w:t>
            </w:r>
            <w:r w:rsidR="00195069" w:rsidRPr="00975813">
              <w:rPr>
                <w:rFonts w:eastAsia="Times New Roman" w:cs="Arial"/>
                <w:bCs/>
                <w:sz w:val="22"/>
              </w:rPr>
              <w:t>Supervisionar a implementação das ações relacionadas ao aumento do percentual de cobertura dos serviços, dentro dos prazos especificados nos respectivos setores, conforme previsto neste PMSB.</w:t>
            </w:r>
          </w:p>
        </w:tc>
        <w:tc>
          <w:tcPr>
            <w:tcW w:w="1987" w:type="dxa"/>
            <w:vAlign w:val="center"/>
            <w:hideMark/>
          </w:tcPr>
          <w:p w:rsidR="00646530" w:rsidRPr="00975813" w:rsidRDefault="00646530" w:rsidP="00975813">
            <w:pPr>
              <w:spacing w:before="60" w:after="60" w:line="240" w:lineRule="auto"/>
              <w:jc w:val="center"/>
              <w:rPr>
                <w:rFonts w:eastAsia="Times New Roman" w:cs="Arial"/>
                <w:bCs/>
                <w:sz w:val="20"/>
                <w:szCs w:val="20"/>
              </w:rPr>
            </w:pPr>
            <w:r w:rsidRPr="00975813">
              <w:rPr>
                <w:rFonts w:eastAsia="Times New Roman" w:cs="Arial"/>
                <w:bCs/>
                <w:sz w:val="20"/>
                <w:szCs w:val="20"/>
              </w:rPr>
              <w:t xml:space="preserve">Longo </w:t>
            </w:r>
          </w:p>
        </w:tc>
      </w:tr>
      <w:tr w:rsidR="00975813" w:rsidRPr="00975813" w:rsidTr="0081207B">
        <w:trPr>
          <w:cantSplit/>
          <w:trHeight w:val="113"/>
          <w:jc w:val="center"/>
        </w:trPr>
        <w:tc>
          <w:tcPr>
            <w:tcW w:w="5648" w:type="dxa"/>
            <w:vAlign w:val="center"/>
            <w:hideMark/>
          </w:tcPr>
          <w:p w:rsidR="00646530" w:rsidRPr="00975813" w:rsidRDefault="00646530" w:rsidP="00A87269">
            <w:pPr>
              <w:numPr>
                <w:ilvl w:val="0"/>
                <w:numId w:val="33"/>
              </w:numPr>
              <w:spacing w:line="240" w:lineRule="auto"/>
              <w:ind w:left="166" w:hanging="2"/>
              <w:contextualSpacing/>
              <w:jc w:val="left"/>
              <w:rPr>
                <w:rFonts w:eastAsia="Times New Roman" w:cs="Arial"/>
                <w:sz w:val="20"/>
                <w:szCs w:val="20"/>
                <w:lang w:eastAsia="pt-BR"/>
              </w:rPr>
            </w:pPr>
            <w:r w:rsidRPr="00975813">
              <w:rPr>
                <w:rFonts w:eastAsia="Times New Roman" w:cs="Arial"/>
                <w:sz w:val="20"/>
                <w:szCs w:val="20"/>
                <w:lang w:eastAsia="pt-BR"/>
              </w:rPr>
              <w:t>Alcançar a sustentabilidade econômico-financeira para o setor do saneamento no município.</w:t>
            </w:r>
          </w:p>
          <w:p w:rsidR="00646530" w:rsidRPr="00975813" w:rsidRDefault="00646530" w:rsidP="00B94A15">
            <w:pPr>
              <w:spacing w:before="60" w:after="60" w:line="240" w:lineRule="auto"/>
              <w:rPr>
                <w:rFonts w:eastAsia="Times New Roman" w:cs="Arial"/>
                <w:bCs/>
                <w:sz w:val="20"/>
                <w:szCs w:val="20"/>
              </w:rPr>
            </w:pPr>
          </w:p>
        </w:tc>
        <w:tc>
          <w:tcPr>
            <w:tcW w:w="5583" w:type="dxa"/>
            <w:vAlign w:val="center"/>
            <w:hideMark/>
          </w:tcPr>
          <w:p w:rsidR="00646530" w:rsidRPr="00975813" w:rsidRDefault="00646530" w:rsidP="00B94A15">
            <w:pPr>
              <w:spacing w:before="60" w:after="60" w:line="240" w:lineRule="auto"/>
              <w:rPr>
                <w:rFonts w:eastAsia="Times New Roman" w:cs="Arial"/>
                <w:bCs/>
                <w:sz w:val="20"/>
                <w:szCs w:val="20"/>
              </w:rPr>
            </w:pPr>
            <w:r w:rsidRPr="00975813">
              <w:rPr>
                <w:rFonts w:eastAsia="Times New Roman" w:cs="Arial"/>
                <w:bCs/>
                <w:sz w:val="20"/>
                <w:szCs w:val="20"/>
              </w:rPr>
              <w:t>3.1. Instituir e sistematizar soluções operacionais e gerenciais que priorizem a melhoria da situação financeira dos setores.</w:t>
            </w:r>
          </w:p>
        </w:tc>
        <w:tc>
          <w:tcPr>
            <w:tcW w:w="1987" w:type="dxa"/>
            <w:vAlign w:val="center"/>
            <w:hideMark/>
          </w:tcPr>
          <w:p w:rsidR="00646530" w:rsidRPr="00975813" w:rsidRDefault="00646530" w:rsidP="00B94A15">
            <w:pPr>
              <w:spacing w:before="60" w:after="60" w:line="240" w:lineRule="auto"/>
              <w:jc w:val="center"/>
              <w:rPr>
                <w:rFonts w:eastAsia="Times New Roman" w:cs="Arial"/>
                <w:bCs/>
                <w:sz w:val="20"/>
                <w:szCs w:val="20"/>
              </w:rPr>
            </w:pPr>
            <w:r w:rsidRPr="00975813">
              <w:rPr>
                <w:rFonts w:eastAsia="Times New Roman" w:cs="Arial"/>
                <w:bCs/>
                <w:sz w:val="20"/>
                <w:szCs w:val="20"/>
              </w:rPr>
              <w:t>Curto</w:t>
            </w:r>
          </w:p>
        </w:tc>
      </w:tr>
      <w:tr w:rsidR="00975813" w:rsidRPr="00975813" w:rsidTr="0081207B">
        <w:trPr>
          <w:cantSplit/>
          <w:trHeight w:val="113"/>
          <w:jc w:val="center"/>
        </w:trPr>
        <w:tc>
          <w:tcPr>
            <w:tcW w:w="5648" w:type="dxa"/>
            <w:vAlign w:val="center"/>
            <w:hideMark/>
          </w:tcPr>
          <w:p w:rsidR="00646530" w:rsidRPr="00975813" w:rsidRDefault="00646530" w:rsidP="00A87269">
            <w:pPr>
              <w:numPr>
                <w:ilvl w:val="0"/>
                <w:numId w:val="33"/>
              </w:numPr>
              <w:spacing w:line="240" w:lineRule="auto"/>
              <w:ind w:left="166" w:hanging="2"/>
              <w:contextualSpacing/>
              <w:jc w:val="left"/>
              <w:rPr>
                <w:rFonts w:eastAsia="Times New Roman" w:cs="Arial"/>
                <w:sz w:val="20"/>
                <w:szCs w:val="20"/>
                <w:lang w:eastAsia="pt-BR"/>
              </w:rPr>
            </w:pPr>
            <w:r w:rsidRPr="00975813">
              <w:rPr>
                <w:rFonts w:eastAsia="Times New Roman" w:cs="Arial"/>
                <w:sz w:val="20"/>
                <w:szCs w:val="20"/>
                <w:lang w:eastAsia="pt-BR"/>
              </w:rPr>
              <w:t>Submeter os quatro eixos do saneamento básico municipal a uma entidade reguladora, cujas atribuições são definidas pela Lei nº 11.445/07 e pelo decreto que a regulamenta.</w:t>
            </w:r>
          </w:p>
          <w:p w:rsidR="00646530" w:rsidRPr="00975813" w:rsidRDefault="00646530" w:rsidP="00B94A15">
            <w:pPr>
              <w:spacing w:before="60" w:after="60" w:line="240" w:lineRule="auto"/>
              <w:ind w:left="164"/>
              <w:jc w:val="left"/>
              <w:rPr>
                <w:rFonts w:eastAsia="Times New Roman" w:cs="Arial"/>
                <w:sz w:val="20"/>
                <w:szCs w:val="20"/>
                <w:lang w:eastAsia="pt-BR"/>
              </w:rPr>
            </w:pPr>
          </w:p>
        </w:tc>
        <w:tc>
          <w:tcPr>
            <w:tcW w:w="5583" w:type="dxa"/>
            <w:vAlign w:val="center"/>
            <w:hideMark/>
          </w:tcPr>
          <w:p w:rsidR="00646530" w:rsidRPr="00975813" w:rsidRDefault="00646530" w:rsidP="00B94A15">
            <w:pPr>
              <w:spacing w:before="60" w:after="60" w:line="240" w:lineRule="auto"/>
              <w:rPr>
                <w:rFonts w:eastAsia="Times New Roman" w:cs="Arial"/>
                <w:bCs/>
                <w:sz w:val="20"/>
                <w:szCs w:val="20"/>
              </w:rPr>
            </w:pPr>
            <w:r w:rsidRPr="00975813">
              <w:rPr>
                <w:rFonts w:eastAsia="Times New Roman" w:cs="Arial"/>
                <w:sz w:val="20"/>
                <w:szCs w:val="20"/>
              </w:rPr>
              <w:t>4.1. Garantir que a função reguladora de cada setor seja exercida por um órgão institucional regulamentado.</w:t>
            </w:r>
          </w:p>
        </w:tc>
        <w:tc>
          <w:tcPr>
            <w:tcW w:w="1987" w:type="dxa"/>
            <w:vAlign w:val="center"/>
            <w:hideMark/>
          </w:tcPr>
          <w:p w:rsidR="00646530" w:rsidRPr="00975813" w:rsidRDefault="00646530" w:rsidP="00B94A15">
            <w:pPr>
              <w:spacing w:before="60" w:after="60" w:line="240" w:lineRule="auto"/>
              <w:jc w:val="center"/>
              <w:rPr>
                <w:rFonts w:eastAsia="Times New Roman" w:cs="Arial"/>
                <w:bCs/>
                <w:sz w:val="20"/>
                <w:szCs w:val="20"/>
              </w:rPr>
            </w:pPr>
            <w:r w:rsidRPr="00975813">
              <w:rPr>
                <w:rFonts w:eastAsia="Times New Roman" w:cs="Arial"/>
                <w:bCs/>
                <w:sz w:val="20"/>
                <w:szCs w:val="20"/>
              </w:rPr>
              <w:t>Curto</w:t>
            </w:r>
          </w:p>
        </w:tc>
      </w:tr>
      <w:tr w:rsidR="00975813" w:rsidRPr="00975813" w:rsidTr="0081207B">
        <w:trPr>
          <w:cantSplit/>
          <w:trHeight w:val="113"/>
          <w:jc w:val="center"/>
        </w:trPr>
        <w:tc>
          <w:tcPr>
            <w:tcW w:w="5648" w:type="dxa"/>
            <w:vAlign w:val="center"/>
            <w:hideMark/>
          </w:tcPr>
          <w:p w:rsidR="00646530" w:rsidRPr="00975813" w:rsidRDefault="00646530" w:rsidP="00B94A15">
            <w:pPr>
              <w:spacing w:line="240" w:lineRule="auto"/>
              <w:ind w:left="166"/>
              <w:contextualSpacing/>
              <w:jc w:val="left"/>
              <w:rPr>
                <w:rFonts w:eastAsia="Times New Roman" w:cs="Arial"/>
                <w:sz w:val="20"/>
                <w:szCs w:val="20"/>
                <w:lang w:eastAsia="pt-BR"/>
              </w:rPr>
            </w:pPr>
          </w:p>
          <w:p w:rsidR="00646530" w:rsidRPr="00975813" w:rsidRDefault="00646530" w:rsidP="00A87269">
            <w:pPr>
              <w:numPr>
                <w:ilvl w:val="0"/>
                <w:numId w:val="33"/>
              </w:numPr>
              <w:spacing w:line="240" w:lineRule="auto"/>
              <w:ind w:left="166" w:hanging="2"/>
              <w:contextualSpacing/>
              <w:jc w:val="left"/>
              <w:rPr>
                <w:rFonts w:eastAsia="Times New Roman" w:cs="Arial"/>
                <w:sz w:val="20"/>
                <w:szCs w:val="20"/>
                <w:lang w:eastAsia="pt-BR"/>
              </w:rPr>
            </w:pPr>
            <w:r w:rsidRPr="00975813">
              <w:rPr>
                <w:rFonts w:eastAsia="Times New Roman" w:cs="Arial"/>
                <w:sz w:val="20"/>
                <w:szCs w:val="20"/>
                <w:lang w:eastAsia="pt-BR"/>
              </w:rPr>
              <w:t>Apresentar conformidade com a legislação ambiental vigente.</w:t>
            </w:r>
          </w:p>
          <w:p w:rsidR="00646530" w:rsidRPr="00975813" w:rsidRDefault="00646530" w:rsidP="00B94A15">
            <w:pPr>
              <w:spacing w:line="240" w:lineRule="auto"/>
              <w:ind w:left="166"/>
              <w:contextualSpacing/>
              <w:jc w:val="left"/>
              <w:rPr>
                <w:rFonts w:eastAsia="Times New Roman" w:cs="Arial"/>
                <w:sz w:val="20"/>
                <w:szCs w:val="20"/>
                <w:lang w:eastAsia="pt-BR"/>
              </w:rPr>
            </w:pPr>
          </w:p>
          <w:p w:rsidR="00646530" w:rsidRPr="00975813" w:rsidRDefault="00646530" w:rsidP="00B94A15">
            <w:pPr>
              <w:spacing w:line="240" w:lineRule="auto"/>
              <w:ind w:left="166"/>
              <w:contextualSpacing/>
              <w:jc w:val="left"/>
              <w:rPr>
                <w:rFonts w:eastAsia="Times New Roman" w:cs="Arial"/>
                <w:sz w:val="20"/>
                <w:szCs w:val="20"/>
                <w:lang w:eastAsia="pt-BR"/>
              </w:rPr>
            </w:pPr>
          </w:p>
          <w:p w:rsidR="00646530" w:rsidRPr="00975813" w:rsidRDefault="00646530" w:rsidP="00B94A15">
            <w:pPr>
              <w:spacing w:line="240" w:lineRule="auto"/>
              <w:ind w:left="166"/>
              <w:contextualSpacing/>
              <w:jc w:val="left"/>
              <w:rPr>
                <w:rFonts w:eastAsia="Times New Roman" w:cs="Arial"/>
                <w:sz w:val="20"/>
                <w:szCs w:val="20"/>
                <w:lang w:eastAsia="pt-BR"/>
              </w:rPr>
            </w:pPr>
          </w:p>
        </w:tc>
        <w:tc>
          <w:tcPr>
            <w:tcW w:w="5583" w:type="dxa"/>
            <w:vAlign w:val="center"/>
          </w:tcPr>
          <w:p w:rsidR="00646530" w:rsidRPr="00975813" w:rsidRDefault="00646530" w:rsidP="00B94A15">
            <w:pPr>
              <w:spacing w:before="60" w:after="60" w:line="240" w:lineRule="auto"/>
              <w:rPr>
                <w:rFonts w:eastAsia="Times New Roman" w:cs="Arial"/>
                <w:bCs/>
                <w:sz w:val="20"/>
                <w:szCs w:val="20"/>
              </w:rPr>
            </w:pPr>
            <w:r w:rsidRPr="00975813">
              <w:rPr>
                <w:rFonts w:eastAsia="Times New Roman" w:cs="Arial"/>
                <w:bCs/>
                <w:sz w:val="20"/>
                <w:szCs w:val="20"/>
              </w:rPr>
              <w:t xml:space="preserve">5.1. Fornecer </w:t>
            </w:r>
            <w:r w:rsidR="00195069" w:rsidRPr="00975813">
              <w:rPr>
                <w:rFonts w:eastAsia="Times New Roman" w:cs="Arial"/>
                <w:bCs/>
                <w:sz w:val="20"/>
                <w:szCs w:val="20"/>
              </w:rPr>
              <w:t xml:space="preserve">continuamente </w:t>
            </w:r>
            <w:r w:rsidRPr="00975813">
              <w:rPr>
                <w:rFonts w:eastAsia="Times New Roman" w:cs="Arial"/>
                <w:bCs/>
                <w:sz w:val="20"/>
                <w:szCs w:val="20"/>
              </w:rPr>
              <w:t>apoio técnico e institucional para que</w:t>
            </w:r>
            <w:r w:rsidRPr="00975813">
              <w:rPr>
                <w:rFonts w:eastAsia="Times New Roman" w:cs="Arial"/>
                <w:sz w:val="20"/>
                <w:szCs w:val="20"/>
              </w:rPr>
              <w:t xml:space="preserve"> os setores providenciem o licenciamento ambiental dos processos que sejam passíveis</w:t>
            </w:r>
            <w:r w:rsidRPr="00975813">
              <w:rPr>
                <w:rFonts w:cs="Arial"/>
                <w:sz w:val="20"/>
                <w:szCs w:val="20"/>
              </w:rPr>
              <w:t xml:space="preserve"> de causar impacto ambiental.</w:t>
            </w:r>
          </w:p>
        </w:tc>
        <w:tc>
          <w:tcPr>
            <w:tcW w:w="1987" w:type="dxa"/>
            <w:vAlign w:val="center"/>
            <w:hideMark/>
          </w:tcPr>
          <w:p w:rsidR="00646530" w:rsidRPr="00975813" w:rsidRDefault="00646530" w:rsidP="00B94A15">
            <w:pPr>
              <w:spacing w:before="60" w:after="60" w:line="240" w:lineRule="auto"/>
              <w:jc w:val="center"/>
              <w:rPr>
                <w:rFonts w:eastAsia="Times New Roman" w:cs="Arial"/>
                <w:bCs/>
                <w:sz w:val="20"/>
                <w:szCs w:val="20"/>
              </w:rPr>
            </w:pPr>
            <w:r w:rsidRPr="00975813">
              <w:rPr>
                <w:rFonts w:eastAsia="Times New Roman" w:cs="Arial"/>
                <w:bCs/>
                <w:sz w:val="20"/>
                <w:szCs w:val="20"/>
              </w:rPr>
              <w:t>Longo</w:t>
            </w:r>
          </w:p>
        </w:tc>
      </w:tr>
      <w:tr w:rsidR="00975813" w:rsidRPr="00975813" w:rsidTr="0081207B">
        <w:trPr>
          <w:cantSplit/>
          <w:trHeight w:val="113"/>
          <w:jc w:val="center"/>
        </w:trPr>
        <w:tc>
          <w:tcPr>
            <w:tcW w:w="5648" w:type="dxa"/>
            <w:vMerge w:val="restart"/>
            <w:vAlign w:val="center"/>
            <w:hideMark/>
          </w:tcPr>
          <w:p w:rsidR="00646530" w:rsidRPr="00975813" w:rsidRDefault="00646530" w:rsidP="00A87269">
            <w:pPr>
              <w:numPr>
                <w:ilvl w:val="0"/>
                <w:numId w:val="33"/>
              </w:numPr>
              <w:spacing w:line="240" w:lineRule="auto"/>
              <w:ind w:left="166" w:hanging="2"/>
              <w:contextualSpacing/>
              <w:jc w:val="left"/>
              <w:rPr>
                <w:rFonts w:eastAsia="Times New Roman" w:cs="Arial"/>
                <w:bCs/>
                <w:sz w:val="20"/>
                <w:szCs w:val="20"/>
                <w:lang w:eastAsia="pt-BR"/>
              </w:rPr>
            </w:pPr>
            <w:r w:rsidRPr="00975813">
              <w:rPr>
                <w:rFonts w:eastAsia="Times New Roman" w:cs="Arial"/>
                <w:bCs/>
                <w:sz w:val="20"/>
                <w:szCs w:val="20"/>
                <w:lang w:eastAsia="pt-BR"/>
              </w:rPr>
              <w:t>Introduzir, na gestão do saneamento básico municipal, mecanismos que garantam o acesso a informações e participação da população na formulação da política local de saneamento básico, além de promover avaliações relacionadas aos serviços prestados.</w:t>
            </w:r>
          </w:p>
          <w:p w:rsidR="00646530" w:rsidRPr="00975813" w:rsidRDefault="00646530" w:rsidP="00B94A15">
            <w:pPr>
              <w:spacing w:before="60" w:after="60" w:line="240" w:lineRule="auto"/>
              <w:ind w:left="166"/>
              <w:jc w:val="left"/>
              <w:rPr>
                <w:rFonts w:eastAsia="Times New Roman" w:cs="Arial"/>
                <w:bCs/>
                <w:sz w:val="20"/>
                <w:szCs w:val="20"/>
                <w:lang w:eastAsia="pt-BR"/>
              </w:rPr>
            </w:pPr>
          </w:p>
        </w:tc>
        <w:tc>
          <w:tcPr>
            <w:tcW w:w="5583" w:type="dxa"/>
            <w:vAlign w:val="center"/>
          </w:tcPr>
          <w:p w:rsidR="00646530" w:rsidRPr="00975813" w:rsidRDefault="00646530" w:rsidP="00B94A15">
            <w:pPr>
              <w:spacing w:before="60" w:after="60" w:line="240" w:lineRule="auto"/>
              <w:rPr>
                <w:rFonts w:eastAsia="Times New Roman" w:cs="Arial"/>
                <w:bCs/>
                <w:sz w:val="20"/>
                <w:szCs w:val="20"/>
              </w:rPr>
            </w:pPr>
            <w:r w:rsidRPr="00975813">
              <w:rPr>
                <w:rFonts w:eastAsia="Times New Roman" w:cs="Arial"/>
                <w:bCs/>
                <w:sz w:val="20"/>
                <w:szCs w:val="20"/>
                <w:lang w:eastAsia="pt-BR"/>
              </w:rPr>
              <w:t>6.1. Implementar canais de comunicação entre os setores e a sociedade (ex.: SAC-Água, SAC-Esgoto, SAC-Drenagem, SAC-Resíduos).</w:t>
            </w:r>
          </w:p>
        </w:tc>
        <w:tc>
          <w:tcPr>
            <w:tcW w:w="1987" w:type="dxa"/>
            <w:vAlign w:val="center"/>
          </w:tcPr>
          <w:p w:rsidR="00646530" w:rsidRPr="00975813" w:rsidRDefault="00646530" w:rsidP="00B94A15">
            <w:pPr>
              <w:spacing w:before="60" w:after="60" w:line="240" w:lineRule="auto"/>
              <w:jc w:val="center"/>
              <w:rPr>
                <w:rFonts w:eastAsia="Times New Roman" w:cs="Arial"/>
                <w:bCs/>
                <w:sz w:val="20"/>
                <w:szCs w:val="20"/>
              </w:rPr>
            </w:pPr>
            <w:r w:rsidRPr="00975813">
              <w:rPr>
                <w:rFonts w:eastAsia="Times New Roman" w:cs="Arial"/>
                <w:bCs/>
                <w:sz w:val="20"/>
                <w:szCs w:val="20"/>
              </w:rPr>
              <w:t>Curto</w:t>
            </w:r>
          </w:p>
        </w:tc>
      </w:tr>
      <w:tr w:rsidR="00975813" w:rsidRPr="00975813" w:rsidTr="0081207B">
        <w:trPr>
          <w:cantSplit/>
          <w:trHeight w:val="113"/>
          <w:jc w:val="center"/>
        </w:trPr>
        <w:tc>
          <w:tcPr>
            <w:tcW w:w="5648" w:type="dxa"/>
            <w:vMerge/>
            <w:vAlign w:val="center"/>
          </w:tcPr>
          <w:p w:rsidR="00646530" w:rsidRPr="00975813" w:rsidRDefault="00646530" w:rsidP="00B94A15">
            <w:pPr>
              <w:spacing w:line="240" w:lineRule="auto"/>
              <w:ind w:left="166"/>
              <w:contextualSpacing/>
              <w:jc w:val="left"/>
              <w:rPr>
                <w:rFonts w:eastAsia="Times New Roman" w:cs="Arial"/>
                <w:bCs/>
                <w:sz w:val="20"/>
                <w:szCs w:val="20"/>
                <w:lang w:eastAsia="pt-BR"/>
              </w:rPr>
            </w:pPr>
          </w:p>
        </w:tc>
        <w:tc>
          <w:tcPr>
            <w:tcW w:w="5583" w:type="dxa"/>
            <w:vAlign w:val="center"/>
          </w:tcPr>
          <w:p w:rsidR="00646530" w:rsidRPr="00975813" w:rsidRDefault="00646530" w:rsidP="00B94A15">
            <w:pPr>
              <w:spacing w:before="60" w:after="60" w:line="240" w:lineRule="auto"/>
              <w:rPr>
                <w:rFonts w:eastAsia="Times New Roman" w:cs="Arial"/>
                <w:bCs/>
                <w:sz w:val="20"/>
                <w:szCs w:val="20"/>
                <w:lang w:eastAsia="pt-BR"/>
              </w:rPr>
            </w:pPr>
            <w:r w:rsidRPr="00975813">
              <w:rPr>
                <w:rFonts w:eastAsia="Times New Roman" w:cs="Arial"/>
                <w:bCs/>
                <w:sz w:val="20"/>
                <w:szCs w:val="20"/>
                <w:lang w:eastAsia="pt-BR"/>
              </w:rPr>
              <w:t>6.2. Promover ações para a avaliação periódica da satisfação dos usuários (ex.: pesquisas de satisfação).</w:t>
            </w:r>
          </w:p>
        </w:tc>
        <w:tc>
          <w:tcPr>
            <w:tcW w:w="1987" w:type="dxa"/>
            <w:vAlign w:val="center"/>
          </w:tcPr>
          <w:p w:rsidR="00646530" w:rsidRPr="00975813" w:rsidRDefault="00646530" w:rsidP="00B94A15">
            <w:pPr>
              <w:spacing w:before="60" w:after="60" w:line="240" w:lineRule="auto"/>
              <w:jc w:val="center"/>
              <w:rPr>
                <w:rFonts w:eastAsia="Times New Roman" w:cs="Arial"/>
                <w:bCs/>
                <w:sz w:val="20"/>
                <w:szCs w:val="20"/>
              </w:rPr>
            </w:pPr>
            <w:r w:rsidRPr="00975813">
              <w:rPr>
                <w:rFonts w:eastAsia="Times New Roman" w:cs="Arial"/>
                <w:bCs/>
                <w:sz w:val="20"/>
                <w:szCs w:val="20"/>
              </w:rPr>
              <w:t>Curto</w:t>
            </w:r>
          </w:p>
        </w:tc>
      </w:tr>
      <w:tr w:rsidR="00975813" w:rsidRPr="00975813" w:rsidTr="0081207B">
        <w:trPr>
          <w:cantSplit/>
          <w:trHeight w:val="113"/>
          <w:jc w:val="center"/>
        </w:trPr>
        <w:tc>
          <w:tcPr>
            <w:tcW w:w="5648" w:type="dxa"/>
            <w:vMerge/>
            <w:vAlign w:val="center"/>
          </w:tcPr>
          <w:p w:rsidR="00646530" w:rsidRPr="00975813" w:rsidRDefault="00646530" w:rsidP="00B94A15">
            <w:pPr>
              <w:spacing w:line="240" w:lineRule="auto"/>
              <w:ind w:left="166"/>
              <w:contextualSpacing/>
              <w:jc w:val="left"/>
              <w:rPr>
                <w:rFonts w:eastAsia="Times New Roman" w:cs="Arial"/>
                <w:bCs/>
                <w:sz w:val="20"/>
                <w:szCs w:val="20"/>
                <w:lang w:eastAsia="pt-BR"/>
              </w:rPr>
            </w:pPr>
          </w:p>
        </w:tc>
        <w:tc>
          <w:tcPr>
            <w:tcW w:w="5583" w:type="dxa"/>
          </w:tcPr>
          <w:p w:rsidR="00646530" w:rsidRPr="00975813" w:rsidRDefault="00646530" w:rsidP="00B94A15">
            <w:pPr>
              <w:spacing w:line="240" w:lineRule="auto"/>
              <w:jc w:val="left"/>
              <w:rPr>
                <w:rFonts w:eastAsia="Times New Roman" w:cs="Arial"/>
                <w:bCs/>
                <w:sz w:val="20"/>
                <w:szCs w:val="20"/>
                <w:lang w:eastAsia="pt-BR"/>
              </w:rPr>
            </w:pPr>
          </w:p>
          <w:p w:rsidR="00646530" w:rsidRPr="00975813" w:rsidRDefault="00646530" w:rsidP="00B94A15">
            <w:pPr>
              <w:spacing w:line="240" w:lineRule="auto"/>
              <w:jc w:val="left"/>
              <w:rPr>
                <w:rFonts w:eastAsia="Times New Roman" w:cs="Arial"/>
                <w:bCs/>
                <w:sz w:val="20"/>
                <w:szCs w:val="20"/>
                <w:lang w:eastAsia="pt-BR"/>
              </w:rPr>
            </w:pPr>
            <w:r w:rsidRPr="00975813">
              <w:rPr>
                <w:rFonts w:eastAsia="Times New Roman" w:cs="Arial"/>
                <w:bCs/>
                <w:sz w:val="20"/>
                <w:szCs w:val="20"/>
                <w:lang w:eastAsia="pt-BR"/>
              </w:rPr>
              <w:t>6.3. Viabilizar a participação dos usuários no planejamento do setor (ex.: reuniões públicas).</w:t>
            </w:r>
          </w:p>
        </w:tc>
        <w:tc>
          <w:tcPr>
            <w:tcW w:w="1987" w:type="dxa"/>
            <w:vAlign w:val="center"/>
          </w:tcPr>
          <w:p w:rsidR="00646530" w:rsidRPr="00975813" w:rsidRDefault="00646530" w:rsidP="00B94A15">
            <w:pPr>
              <w:spacing w:before="60" w:after="60" w:line="240" w:lineRule="auto"/>
              <w:jc w:val="center"/>
              <w:rPr>
                <w:rFonts w:eastAsia="Times New Roman" w:cs="Arial"/>
                <w:bCs/>
                <w:sz w:val="20"/>
                <w:szCs w:val="20"/>
              </w:rPr>
            </w:pPr>
            <w:r w:rsidRPr="00975813">
              <w:rPr>
                <w:rFonts w:eastAsia="Times New Roman" w:cs="Arial"/>
                <w:bCs/>
                <w:sz w:val="20"/>
                <w:szCs w:val="20"/>
              </w:rPr>
              <w:t>Curto</w:t>
            </w:r>
          </w:p>
        </w:tc>
      </w:tr>
      <w:tr w:rsidR="00975813" w:rsidRPr="00975813" w:rsidTr="0081207B">
        <w:trPr>
          <w:cantSplit/>
          <w:trHeight w:val="113"/>
          <w:jc w:val="center"/>
        </w:trPr>
        <w:tc>
          <w:tcPr>
            <w:tcW w:w="5648" w:type="dxa"/>
            <w:vAlign w:val="center"/>
          </w:tcPr>
          <w:p w:rsidR="00646530" w:rsidRPr="00975813" w:rsidRDefault="00646530" w:rsidP="00A87269">
            <w:pPr>
              <w:numPr>
                <w:ilvl w:val="0"/>
                <w:numId w:val="33"/>
              </w:numPr>
              <w:spacing w:before="60" w:after="60" w:line="240" w:lineRule="auto"/>
              <w:ind w:left="166" w:hanging="2"/>
              <w:jc w:val="left"/>
              <w:rPr>
                <w:rFonts w:eastAsia="Times New Roman" w:cs="Arial"/>
                <w:bCs/>
                <w:sz w:val="20"/>
                <w:szCs w:val="20"/>
                <w:lang w:eastAsia="pt-BR"/>
              </w:rPr>
            </w:pPr>
            <w:r w:rsidRPr="00975813">
              <w:rPr>
                <w:rFonts w:eastAsia="Times New Roman" w:cs="Arial"/>
                <w:bCs/>
                <w:sz w:val="20"/>
                <w:szCs w:val="20"/>
                <w:lang w:eastAsia="pt-BR"/>
              </w:rPr>
              <w:t>Incentivar que escolas públicas do município tratem de questões relacionadas aos quatro sistemas do saneamento básico em suas disciplinas oficiais, incluindo conteúdos que promovam a economia de água pelos usuários.</w:t>
            </w:r>
          </w:p>
          <w:p w:rsidR="00646530" w:rsidRPr="00975813" w:rsidRDefault="00646530" w:rsidP="00B94A15">
            <w:pPr>
              <w:spacing w:before="60" w:after="60" w:line="240" w:lineRule="auto"/>
              <w:ind w:left="166"/>
              <w:jc w:val="left"/>
              <w:rPr>
                <w:rFonts w:eastAsia="Times New Roman" w:cs="Arial"/>
                <w:bCs/>
                <w:sz w:val="20"/>
                <w:szCs w:val="20"/>
                <w:lang w:eastAsia="pt-BR"/>
              </w:rPr>
            </w:pPr>
          </w:p>
        </w:tc>
        <w:tc>
          <w:tcPr>
            <w:tcW w:w="5583" w:type="dxa"/>
            <w:vAlign w:val="center"/>
          </w:tcPr>
          <w:p w:rsidR="00646530" w:rsidRPr="00975813" w:rsidRDefault="00646530" w:rsidP="00195069">
            <w:pPr>
              <w:spacing w:before="60" w:after="60" w:line="240" w:lineRule="auto"/>
              <w:rPr>
                <w:rFonts w:eastAsia="Times New Roman" w:cs="Arial"/>
                <w:iCs/>
                <w:sz w:val="20"/>
                <w:szCs w:val="20"/>
              </w:rPr>
            </w:pPr>
            <w:r w:rsidRPr="00975813">
              <w:rPr>
                <w:rFonts w:eastAsia="Times New Roman" w:cs="Arial"/>
                <w:iCs/>
                <w:sz w:val="20"/>
                <w:szCs w:val="20"/>
              </w:rPr>
              <w:t xml:space="preserve">7.1. Implementar atividades do </w:t>
            </w:r>
            <w:r w:rsidR="00195069" w:rsidRPr="00975813">
              <w:rPr>
                <w:rFonts w:eastAsia="Times New Roman" w:cs="Arial"/>
                <w:iCs/>
                <w:sz w:val="20"/>
                <w:szCs w:val="20"/>
              </w:rPr>
              <w:t>Programa</w:t>
            </w:r>
            <w:r w:rsidRPr="00975813">
              <w:rPr>
                <w:rFonts w:eastAsia="Times New Roman" w:cs="Arial"/>
                <w:iCs/>
                <w:sz w:val="20"/>
                <w:szCs w:val="20"/>
              </w:rPr>
              <w:t xml:space="preserve"> de Educação em Saneamento Básico nas escolas públicas do município.</w:t>
            </w:r>
          </w:p>
        </w:tc>
        <w:tc>
          <w:tcPr>
            <w:tcW w:w="1987" w:type="dxa"/>
            <w:vAlign w:val="center"/>
          </w:tcPr>
          <w:p w:rsidR="00646530" w:rsidRPr="00975813" w:rsidRDefault="00646530" w:rsidP="00B94A15">
            <w:pPr>
              <w:spacing w:before="60" w:after="60" w:line="240" w:lineRule="auto"/>
              <w:jc w:val="center"/>
              <w:rPr>
                <w:rFonts w:eastAsia="Times New Roman" w:cs="Arial"/>
                <w:bCs/>
                <w:sz w:val="20"/>
                <w:szCs w:val="20"/>
              </w:rPr>
            </w:pPr>
            <w:r w:rsidRPr="00975813">
              <w:rPr>
                <w:rFonts w:eastAsia="Times New Roman" w:cs="Arial"/>
                <w:bCs/>
                <w:sz w:val="20"/>
                <w:szCs w:val="20"/>
              </w:rPr>
              <w:t>Imediato</w:t>
            </w:r>
          </w:p>
        </w:tc>
      </w:tr>
    </w:tbl>
    <w:p w:rsidR="00646530" w:rsidRDefault="00646530" w:rsidP="00646530">
      <w:pPr>
        <w:autoSpaceDE w:val="0"/>
        <w:autoSpaceDN w:val="0"/>
        <w:adjustRightInd w:val="0"/>
        <w:rPr>
          <w:rFonts w:ascii="Times-Roman" w:hAnsi="Times-Roman" w:cs="Times-Roman"/>
          <w:szCs w:val="24"/>
        </w:rPr>
        <w:sectPr w:rsidR="00646530" w:rsidSect="00B94A15">
          <w:footerReference w:type="default" r:id="rId61"/>
          <w:pgSz w:w="16838" w:h="11906" w:orient="landscape"/>
          <w:pgMar w:top="1418" w:right="1134" w:bottom="1134" w:left="1134" w:header="709" w:footer="709" w:gutter="0"/>
          <w:cols w:space="708"/>
          <w:docGrid w:linePitch="360"/>
        </w:sectPr>
      </w:pPr>
    </w:p>
    <w:p w:rsidR="00646530" w:rsidRPr="008044FA" w:rsidRDefault="00646530" w:rsidP="002828C8">
      <w:pPr>
        <w:pStyle w:val="SHS-Ttulo02"/>
      </w:pPr>
      <w:bookmarkStart w:id="689" w:name="_Toc484422550"/>
      <w:bookmarkStart w:id="690" w:name="_Toc484532463"/>
      <w:bookmarkStart w:id="691" w:name="_Toc497469082"/>
      <w:r w:rsidRPr="008044FA">
        <w:lastRenderedPageBreak/>
        <w:t>Sistema de Abastecimento de Água</w:t>
      </w:r>
      <w:r>
        <w:t xml:space="preserve"> (SAA)</w:t>
      </w:r>
      <w:bookmarkEnd w:id="689"/>
      <w:bookmarkEnd w:id="690"/>
      <w:bookmarkEnd w:id="691"/>
    </w:p>
    <w:p w:rsidR="00646530" w:rsidRDefault="00646530" w:rsidP="002828C8">
      <w:pPr>
        <w:pStyle w:val="Ttulo3"/>
      </w:pPr>
      <w:bookmarkStart w:id="692" w:name="_Toc484422551"/>
      <w:bookmarkStart w:id="693" w:name="_Toc484532464"/>
      <w:bookmarkStart w:id="694" w:name="_Toc497469083"/>
      <w:r w:rsidRPr="008044FA">
        <w:t>Proposição de cenários</w:t>
      </w:r>
      <w:bookmarkEnd w:id="692"/>
      <w:bookmarkEnd w:id="693"/>
      <w:bookmarkEnd w:id="694"/>
    </w:p>
    <w:p w:rsidR="00646530" w:rsidRDefault="00646530" w:rsidP="00646530">
      <w:pPr>
        <w:spacing w:before="120" w:after="120"/>
        <w:ind w:firstLine="708"/>
        <w:contextualSpacing/>
        <w:rPr>
          <w:rFonts w:cs="Arial"/>
          <w:szCs w:val="24"/>
        </w:rPr>
      </w:pPr>
      <w:r w:rsidRPr="00AC3904">
        <w:rPr>
          <w:rFonts w:cs="Arial"/>
          <w:szCs w:val="24"/>
        </w:rPr>
        <w:t>Considerando</w:t>
      </w:r>
      <w:r>
        <w:rPr>
          <w:rFonts w:cs="Arial"/>
          <w:szCs w:val="24"/>
        </w:rPr>
        <w:t xml:space="preserve"> </w:t>
      </w:r>
      <w:r w:rsidRPr="00AC3904">
        <w:rPr>
          <w:rFonts w:cs="Arial"/>
          <w:szCs w:val="24"/>
        </w:rPr>
        <w:t>a metodologia apresentada anteriormente, o setor de abastecimento de água foi submetido à análise SWOT que subsidiou a configuração dos cenários previsível e normativo para este eixo, adotando-se o cenário normativo para a</w:t>
      </w:r>
      <w:r>
        <w:rPr>
          <w:rFonts w:cs="Arial"/>
          <w:szCs w:val="24"/>
        </w:rPr>
        <w:t xml:space="preserve"> proposição de objetivos e metas</w:t>
      </w:r>
      <w:r w:rsidRPr="00AC3904">
        <w:rPr>
          <w:rFonts w:cs="Arial"/>
          <w:szCs w:val="24"/>
        </w:rPr>
        <w:t>.</w:t>
      </w:r>
      <w:r>
        <w:rPr>
          <w:rFonts w:cs="Arial"/>
          <w:szCs w:val="24"/>
        </w:rPr>
        <w:t xml:space="preserve"> A seguir</w:t>
      </w:r>
      <w:r w:rsidRPr="0053225F">
        <w:rPr>
          <w:rFonts w:cs="Arial"/>
          <w:szCs w:val="24"/>
        </w:rPr>
        <w:t xml:space="preserve">, no </w:t>
      </w:r>
      <w:r w:rsidRPr="0053225F">
        <w:rPr>
          <w:rFonts w:cs="Arial"/>
          <w:szCs w:val="24"/>
        </w:rPr>
        <w:fldChar w:fldCharType="begin"/>
      </w:r>
      <w:r w:rsidRPr="0053225F">
        <w:rPr>
          <w:rFonts w:cs="Arial"/>
          <w:szCs w:val="24"/>
        </w:rPr>
        <w:instrText xml:space="preserve"> REF _Ref365620361 \h  \* MERGEFORMAT </w:instrText>
      </w:r>
      <w:r w:rsidRPr="0053225F">
        <w:rPr>
          <w:rFonts w:cs="Arial"/>
          <w:szCs w:val="24"/>
        </w:rPr>
      </w:r>
      <w:r w:rsidRPr="0053225F">
        <w:rPr>
          <w:rFonts w:cs="Arial"/>
          <w:szCs w:val="24"/>
        </w:rPr>
        <w:fldChar w:fldCharType="separate"/>
      </w:r>
      <w:r w:rsidR="004D1D76" w:rsidRPr="004D1D76">
        <w:rPr>
          <w:rFonts w:cs="Arial"/>
          <w:bCs/>
          <w:szCs w:val="24"/>
        </w:rPr>
        <w:t xml:space="preserve">Quadro </w:t>
      </w:r>
      <w:r w:rsidR="004D1D76" w:rsidRPr="004D1D76">
        <w:rPr>
          <w:rFonts w:cs="Arial"/>
          <w:noProof/>
          <w:szCs w:val="24"/>
        </w:rPr>
        <w:t>74</w:t>
      </w:r>
      <w:r w:rsidRPr="0053225F">
        <w:rPr>
          <w:rFonts w:cs="Arial"/>
          <w:szCs w:val="24"/>
        </w:rPr>
        <w:fldChar w:fldCharType="end"/>
      </w:r>
      <w:r w:rsidRPr="0053225F">
        <w:rPr>
          <w:rFonts w:cs="Arial"/>
          <w:szCs w:val="24"/>
        </w:rPr>
        <w:t>, é apresentada</w:t>
      </w:r>
      <w:r>
        <w:rPr>
          <w:rFonts w:cs="Arial"/>
          <w:szCs w:val="24"/>
        </w:rPr>
        <w:t xml:space="preserve"> a Matriz SWOT do SAA do município.</w:t>
      </w:r>
    </w:p>
    <w:p w:rsidR="00646530" w:rsidRDefault="00646530" w:rsidP="00646530">
      <w:pPr>
        <w:spacing w:before="120" w:after="120"/>
        <w:ind w:firstLine="708"/>
        <w:contextualSpacing/>
        <w:rPr>
          <w:rFonts w:cs="Arial"/>
          <w:szCs w:val="24"/>
        </w:rPr>
        <w:sectPr w:rsidR="00646530" w:rsidSect="00B94A15">
          <w:footerReference w:type="default" r:id="rId62"/>
          <w:pgSz w:w="11906" w:h="16838"/>
          <w:pgMar w:top="1134" w:right="1134" w:bottom="1134" w:left="1418" w:header="709" w:footer="709" w:gutter="0"/>
          <w:cols w:space="708"/>
          <w:docGrid w:linePitch="360"/>
        </w:sectPr>
      </w:pPr>
    </w:p>
    <w:p w:rsidR="00646530" w:rsidRDefault="00646530" w:rsidP="00646530">
      <w:pPr>
        <w:pStyle w:val="Legenda"/>
        <w:rPr>
          <w:lang w:val="pt-BR"/>
        </w:rPr>
      </w:pPr>
      <w:bookmarkStart w:id="695" w:name="_Ref365620361"/>
      <w:bookmarkStart w:id="696" w:name="_Toc378691289"/>
      <w:bookmarkStart w:id="697" w:name="_Toc394478279"/>
      <w:bookmarkStart w:id="698" w:name="_Toc398040313"/>
      <w:bookmarkStart w:id="699" w:name="_Toc441657165"/>
      <w:bookmarkStart w:id="700" w:name="_Toc484423915"/>
      <w:bookmarkStart w:id="701" w:name="_Toc484532477"/>
      <w:bookmarkStart w:id="702" w:name="_Toc497469195"/>
      <w:r w:rsidRPr="00182A97">
        <w:lastRenderedPageBreak/>
        <w:t xml:space="preserve">Quadro </w:t>
      </w:r>
      <w:r w:rsidR="00D71C43">
        <w:fldChar w:fldCharType="begin"/>
      </w:r>
      <w:r w:rsidR="00D71C43">
        <w:instrText xml:space="preserve"> SEQ Quadro \* ARABIC </w:instrText>
      </w:r>
      <w:r w:rsidR="00D71C43">
        <w:fldChar w:fldCharType="separate"/>
      </w:r>
      <w:r w:rsidR="004D1D76">
        <w:rPr>
          <w:noProof/>
        </w:rPr>
        <w:t>74</w:t>
      </w:r>
      <w:r w:rsidR="00D71C43">
        <w:rPr>
          <w:noProof/>
        </w:rPr>
        <w:fldChar w:fldCharType="end"/>
      </w:r>
      <w:bookmarkEnd w:id="695"/>
      <w:r w:rsidRPr="00182A97">
        <w:t xml:space="preserve"> - Matriz SWOT do Sistema de Abastecimento de Água (SAA)</w:t>
      </w:r>
      <w:bookmarkEnd w:id="696"/>
      <w:bookmarkEnd w:id="697"/>
      <w:bookmarkEnd w:id="698"/>
      <w:bookmarkEnd w:id="699"/>
      <w:bookmarkEnd w:id="700"/>
      <w:bookmarkEnd w:id="701"/>
      <w:bookmarkEnd w:id="702"/>
    </w:p>
    <w:tbl>
      <w:tblPr>
        <w:tblW w:w="15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8"/>
        <w:gridCol w:w="3253"/>
        <w:gridCol w:w="3402"/>
        <w:gridCol w:w="7378"/>
      </w:tblGrid>
      <w:tr w:rsidR="00646530" w:rsidRPr="00C75729" w:rsidTr="00B94A15">
        <w:trPr>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646530" w:rsidRPr="00C75729" w:rsidRDefault="00646530" w:rsidP="00B94A15">
            <w:pPr>
              <w:autoSpaceDE w:val="0"/>
              <w:autoSpaceDN w:val="0"/>
              <w:adjustRightInd w:val="0"/>
              <w:spacing w:before="60" w:after="60" w:line="240" w:lineRule="auto"/>
              <w:rPr>
                <w:rFonts w:cs="Arial"/>
                <w:sz w:val="20"/>
                <w:szCs w:val="20"/>
              </w:rPr>
            </w:pPr>
          </w:p>
        </w:tc>
        <w:tc>
          <w:tcPr>
            <w:tcW w:w="3253" w:type="dxa"/>
            <w:tcBorders>
              <w:top w:val="single" w:sz="4" w:space="0" w:color="auto"/>
              <w:left w:val="single" w:sz="4" w:space="0" w:color="auto"/>
              <w:bottom w:val="single" w:sz="4" w:space="0" w:color="auto"/>
              <w:right w:val="single" w:sz="4" w:space="0" w:color="auto"/>
            </w:tcBorders>
            <w:shd w:val="clear" w:color="auto" w:fill="95B3D7"/>
            <w:vAlign w:val="center"/>
            <w:hideMark/>
          </w:tcPr>
          <w:p w:rsidR="00646530" w:rsidRPr="00C75729" w:rsidRDefault="00646530" w:rsidP="00B94A15">
            <w:pPr>
              <w:autoSpaceDE w:val="0"/>
              <w:autoSpaceDN w:val="0"/>
              <w:adjustRightInd w:val="0"/>
              <w:spacing w:before="60" w:after="60" w:line="240" w:lineRule="auto"/>
              <w:jc w:val="center"/>
              <w:rPr>
                <w:rFonts w:cs="Arial"/>
                <w:b/>
                <w:sz w:val="20"/>
                <w:szCs w:val="20"/>
              </w:rPr>
            </w:pPr>
            <w:r w:rsidRPr="00C75729">
              <w:rPr>
                <w:rFonts w:cs="Arial"/>
                <w:b/>
                <w:sz w:val="20"/>
                <w:szCs w:val="20"/>
              </w:rPr>
              <w:t>PONTOS POSITIVOS</w:t>
            </w:r>
          </w:p>
        </w:tc>
        <w:tc>
          <w:tcPr>
            <w:tcW w:w="3402" w:type="dxa"/>
            <w:tcBorders>
              <w:top w:val="single" w:sz="4" w:space="0" w:color="auto"/>
              <w:left w:val="single" w:sz="4" w:space="0" w:color="auto"/>
              <w:bottom w:val="single" w:sz="4" w:space="0" w:color="auto"/>
              <w:right w:val="single" w:sz="4" w:space="0" w:color="auto"/>
            </w:tcBorders>
            <w:shd w:val="clear" w:color="auto" w:fill="95B3D7"/>
            <w:vAlign w:val="center"/>
          </w:tcPr>
          <w:p w:rsidR="00646530" w:rsidRPr="00C75729" w:rsidRDefault="00646530" w:rsidP="00B94A15">
            <w:pPr>
              <w:autoSpaceDE w:val="0"/>
              <w:autoSpaceDN w:val="0"/>
              <w:adjustRightInd w:val="0"/>
              <w:spacing w:before="60" w:after="60" w:line="240" w:lineRule="auto"/>
              <w:jc w:val="center"/>
              <w:rPr>
                <w:rFonts w:cs="Arial"/>
                <w:b/>
                <w:sz w:val="20"/>
                <w:szCs w:val="20"/>
              </w:rPr>
            </w:pPr>
            <w:r w:rsidRPr="00C75729">
              <w:rPr>
                <w:rFonts w:cs="Arial"/>
                <w:b/>
                <w:sz w:val="20"/>
                <w:szCs w:val="20"/>
              </w:rPr>
              <w:t>ITENS DE REFLEXÃO</w:t>
            </w:r>
          </w:p>
        </w:tc>
        <w:tc>
          <w:tcPr>
            <w:tcW w:w="7378" w:type="dxa"/>
            <w:tcBorders>
              <w:top w:val="single" w:sz="4" w:space="0" w:color="auto"/>
              <w:left w:val="single" w:sz="4" w:space="0" w:color="auto"/>
              <w:bottom w:val="single" w:sz="4" w:space="0" w:color="auto"/>
              <w:right w:val="single" w:sz="4" w:space="0" w:color="auto"/>
            </w:tcBorders>
            <w:shd w:val="clear" w:color="auto" w:fill="95B3D7"/>
            <w:vAlign w:val="center"/>
            <w:hideMark/>
          </w:tcPr>
          <w:p w:rsidR="00646530" w:rsidRPr="00C75729" w:rsidRDefault="00646530" w:rsidP="00B94A15">
            <w:pPr>
              <w:autoSpaceDE w:val="0"/>
              <w:autoSpaceDN w:val="0"/>
              <w:adjustRightInd w:val="0"/>
              <w:spacing w:before="60" w:after="60" w:line="240" w:lineRule="auto"/>
              <w:jc w:val="center"/>
              <w:rPr>
                <w:rFonts w:cs="Arial"/>
                <w:b/>
                <w:sz w:val="20"/>
                <w:szCs w:val="20"/>
              </w:rPr>
            </w:pPr>
            <w:r w:rsidRPr="00C75729">
              <w:rPr>
                <w:rFonts w:cs="Arial"/>
                <w:b/>
                <w:sz w:val="20"/>
                <w:szCs w:val="20"/>
              </w:rPr>
              <w:t>PONTOS NEGATIVOS</w:t>
            </w:r>
          </w:p>
        </w:tc>
      </w:tr>
      <w:tr w:rsidR="00646530" w:rsidRPr="00C75729" w:rsidTr="00B94A15">
        <w:trPr>
          <w:trHeight w:val="1115"/>
          <w:jc w:val="center"/>
        </w:trPr>
        <w:tc>
          <w:tcPr>
            <w:tcW w:w="0" w:type="auto"/>
            <w:tcBorders>
              <w:top w:val="single" w:sz="4" w:space="0" w:color="auto"/>
              <w:left w:val="single" w:sz="4" w:space="0" w:color="auto"/>
              <w:bottom w:val="single" w:sz="4" w:space="0" w:color="auto"/>
              <w:right w:val="single" w:sz="4" w:space="0" w:color="auto"/>
            </w:tcBorders>
            <w:shd w:val="clear" w:color="auto" w:fill="365F91"/>
            <w:vAlign w:val="center"/>
            <w:hideMark/>
          </w:tcPr>
          <w:p w:rsidR="00646530" w:rsidRPr="00C75729" w:rsidRDefault="00646530" w:rsidP="00B94A15">
            <w:pPr>
              <w:autoSpaceDE w:val="0"/>
              <w:autoSpaceDN w:val="0"/>
              <w:adjustRightInd w:val="0"/>
              <w:spacing w:before="60" w:after="60" w:line="240" w:lineRule="auto"/>
              <w:jc w:val="center"/>
              <w:rPr>
                <w:rFonts w:cs="Arial"/>
                <w:color w:val="FFFFFF"/>
                <w:sz w:val="20"/>
                <w:szCs w:val="20"/>
              </w:rPr>
            </w:pPr>
            <w:r w:rsidRPr="00C75729">
              <w:rPr>
                <w:rFonts w:cs="Arial"/>
                <w:color w:val="FFFFFF"/>
                <w:sz w:val="20"/>
                <w:szCs w:val="20"/>
              </w:rPr>
              <w:t>Ambiente Interno</w:t>
            </w:r>
          </w:p>
        </w:tc>
        <w:tc>
          <w:tcPr>
            <w:tcW w:w="3253" w:type="dxa"/>
            <w:tcBorders>
              <w:top w:val="single" w:sz="4" w:space="0" w:color="auto"/>
              <w:left w:val="single" w:sz="4" w:space="0" w:color="auto"/>
              <w:bottom w:val="single" w:sz="4" w:space="0" w:color="auto"/>
              <w:right w:val="single" w:sz="4" w:space="0" w:color="auto"/>
            </w:tcBorders>
            <w:shd w:val="clear" w:color="auto" w:fill="B8CCE4"/>
          </w:tcPr>
          <w:p w:rsidR="00646530" w:rsidRPr="00C75729" w:rsidRDefault="00646530" w:rsidP="00B94A15">
            <w:pPr>
              <w:autoSpaceDE w:val="0"/>
              <w:autoSpaceDN w:val="0"/>
              <w:adjustRightInd w:val="0"/>
              <w:spacing w:before="60" w:after="60" w:line="240" w:lineRule="auto"/>
              <w:jc w:val="center"/>
              <w:rPr>
                <w:rFonts w:cs="Arial"/>
                <w:b/>
                <w:sz w:val="20"/>
                <w:szCs w:val="20"/>
              </w:rPr>
            </w:pPr>
            <w:r w:rsidRPr="00C75729">
              <w:rPr>
                <w:rFonts w:cs="Arial"/>
                <w:b/>
                <w:sz w:val="20"/>
                <w:szCs w:val="20"/>
              </w:rPr>
              <w:t>FORÇAS</w:t>
            </w:r>
          </w:p>
          <w:p w:rsidR="00646530" w:rsidRPr="00C75729" w:rsidRDefault="00646530" w:rsidP="00B94A15">
            <w:pPr>
              <w:autoSpaceDE w:val="0"/>
              <w:autoSpaceDN w:val="0"/>
              <w:adjustRightInd w:val="0"/>
              <w:spacing w:before="60" w:after="60" w:line="240" w:lineRule="auto"/>
              <w:jc w:val="center"/>
              <w:rPr>
                <w:rFonts w:cs="Arial"/>
                <w:b/>
                <w:sz w:val="20"/>
                <w:szCs w:val="20"/>
              </w:rPr>
            </w:pPr>
          </w:p>
          <w:p w:rsidR="00646530" w:rsidRPr="00C75729" w:rsidRDefault="00646530" w:rsidP="00B94A15">
            <w:pPr>
              <w:autoSpaceDE w:val="0"/>
              <w:autoSpaceDN w:val="0"/>
              <w:adjustRightInd w:val="0"/>
              <w:spacing w:before="60" w:after="60" w:line="240" w:lineRule="auto"/>
              <w:rPr>
                <w:rFonts w:cs="Arial"/>
                <w:b/>
                <w:sz w:val="20"/>
                <w:szCs w:val="20"/>
              </w:rPr>
            </w:pPr>
            <w:r w:rsidRPr="00C75729">
              <w:rPr>
                <w:rFonts w:cs="Arial"/>
                <w:b/>
                <w:sz w:val="20"/>
                <w:szCs w:val="20"/>
              </w:rPr>
              <w:t>1. Atendimento da demanda</w:t>
            </w:r>
          </w:p>
          <w:p w:rsidR="00646530" w:rsidRPr="00C75729" w:rsidRDefault="00646530" w:rsidP="00B94A15">
            <w:pPr>
              <w:autoSpaceDE w:val="0"/>
              <w:autoSpaceDN w:val="0"/>
              <w:adjustRightInd w:val="0"/>
              <w:spacing w:before="60" w:after="60" w:line="240" w:lineRule="auto"/>
              <w:jc w:val="left"/>
              <w:rPr>
                <w:rFonts w:cs="Arial"/>
                <w:sz w:val="20"/>
                <w:szCs w:val="20"/>
              </w:rPr>
            </w:pPr>
            <w:r w:rsidRPr="00C75729">
              <w:rPr>
                <w:rFonts w:cs="Arial"/>
                <w:sz w:val="20"/>
                <w:szCs w:val="20"/>
              </w:rPr>
              <w:t>- A totalidade da população urbana é atendida.</w:t>
            </w:r>
          </w:p>
          <w:p w:rsidR="00646530" w:rsidRPr="00C75729" w:rsidRDefault="00646530" w:rsidP="00B94A15">
            <w:pPr>
              <w:autoSpaceDE w:val="0"/>
              <w:autoSpaceDN w:val="0"/>
              <w:adjustRightInd w:val="0"/>
              <w:spacing w:before="60" w:after="60" w:line="240" w:lineRule="auto"/>
              <w:jc w:val="left"/>
              <w:rPr>
                <w:rFonts w:cs="Arial"/>
                <w:sz w:val="20"/>
                <w:szCs w:val="20"/>
              </w:rPr>
            </w:pPr>
          </w:p>
          <w:p w:rsidR="00646530" w:rsidRPr="00C75729" w:rsidRDefault="00646530" w:rsidP="00B94A15">
            <w:pPr>
              <w:autoSpaceDE w:val="0"/>
              <w:autoSpaceDN w:val="0"/>
              <w:adjustRightInd w:val="0"/>
              <w:spacing w:before="60" w:after="60" w:line="240" w:lineRule="auto"/>
              <w:rPr>
                <w:rFonts w:cs="Arial"/>
                <w:b/>
                <w:sz w:val="20"/>
                <w:szCs w:val="20"/>
              </w:rPr>
            </w:pPr>
            <w:r w:rsidRPr="00C75729">
              <w:rPr>
                <w:rFonts w:cs="Arial"/>
                <w:b/>
                <w:sz w:val="20"/>
                <w:szCs w:val="20"/>
              </w:rPr>
              <w:t xml:space="preserve">2. Perfil </w:t>
            </w:r>
            <w:r>
              <w:rPr>
                <w:rFonts w:cs="Arial"/>
                <w:b/>
                <w:sz w:val="20"/>
                <w:szCs w:val="20"/>
              </w:rPr>
              <w:t>i</w:t>
            </w:r>
            <w:r w:rsidRPr="00C75729">
              <w:rPr>
                <w:rFonts w:cs="Arial"/>
                <w:b/>
                <w:sz w:val="20"/>
                <w:szCs w:val="20"/>
              </w:rPr>
              <w:t>nstitucional</w:t>
            </w:r>
          </w:p>
          <w:p w:rsidR="00646530" w:rsidRPr="00C75729" w:rsidRDefault="00646530" w:rsidP="00B94A15">
            <w:pPr>
              <w:autoSpaceDE w:val="0"/>
              <w:autoSpaceDN w:val="0"/>
              <w:adjustRightInd w:val="0"/>
              <w:spacing w:before="60" w:after="60" w:line="240" w:lineRule="auto"/>
              <w:rPr>
                <w:rFonts w:cs="Arial"/>
                <w:sz w:val="20"/>
                <w:szCs w:val="20"/>
              </w:rPr>
            </w:pPr>
            <w:r w:rsidRPr="00C75729">
              <w:rPr>
                <w:rFonts w:cs="Arial"/>
                <w:sz w:val="20"/>
                <w:szCs w:val="20"/>
              </w:rPr>
              <w:t>- Gestão do abastecimento da sede efetuada pela COPASA.</w:t>
            </w:r>
          </w:p>
          <w:p w:rsidR="00646530" w:rsidRPr="00C75729" w:rsidRDefault="00646530" w:rsidP="00B94A15">
            <w:pPr>
              <w:autoSpaceDE w:val="0"/>
              <w:autoSpaceDN w:val="0"/>
              <w:adjustRightInd w:val="0"/>
              <w:spacing w:before="60" w:after="60" w:line="240" w:lineRule="auto"/>
              <w:jc w:val="left"/>
              <w:rPr>
                <w:rFonts w:cs="Arial"/>
                <w:sz w:val="20"/>
                <w:szCs w:val="20"/>
              </w:rPr>
            </w:pPr>
          </w:p>
          <w:p w:rsidR="00646530" w:rsidRPr="00C75729" w:rsidRDefault="00646530" w:rsidP="00B94A15">
            <w:pPr>
              <w:autoSpaceDE w:val="0"/>
              <w:autoSpaceDN w:val="0"/>
              <w:adjustRightInd w:val="0"/>
              <w:spacing w:before="60" w:after="60" w:line="240" w:lineRule="auto"/>
              <w:rPr>
                <w:rFonts w:cs="Arial"/>
                <w:b/>
                <w:sz w:val="20"/>
                <w:szCs w:val="20"/>
              </w:rPr>
            </w:pPr>
            <w:r w:rsidRPr="00C75729">
              <w:rPr>
                <w:rFonts w:cs="Arial"/>
                <w:b/>
                <w:sz w:val="20"/>
                <w:szCs w:val="20"/>
              </w:rPr>
              <w:t>3. Sistema Operacional</w:t>
            </w:r>
          </w:p>
          <w:p w:rsidR="00646530" w:rsidRPr="00C75729" w:rsidRDefault="00646530" w:rsidP="00B94A15">
            <w:pPr>
              <w:autoSpaceDE w:val="0"/>
              <w:autoSpaceDN w:val="0"/>
              <w:adjustRightInd w:val="0"/>
              <w:spacing w:before="60" w:after="60" w:line="240" w:lineRule="auto"/>
              <w:rPr>
                <w:rFonts w:cs="Arial"/>
                <w:sz w:val="20"/>
                <w:szCs w:val="20"/>
              </w:rPr>
            </w:pPr>
            <w:r w:rsidRPr="00C75729">
              <w:rPr>
                <w:rFonts w:cs="Arial"/>
                <w:sz w:val="20"/>
                <w:szCs w:val="20"/>
              </w:rPr>
              <w:t>- Existência de ETA na sede.</w:t>
            </w:r>
          </w:p>
          <w:p w:rsidR="00646530" w:rsidRPr="00C75729" w:rsidRDefault="00646530" w:rsidP="00B94A15">
            <w:pPr>
              <w:autoSpaceDE w:val="0"/>
              <w:autoSpaceDN w:val="0"/>
              <w:adjustRightInd w:val="0"/>
              <w:spacing w:before="60" w:after="60" w:line="240" w:lineRule="auto"/>
              <w:rPr>
                <w:rFonts w:cs="Arial"/>
                <w:sz w:val="20"/>
                <w:szCs w:val="20"/>
              </w:rPr>
            </w:pPr>
          </w:p>
          <w:p w:rsidR="00646530" w:rsidRPr="00C75729" w:rsidRDefault="00646530" w:rsidP="00B94A15">
            <w:pPr>
              <w:autoSpaceDE w:val="0"/>
              <w:autoSpaceDN w:val="0"/>
              <w:adjustRightInd w:val="0"/>
              <w:spacing w:before="60" w:after="60" w:line="240" w:lineRule="auto"/>
              <w:rPr>
                <w:rFonts w:cs="Arial"/>
                <w:b/>
                <w:sz w:val="20"/>
                <w:szCs w:val="20"/>
              </w:rPr>
            </w:pPr>
            <w:r w:rsidRPr="00C75729">
              <w:rPr>
                <w:rFonts w:cs="Arial"/>
                <w:b/>
                <w:sz w:val="20"/>
                <w:szCs w:val="20"/>
              </w:rPr>
              <w:t>4. Sistema de Informações</w:t>
            </w:r>
          </w:p>
          <w:p w:rsidR="00646530" w:rsidRPr="00C75729" w:rsidRDefault="00646530" w:rsidP="00B94A15">
            <w:pPr>
              <w:autoSpaceDE w:val="0"/>
              <w:autoSpaceDN w:val="0"/>
              <w:adjustRightInd w:val="0"/>
              <w:spacing w:before="60" w:after="60" w:line="240" w:lineRule="auto"/>
              <w:jc w:val="left"/>
              <w:rPr>
                <w:rFonts w:cs="Arial"/>
                <w:sz w:val="20"/>
                <w:szCs w:val="20"/>
              </w:rPr>
            </w:pPr>
            <w:r w:rsidRPr="00C75729">
              <w:rPr>
                <w:rFonts w:cs="Arial"/>
                <w:sz w:val="20"/>
                <w:szCs w:val="20"/>
              </w:rPr>
              <w:t>- COPASA possui um Sistema de Informações Operacionais (SIOP)</w:t>
            </w:r>
            <w:r>
              <w:rPr>
                <w:rFonts w:cs="Arial"/>
                <w:sz w:val="20"/>
                <w:szCs w:val="20"/>
              </w:rPr>
              <w:t>.</w:t>
            </w:r>
          </w:p>
          <w:p w:rsidR="00646530" w:rsidRPr="00C75729" w:rsidRDefault="00646530" w:rsidP="00B94A15">
            <w:pPr>
              <w:autoSpaceDE w:val="0"/>
              <w:autoSpaceDN w:val="0"/>
              <w:adjustRightInd w:val="0"/>
              <w:spacing w:before="60" w:after="60" w:line="240" w:lineRule="auto"/>
              <w:jc w:val="left"/>
              <w:rPr>
                <w:rFonts w:cs="Arial"/>
                <w:sz w:val="20"/>
                <w:szCs w:val="20"/>
              </w:rPr>
            </w:pPr>
            <w:r w:rsidRPr="00C75729">
              <w:rPr>
                <w:rFonts w:cs="Arial"/>
                <w:sz w:val="20"/>
                <w:szCs w:val="20"/>
              </w:rPr>
              <w:t>- Existem Relatórios Anuais de Qualidade</w:t>
            </w:r>
            <w:r>
              <w:rPr>
                <w:rFonts w:cs="Arial"/>
                <w:sz w:val="20"/>
                <w:szCs w:val="20"/>
              </w:rPr>
              <w:t>.</w:t>
            </w:r>
          </w:p>
          <w:p w:rsidR="00646530" w:rsidRPr="00C75729" w:rsidRDefault="00646530" w:rsidP="00B94A15">
            <w:pPr>
              <w:autoSpaceDE w:val="0"/>
              <w:autoSpaceDN w:val="0"/>
              <w:adjustRightInd w:val="0"/>
              <w:spacing w:before="60" w:after="60" w:line="240" w:lineRule="auto"/>
              <w:rPr>
                <w:rFonts w:cs="Arial"/>
                <w:b/>
                <w:sz w:val="20"/>
                <w:szCs w:val="20"/>
              </w:rPr>
            </w:pPr>
          </w:p>
          <w:p w:rsidR="00646530" w:rsidRPr="00C75729" w:rsidRDefault="00646530" w:rsidP="00B94A15">
            <w:pPr>
              <w:autoSpaceDE w:val="0"/>
              <w:autoSpaceDN w:val="0"/>
              <w:adjustRightInd w:val="0"/>
              <w:spacing w:before="60" w:after="60" w:line="240" w:lineRule="auto"/>
              <w:rPr>
                <w:rFonts w:cs="Arial"/>
                <w:b/>
                <w:sz w:val="20"/>
                <w:szCs w:val="20"/>
              </w:rPr>
            </w:pPr>
            <w:r w:rsidRPr="00C75729">
              <w:rPr>
                <w:rFonts w:cs="Arial"/>
                <w:b/>
                <w:sz w:val="20"/>
                <w:szCs w:val="20"/>
              </w:rPr>
              <w:t>6. Sustentabilidade econômica</w:t>
            </w:r>
          </w:p>
          <w:p w:rsidR="00646530" w:rsidRPr="00C75729" w:rsidRDefault="00646530" w:rsidP="00B94A15">
            <w:pPr>
              <w:autoSpaceDE w:val="0"/>
              <w:autoSpaceDN w:val="0"/>
              <w:adjustRightInd w:val="0"/>
              <w:spacing w:before="60" w:after="60" w:line="240" w:lineRule="auto"/>
              <w:rPr>
                <w:rFonts w:cs="Arial"/>
                <w:sz w:val="20"/>
                <w:szCs w:val="20"/>
              </w:rPr>
            </w:pPr>
            <w:r w:rsidRPr="00C75729">
              <w:rPr>
                <w:rFonts w:cs="Arial"/>
                <w:sz w:val="20"/>
                <w:szCs w:val="20"/>
              </w:rPr>
              <w:t>- Existe tarifação pelo SAA.</w:t>
            </w:r>
          </w:p>
          <w:p w:rsidR="00646530" w:rsidRPr="00C75729" w:rsidRDefault="00646530" w:rsidP="00B94A15">
            <w:pPr>
              <w:autoSpaceDE w:val="0"/>
              <w:autoSpaceDN w:val="0"/>
              <w:adjustRightInd w:val="0"/>
              <w:spacing w:before="60" w:after="60" w:line="240" w:lineRule="auto"/>
              <w:rPr>
                <w:rFonts w:cs="Arial"/>
                <w:sz w:val="20"/>
                <w:szCs w:val="20"/>
              </w:rPr>
            </w:pPr>
          </w:p>
        </w:tc>
        <w:tc>
          <w:tcPr>
            <w:tcW w:w="3402" w:type="dxa"/>
            <w:vMerge w:val="restart"/>
            <w:tcBorders>
              <w:top w:val="single" w:sz="4" w:space="0" w:color="auto"/>
              <w:left w:val="single" w:sz="4" w:space="0" w:color="auto"/>
              <w:right w:val="single" w:sz="4" w:space="0" w:color="auto"/>
            </w:tcBorders>
            <w:shd w:val="clear" w:color="auto" w:fill="B8CCE4"/>
            <w:vAlign w:val="center"/>
          </w:tcPr>
          <w:p w:rsidR="00646530" w:rsidRPr="00C75729" w:rsidRDefault="00646530" w:rsidP="00B94A15">
            <w:pPr>
              <w:autoSpaceDE w:val="0"/>
              <w:autoSpaceDN w:val="0"/>
              <w:adjustRightInd w:val="0"/>
              <w:spacing w:before="60" w:after="60" w:line="240" w:lineRule="auto"/>
              <w:jc w:val="center"/>
              <w:rPr>
                <w:rFonts w:cs="Arial"/>
                <w:b/>
                <w:sz w:val="20"/>
                <w:szCs w:val="20"/>
              </w:rPr>
            </w:pPr>
            <w:r w:rsidRPr="00C75729">
              <w:rPr>
                <w:rFonts w:cs="Arial"/>
                <w:b/>
                <w:sz w:val="20"/>
                <w:szCs w:val="20"/>
              </w:rPr>
              <w:t>1. Atendimento da demanda</w:t>
            </w:r>
          </w:p>
          <w:p w:rsidR="00646530" w:rsidRPr="00C75729" w:rsidRDefault="00646530" w:rsidP="00B94A15">
            <w:pPr>
              <w:autoSpaceDE w:val="0"/>
              <w:autoSpaceDN w:val="0"/>
              <w:adjustRightInd w:val="0"/>
              <w:spacing w:before="60" w:after="60" w:line="240" w:lineRule="auto"/>
              <w:jc w:val="center"/>
              <w:rPr>
                <w:rFonts w:cs="Arial"/>
                <w:b/>
                <w:sz w:val="20"/>
                <w:szCs w:val="20"/>
              </w:rPr>
            </w:pPr>
          </w:p>
          <w:p w:rsidR="00646530" w:rsidRPr="00C75729" w:rsidRDefault="00646530" w:rsidP="00B94A15">
            <w:pPr>
              <w:autoSpaceDE w:val="0"/>
              <w:autoSpaceDN w:val="0"/>
              <w:adjustRightInd w:val="0"/>
              <w:spacing w:before="60" w:after="60" w:line="240" w:lineRule="auto"/>
              <w:jc w:val="center"/>
              <w:rPr>
                <w:rFonts w:cs="Arial"/>
                <w:b/>
                <w:sz w:val="20"/>
                <w:szCs w:val="20"/>
              </w:rPr>
            </w:pPr>
            <w:r w:rsidRPr="00C75729">
              <w:rPr>
                <w:rFonts w:cs="Arial"/>
                <w:b/>
                <w:sz w:val="20"/>
                <w:szCs w:val="20"/>
              </w:rPr>
              <w:t xml:space="preserve">2. Perfil </w:t>
            </w:r>
            <w:r>
              <w:rPr>
                <w:rFonts w:cs="Arial"/>
                <w:b/>
                <w:sz w:val="20"/>
                <w:szCs w:val="20"/>
              </w:rPr>
              <w:t>i</w:t>
            </w:r>
            <w:r w:rsidRPr="00C75729">
              <w:rPr>
                <w:rFonts w:cs="Arial"/>
                <w:b/>
                <w:sz w:val="20"/>
                <w:szCs w:val="20"/>
              </w:rPr>
              <w:t>nstitucional</w:t>
            </w:r>
          </w:p>
          <w:p w:rsidR="00646530" w:rsidRPr="00C75729" w:rsidRDefault="00646530" w:rsidP="00B94A15">
            <w:pPr>
              <w:autoSpaceDE w:val="0"/>
              <w:autoSpaceDN w:val="0"/>
              <w:adjustRightInd w:val="0"/>
              <w:spacing w:before="60" w:after="60" w:line="240" w:lineRule="auto"/>
              <w:jc w:val="center"/>
              <w:rPr>
                <w:rFonts w:cs="Arial"/>
                <w:b/>
                <w:sz w:val="20"/>
                <w:szCs w:val="20"/>
              </w:rPr>
            </w:pPr>
          </w:p>
          <w:p w:rsidR="00646530" w:rsidRPr="00C75729" w:rsidRDefault="00646530" w:rsidP="00B94A15">
            <w:pPr>
              <w:autoSpaceDE w:val="0"/>
              <w:autoSpaceDN w:val="0"/>
              <w:adjustRightInd w:val="0"/>
              <w:spacing w:before="60" w:after="60" w:line="240" w:lineRule="auto"/>
              <w:jc w:val="center"/>
              <w:rPr>
                <w:rFonts w:cs="Arial"/>
                <w:b/>
                <w:sz w:val="20"/>
                <w:szCs w:val="20"/>
              </w:rPr>
            </w:pPr>
            <w:r w:rsidRPr="00C75729">
              <w:rPr>
                <w:rFonts w:cs="Arial"/>
                <w:b/>
                <w:sz w:val="20"/>
                <w:szCs w:val="20"/>
              </w:rPr>
              <w:t>3. Sistema Operacional</w:t>
            </w:r>
          </w:p>
          <w:p w:rsidR="00646530" w:rsidRPr="00C75729" w:rsidRDefault="00646530" w:rsidP="00B94A15">
            <w:pPr>
              <w:autoSpaceDE w:val="0"/>
              <w:autoSpaceDN w:val="0"/>
              <w:adjustRightInd w:val="0"/>
              <w:spacing w:before="60" w:after="60" w:line="240" w:lineRule="auto"/>
              <w:jc w:val="center"/>
              <w:rPr>
                <w:rFonts w:cs="Arial"/>
                <w:b/>
                <w:sz w:val="20"/>
                <w:szCs w:val="20"/>
              </w:rPr>
            </w:pPr>
          </w:p>
          <w:p w:rsidR="00646530" w:rsidRPr="00C75729" w:rsidRDefault="00646530" w:rsidP="00B94A15">
            <w:pPr>
              <w:autoSpaceDE w:val="0"/>
              <w:autoSpaceDN w:val="0"/>
              <w:adjustRightInd w:val="0"/>
              <w:spacing w:before="60" w:after="60" w:line="240" w:lineRule="auto"/>
              <w:jc w:val="center"/>
              <w:rPr>
                <w:rFonts w:cs="Arial"/>
                <w:b/>
                <w:sz w:val="20"/>
                <w:szCs w:val="20"/>
              </w:rPr>
            </w:pPr>
            <w:r w:rsidRPr="00C75729">
              <w:rPr>
                <w:rFonts w:cs="Arial"/>
                <w:b/>
                <w:sz w:val="20"/>
                <w:szCs w:val="20"/>
              </w:rPr>
              <w:t>4. Sistema de Informações</w:t>
            </w:r>
          </w:p>
          <w:p w:rsidR="00646530" w:rsidRPr="00C75729" w:rsidRDefault="00646530" w:rsidP="00B94A15">
            <w:pPr>
              <w:autoSpaceDE w:val="0"/>
              <w:autoSpaceDN w:val="0"/>
              <w:adjustRightInd w:val="0"/>
              <w:spacing w:before="60" w:after="60" w:line="240" w:lineRule="auto"/>
              <w:jc w:val="center"/>
              <w:rPr>
                <w:rFonts w:cs="Arial"/>
                <w:b/>
                <w:sz w:val="20"/>
                <w:szCs w:val="20"/>
              </w:rPr>
            </w:pPr>
          </w:p>
          <w:p w:rsidR="00646530" w:rsidRPr="00C75729" w:rsidRDefault="00646530" w:rsidP="00B94A15">
            <w:pPr>
              <w:autoSpaceDE w:val="0"/>
              <w:autoSpaceDN w:val="0"/>
              <w:adjustRightInd w:val="0"/>
              <w:spacing w:before="60" w:after="60" w:line="240" w:lineRule="auto"/>
              <w:jc w:val="center"/>
              <w:rPr>
                <w:rFonts w:cs="Arial"/>
                <w:b/>
                <w:sz w:val="20"/>
                <w:szCs w:val="20"/>
              </w:rPr>
            </w:pPr>
            <w:r w:rsidRPr="00C75729">
              <w:rPr>
                <w:rFonts w:cs="Arial"/>
                <w:b/>
                <w:sz w:val="20"/>
                <w:szCs w:val="20"/>
              </w:rPr>
              <w:t>5. Legislação e normatização do setor</w:t>
            </w:r>
          </w:p>
          <w:p w:rsidR="00646530" w:rsidRPr="00C75729" w:rsidRDefault="00646530" w:rsidP="00B94A15">
            <w:pPr>
              <w:autoSpaceDE w:val="0"/>
              <w:autoSpaceDN w:val="0"/>
              <w:adjustRightInd w:val="0"/>
              <w:spacing w:before="60" w:after="60" w:line="240" w:lineRule="auto"/>
              <w:jc w:val="center"/>
              <w:rPr>
                <w:rFonts w:cs="Arial"/>
                <w:b/>
                <w:sz w:val="20"/>
                <w:szCs w:val="20"/>
              </w:rPr>
            </w:pPr>
          </w:p>
          <w:p w:rsidR="00646530" w:rsidRPr="00C75729" w:rsidRDefault="00646530" w:rsidP="00B94A15">
            <w:pPr>
              <w:autoSpaceDE w:val="0"/>
              <w:autoSpaceDN w:val="0"/>
              <w:adjustRightInd w:val="0"/>
              <w:spacing w:before="60" w:after="60" w:line="240" w:lineRule="auto"/>
              <w:jc w:val="center"/>
              <w:rPr>
                <w:rFonts w:cs="Arial"/>
                <w:b/>
                <w:sz w:val="20"/>
                <w:szCs w:val="20"/>
              </w:rPr>
            </w:pPr>
            <w:r w:rsidRPr="00C75729">
              <w:rPr>
                <w:rFonts w:cs="Arial"/>
                <w:b/>
                <w:sz w:val="20"/>
                <w:szCs w:val="20"/>
              </w:rPr>
              <w:t>6. Sustentabilidade econômica</w:t>
            </w:r>
          </w:p>
        </w:tc>
        <w:tc>
          <w:tcPr>
            <w:tcW w:w="7378" w:type="dxa"/>
            <w:tcBorders>
              <w:top w:val="single" w:sz="4" w:space="0" w:color="auto"/>
              <w:left w:val="single" w:sz="4" w:space="0" w:color="auto"/>
              <w:bottom w:val="single" w:sz="4" w:space="0" w:color="auto"/>
              <w:right w:val="single" w:sz="4" w:space="0" w:color="auto"/>
            </w:tcBorders>
            <w:shd w:val="clear" w:color="auto" w:fill="B8CCE4"/>
          </w:tcPr>
          <w:p w:rsidR="00646530" w:rsidRPr="00C75729" w:rsidRDefault="00646530" w:rsidP="00B94A15">
            <w:pPr>
              <w:autoSpaceDE w:val="0"/>
              <w:autoSpaceDN w:val="0"/>
              <w:adjustRightInd w:val="0"/>
              <w:spacing w:before="60" w:after="60" w:line="240" w:lineRule="auto"/>
              <w:jc w:val="center"/>
              <w:rPr>
                <w:rFonts w:cs="Arial"/>
                <w:b/>
                <w:sz w:val="20"/>
                <w:szCs w:val="20"/>
              </w:rPr>
            </w:pPr>
            <w:r w:rsidRPr="00C75729">
              <w:rPr>
                <w:rFonts w:cs="Arial"/>
                <w:b/>
                <w:sz w:val="20"/>
                <w:szCs w:val="20"/>
              </w:rPr>
              <w:t>FRAQUEZAS</w:t>
            </w:r>
          </w:p>
          <w:p w:rsidR="00646530" w:rsidRPr="00FE1A54" w:rsidRDefault="00646530" w:rsidP="00B94A15">
            <w:pPr>
              <w:autoSpaceDE w:val="0"/>
              <w:autoSpaceDN w:val="0"/>
              <w:adjustRightInd w:val="0"/>
              <w:spacing w:before="60" w:after="60" w:line="240" w:lineRule="auto"/>
              <w:jc w:val="left"/>
              <w:rPr>
                <w:rFonts w:cs="Arial"/>
                <w:b/>
                <w:sz w:val="20"/>
                <w:szCs w:val="20"/>
              </w:rPr>
            </w:pPr>
          </w:p>
          <w:p w:rsidR="00646530" w:rsidRPr="00FE1A54" w:rsidRDefault="00646530" w:rsidP="00B94A15">
            <w:pPr>
              <w:autoSpaceDE w:val="0"/>
              <w:autoSpaceDN w:val="0"/>
              <w:adjustRightInd w:val="0"/>
              <w:spacing w:before="60" w:after="60" w:line="240" w:lineRule="auto"/>
              <w:jc w:val="left"/>
              <w:rPr>
                <w:rFonts w:cs="Arial"/>
                <w:b/>
                <w:sz w:val="20"/>
                <w:szCs w:val="20"/>
              </w:rPr>
            </w:pPr>
            <w:r w:rsidRPr="00FE1A54">
              <w:rPr>
                <w:rFonts w:cs="Arial"/>
                <w:b/>
                <w:sz w:val="20"/>
                <w:szCs w:val="20"/>
              </w:rPr>
              <w:t>3. Sistema Operacional</w:t>
            </w:r>
          </w:p>
          <w:p w:rsidR="00646530" w:rsidRPr="00FE1A54" w:rsidRDefault="00646530" w:rsidP="00B94A15">
            <w:pPr>
              <w:autoSpaceDE w:val="0"/>
              <w:autoSpaceDN w:val="0"/>
              <w:adjustRightInd w:val="0"/>
              <w:spacing w:before="60" w:after="60" w:line="240" w:lineRule="auto"/>
              <w:jc w:val="left"/>
              <w:rPr>
                <w:rFonts w:cs="Arial"/>
                <w:sz w:val="20"/>
                <w:szCs w:val="20"/>
              </w:rPr>
            </w:pPr>
            <w:r w:rsidRPr="00FE1A54">
              <w:rPr>
                <w:rFonts w:cs="Arial"/>
                <w:sz w:val="20"/>
                <w:szCs w:val="20"/>
              </w:rPr>
              <w:t xml:space="preserve">- </w:t>
            </w:r>
            <w:r w:rsidR="003C4F7A" w:rsidRPr="00FE1A54">
              <w:rPr>
                <w:rFonts w:cs="Arial"/>
                <w:sz w:val="20"/>
                <w:szCs w:val="20"/>
              </w:rPr>
              <w:t>Intermitência nas partes altas</w:t>
            </w:r>
            <w:r w:rsidRPr="00FE1A54">
              <w:rPr>
                <w:rFonts w:cs="Arial"/>
                <w:sz w:val="20"/>
                <w:szCs w:val="20"/>
              </w:rPr>
              <w:t>.</w:t>
            </w:r>
          </w:p>
          <w:p w:rsidR="00646530" w:rsidRPr="00FE1A54" w:rsidRDefault="00646530" w:rsidP="00B94A15">
            <w:pPr>
              <w:autoSpaceDE w:val="0"/>
              <w:autoSpaceDN w:val="0"/>
              <w:adjustRightInd w:val="0"/>
              <w:spacing w:before="60" w:after="60" w:line="240" w:lineRule="auto"/>
              <w:jc w:val="left"/>
              <w:rPr>
                <w:rFonts w:cs="Arial"/>
                <w:sz w:val="20"/>
                <w:szCs w:val="20"/>
              </w:rPr>
            </w:pPr>
            <w:r w:rsidRPr="00FE1A54">
              <w:rPr>
                <w:rFonts w:cs="Arial"/>
                <w:sz w:val="20"/>
                <w:szCs w:val="20"/>
              </w:rPr>
              <w:t xml:space="preserve">- </w:t>
            </w:r>
            <w:r w:rsidR="003C4F7A" w:rsidRPr="00FE1A54">
              <w:rPr>
                <w:rFonts w:cs="Arial"/>
                <w:sz w:val="20"/>
                <w:szCs w:val="20"/>
              </w:rPr>
              <w:t>Capacidade de reservação insuficiente</w:t>
            </w:r>
            <w:r w:rsidRPr="00FE1A54">
              <w:rPr>
                <w:rFonts w:cs="Arial"/>
                <w:sz w:val="20"/>
                <w:szCs w:val="20"/>
              </w:rPr>
              <w:t>.</w:t>
            </w:r>
          </w:p>
          <w:p w:rsidR="003C4F7A" w:rsidRPr="00FE1A54" w:rsidRDefault="003C4F7A" w:rsidP="00B94A15">
            <w:pPr>
              <w:autoSpaceDE w:val="0"/>
              <w:autoSpaceDN w:val="0"/>
              <w:adjustRightInd w:val="0"/>
              <w:spacing w:before="60" w:after="60" w:line="240" w:lineRule="auto"/>
              <w:jc w:val="left"/>
              <w:rPr>
                <w:rFonts w:cs="Arial"/>
                <w:sz w:val="20"/>
                <w:szCs w:val="20"/>
              </w:rPr>
            </w:pPr>
            <w:r w:rsidRPr="00FE1A54">
              <w:rPr>
                <w:rFonts w:cs="Arial"/>
                <w:sz w:val="20"/>
                <w:szCs w:val="20"/>
              </w:rPr>
              <w:t>- Qualidade da água (elevado</w:t>
            </w:r>
            <w:r w:rsidR="00FE1A54" w:rsidRPr="00FE1A54">
              <w:rPr>
                <w:rFonts w:cs="Arial"/>
                <w:sz w:val="20"/>
                <w:szCs w:val="20"/>
              </w:rPr>
              <w:t>s</w:t>
            </w:r>
            <w:r w:rsidRPr="00FE1A54">
              <w:rPr>
                <w:rFonts w:cs="Arial"/>
                <w:sz w:val="20"/>
                <w:szCs w:val="20"/>
              </w:rPr>
              <w:t xml:space="preserve"> níveis de ferro e manganês)</w:t>
            </w:r>
            <w:r w:rsidR="00FE1A54" w:rsidRPr="00FE1A54">
              <w:rPr>
                <w:rFonts w:cs="Arial"/>
                <w:sz w:val="20"/>
                <w:szCs w:val="20"/>
              </w:rPr>
              <w:t>.</w:t>
            </w:r>
          </w:p>
          <w:p w:rsidR="00646530" w:rsidRPr="00C75729" w:rsidRDefault="00646530" w:rsidP="00B94A15">
            <w:pPr>
              <w:autoSpaceDE w:val="0"/>
              <w:autoSpaceDN w:val="0"/>
              <w:adjustRightInd w:val="0"/>
              <w:spacing w:before="60" w:after="60" w:line="240" w:lineRule="auto"/>
              <w:jc w:val="left"/>
              <w:rPr>
                <w:rFonts w:cs="Arial"/>
                <w:sz w:val="20"/>
                <w:szCs w:val="20"/>
              </w:rPr>
            </w:pPr>
          </w:p>
          <w:p w:rsidR="00646530" w:rsidRPr="00C75729" w:rsidRDefault="00646530" w:rsidP="00B94A15">
            <w:pPr>
              <w:autoSpaceDE w:val="0"/>
              <w:autoSpaceDN w:val="0"/>
              <w:adjustRightInd w:val="0"/>
              <w:spacing w:before="60" w:after="60" w:line="240" w:lineRule="auto"/>
              <w:rPr>
                <w:rFonts w:cs="Arial"/>
                <w:b/>
                <w:sz w:val="20"/>
                <w:szCs w:val="20"/>
              </w:rPr>
            </w:pPr>
            <w:r w:rsidRPr="00C75729">
              <w:rPr>
                <w:rFonts w:cs="Arial"/>
                <w:b/>
                <w:sz w:val="20"/>
                <w:szCs w:val="20"/>
              </w:rPr>
              <w:t>4. Sistema de Informações</w:t>
            </w:r>
          </w:p>
          <w:p w:rsidR="00646530" w:rsidRPr="00C75729" w:rsidRDefault="00646530" w:rsidP="00B94A15">
            <w:pPr>
              <w:autoSpaceDE w:val="0"/>
              <w:autoSpaceDN w:val="0"/>
              <w:adjustRightInd w:val="0"/>
              <w:spacing w:before="60" w:after="60" w:line="240" w:lineRule="auto"/>
              <w:jc w:val="left"/>
              <w:rPr>
                <w:rFonts w:cs="Arial"/>
                <w:sz w:val="20"/>
                <w:szCs w:val="20"/>
              </w:rPr>
            </w:pPr>
            <w:r w:rsidRPr="00C75729">
              <w:rPr>
                <w:rFonts w:cs="Arial"/>
                <w:sz w:val="20"/>
                <w:szCs w:val="20"/>
              </w:rPr>
              <w:t xml:space="preserve">- Ausência de procedimento sistematizado para análise da água das captações da área rural e sistemas da </w:t>
            </w:r>
            <w:r>
              <w:rPr>
                <w:rFonts w:cs="Arial"/>
                <w:sz w:val="20"/>
                <w:szCs w:val="20"/>
              </w:rPr>
              <w:t>P</w:t>
            </w:r>
            <w:r w:rsidRPr="00C75729">
              <w:rPr>
                <w:rFonts w:cs="Arial"/>
                <w:sz w:val="20"/>
                <w:szCs w:val="20"/>
              </w:rPr>
              <w:t>refeitura</w:t>
            </w:r>
            <w:r>
              <w:rPr>
                <w:rFonts w:cs="Arial"/>
                <w:sz w:val="20"/>
                <w:szCs w:val="20"/>
              </w:rPr>
              <w:t xml:space="preserve"> Municipal</w:t>
            </w:r>
            <w:r w:rsidRPr="00C75729">
              <w:rPr>
                <w:rFonts w:cs="Arial"/>
                <w:sz w:val="20"/>
                <w:szCs w:val="20"/>
              </w:rPr>
              <w:t>.</w:t>
            </w:r>
          </w:p>
          <w:p w:rsidR="00646530" w:rsidRPr="00C75729" w:rsidRDefault="00646530" w:rsidP="00B94A15">
            <w:pPr>
              <w:autoSpaceDE w:val="0"/>
              <w:autoSpaceDN w:val="0"/>
              <w:adjustRightInd w:val="0"/>
              <w:spacing w:before="60" w:after="60" w:line="240" w:lineRule="auto"/>
              <w:jc w:val="left"/>
              <w:rPr>
                <w:rFonts w:cs="Arial"/>
                <w:sz w:val="20"/>
                <w:szCs w:val="20"/>
              </w:rPr>
            </w:pPr>
            <w:r w:rsidRPr="00C75729">
              <w:rPr>
                <w:rFonts w:cs="Arial"/>
                <w:sz w:val="20"/>
                <w:szCs w:val="20"/>
              </w:rPr>
              <w:t>- Não existem mecanismos de comunicação de informações referente</w:t>
            </w:r>
            <w:r>
              <w:rPr>
                <w:rFonts w:cs="Arial"/>
                <w:sz w:val="20"/>
                <w:szCs w:val="20"/>
              </w:rPr>
              <w:t>s à</w:t>
            </w:r>
            <w:r w:rsidRPr="00C75729">
              <w:rPr>
                <w:rFonts w:cs="Arial"/>
                <w:sz w:val="20"/>
                <w:szCs w:val="20"/>
              </w:rPr>
              <w:t xml:space="preserve"> qualidade d</w:t>
            </w:r>
            <w:r>
              <w:rPr>
                <w:rFonts w:cs="Arial"/>
                <w:sz w:val="20"/>
                <w:szCs w:val="20"/>
              </w:rPr>
              <w:t>a</w:t>
            </w:r>
            <w:r w:rsidRPr="00C75729">
              <w:rPr>
                <w:rFonts w:cs="Arial"/>
                <w:sz w:val="20"/>
                <w:szCs w:val="20"/>
              </w:rPr>
              <w:t xml:space="preserve"> água servida na área rural.</w:t>
            </w:r>
          </w:p>
          <w:p w:rsidR="00646530" w:rsidRPr="00C75729" w:rsidRDefault="00646530" w:rsidP="00B94A15">
            <w:pPr>
              <w:autoSpaceDE w:val="0"/>
              <w:autoSpaceDN w:val="0"/>
              <w:adjustRightInd w:val="0"/>
              <w:spacing w:before="60" w:after="60" w:line="240" w:lineRule="auto"/>
              <w:jc w:val="left"/>
              <w:rPr>
                <w:rFonts w:cs="Arial"/>
                <w:sz w:val="20"/>
                <w:szCs w:val="20"/>
              </w:rPr>
            </w:pPr>
          </w:p>
          <w:p w:rsidR="00646530" w:rsidRPr="00C75729" w:rsidRDefault="00646530" w:rsidP="00B94A15">
            <w:pPr>
              <w:autoSpaceDE w:val="0"/>
              <w:autoSpaceDN w:val="0"/>
              <w:adjustRightInd w:val="0"/>
              <w:spacing w:before="60" w:after="60" w:line="240" w:lineRule="auto"/>
              <w:jc w:val="left"/>
              <w:rPr>
                <w:rFonts w:cs="Arial"/>
                <w:b/>
                <w:sz w:val="20"/>
                <w:szCs w:val="20"/>
              </w:rPr>
            </w:pPr>
            <w:r w:rsidRPr="00C75729">
              <w:rPr>
                <w:rFonts w:cs="Arial"/>
                <w:b/>
                <w:sz w:val="20"/>
                <w:szCs w:val="20"/>
              </w:rPr>
              <w:t>6. Sustentabilidade econômica</w:t>
            </w:r>
          </w:p>
          <w:p w:rsidR="00646530" w:rsidRPr="00C75729" w:rsidRDefault="00646530" w:rsidP="00B94A15">
            <w:pPr>
              <w:widowControl w:val="0"/>
              <w:autoSpaceDE w:val="0"/>
              <w:autoSpaceDN w:val="0"/>
              <w:adjustRightInd w:val="0"/>
              <w:spacing w:before="120" w:after="120" w:line="240" w:lineRule="auto"/>
              <w:ind w:firstLine="23"/>
              <w:contextualSpacing/>
              <w:jc w:val="left"/>
              <w:rPr>
                <w:rFonts w:cs="Arial"/>
                <w:sz w:val="20"/>
                <w:szCs w:val="20"/>
              </w:rPr>
            </w:pPr>
            <w:r w:rsidRPr="00C75729">
              <w:rPr>
                <w:rFonts w:cs="Arial"/>
                <w:sz w:val="20"/>
                <w:szCs w:val="20"/>
              </w:rPr>
              <w:t xml:space="preserve">- Apesar de existir tarifação, a operação do SAA traz prejuízos à COPASA e à </w:t>
            </w:r>
            <w:r>
              <w:rPr>
                <w:rFonts w:cs="Arial"/>
                <w:sz w:val="20"/>
                <w:szCs w:val="20"/>
              </w:rPr>
              <w:t>P</w:t>
            </w:r>
            <w:r w:rsidRPr="00C75729">
              <w:rPr>
                <w:rFonts w:cs="Arial"/>
                <w:sz w:val="20"/>
                <w:szCs w:val="20"/>
              </w:rPr>
              <w:t>refeitura</w:t>
            </w:r>
            <w:r>
              <w:rPr>
                <w:rFonts w:cs="Arial"/>
                <w:sz w:val="20"/>
                <w:szCs w:val="20"/>
              </w:rPr>
              <w:t xml:space="preserve"> Municipal</w:t>
            </w:r>
            <w:r w:rsidRPr="00C75729">
              <w:rPr>
                <w:rFonts w:cs="Arial"/>
                <w:sz w:val="20"/>
                <w:szCs w:val="20"/>
              </w:rPr>
              <w:t>.</w:t>
            </w:r>
          </w:p>
          <w:p w:rsidR="00646530" w:rsidRPr="00C75729" w:rsidRDefault="00646530" w:rsidP="00B94A15">
            <w:pPr>
              <w:widowControl w:val="0"/>
              <w:autoSpaceDE w:val="0"/>
              <w:autoSpaceDN w:val="0"/>
              <w:adjustRightInd w:val="0"/>
              <w:spacing w:before="120" w:after="120" w:line="240" w:lineRule="auto"/>
              <w:ind w:firstLine="23"/>
              <w:contextualSpacing/>
              <w:jc w:val="left"/>
              <w:rPr>
                <w:rFonts w:cs="Arial"/>
                <w:sz w:val="20"/>
                <w:szCs w:val="20"/>
                <w:highlight w:val="yellow"/>
              </w:rPr>
            </w:pPr>
          </w:p>
        </w:tc>
      </w:tr>
      <w:tr w:rsidR="00646530" w:rsidRPr="00C75729" w:rsidTr="00B94A15">
        <w:trPr>
          <w:trHeight w:val="1895"/>
          <w:jc w:val="center"/>
        </w:trPr>
        <w:tc>
          <w:tcPr>
            <w:tcW w:w="0" w:type="auto"/>
            <w:tcBorders>
              <w:top w:val="single" w:sz="4" w:space="0" w:color="auto"/>
              <w:left w:val="single" w:sz="4" w:space="0" w:color="auto"/>
              <w:bottom w:val="single" w:sz="4" w:space="0" w:color="auto"/>
              <w:right w:val="single" w:sz="4" w:space="0" w:color="auto"/>
            </w:tcBorders>
            <w:shd w:val="clear" w:color="auto" w:fill="365F91"/>
            <w:vAlign w:val="center"/>
            <w:hideMark/>
          </w:tcPr>
          <w:p w:rsidR="00646530" w:rsidRPr="00C75729" w:rsidRDefault="00646530" w:rsidP="00B94A15">
            <w:pPr>
              <w:autoSpaceDE w:val="0"/>
              <w:autoSpaceDN w:val="0"/>
              <w:adjustRightInd w:val="0"/>
              <w:spacing w:before="60" w:after="60" w:line="240" w:lineRule="auto"/>
              <w:jc w:val="center"/>
              <w:rPr>
                <w:rFonts w:cs="Arial"/>
                <w:color w:val="FFFFFF"/>
                <w:sz w:val="20"/>
                <w:szCs w:val="20"/>
              </w:rPr>
            </w:pPr>
            <w:r w:rsidRPr="00C75729">
              <w:rPr>
                <w:rFonts w:cs="Arial"/>
                <w:color w:val="FFFFFF"/>
                <w:sz w:val="20"/>
                <w:szCs w:val="20"/>
              </w:rPr>
              <w:lastRenderedPageBreak/>
              <w:t>Ambiente Externo</w:t>
            </w:r>
          </w:p>
        </w:tc>
        <w:tc>
          <w:tcPr>
            <w:tcW w:w="3253" w:type="dxa"/>
            <w:tcBorders>
              <w:top w:val="single" w:sz="4" w:space="0" w:color="auto"/>
              <w:left w:val="single" w:sz="4" w:space="0" w:color="auto"/>
              <w:bottom w:val="single" w:sz="4" w:space="0" w:color="auto"/>
              <w:right w:val="single" w:sz="4" w:space="0" w:color="auto"/>
            </w:tcBorders>
            <w:shd w:val="clear" w:color="auto" w:fill="B8CCE4"/>
          </w:tcPr>
          <w:p w:rsidR="00646530" w:rsidRPr="00C75729" w:rsidRDefault="00646530" w:rsidP="00B94A15">
            <w:pPr>
              <w:autoSpaceDE w:val="0"/>
              <w:autoSpaceDN w:val="0"/>
              <w:adjustRightInd w:val="0"/>
              <w:spacing w:before="60" w:after="60" w:line="240" w:lineRule="auto"/>
              <w:jc w:val="center"/>
              <w:rPr>
                <w:rFonts w:cs="Arial"/>
                <w:b/>
                <w:sz w:val="20"/>
                <w:szCs w:val="20"/>
              </w:rPr>
            </w:pPr>
            <w:r w:rsidRPr="00C75729">
              <w:rPr>
                <w:rFonts w:cs="Arial"/>
                <w:b/>
                <w:sz w:val="20"/>
                <w:szCs w:val="20"/>
              </w:rPr>
              <w:t>OPORTUNIDADES</w:t>
            </w:r>
          </w:p>
          <w:p w:rsidR="00646530" w:rsidRPr="00C75729" w:rsidRDefault="00646530" w:rsidP="00B94A15">
            <w:pPr>
              <w:autoSpaceDE w:val="0"/>
              <w:autoSpaceDN w:val="0"/>
              <w:adjustRightInd w:val="0"/>
              <w:spacing w:before="60" w:after="60" w:line="240" w:lineRule="auto"/>
              <w:jc w:val="center"/>
              <w:rPr>
                <w:rFonts w:cs="Arial"/>
                <w:b/>
                <w:sz w:val="20"/>
                <w:szCs w:val="20"/>
              </w:rPr>
            </w:pPr>
          </w:p>
          <w:p w:rsidR="00646530" w:rsidRPr="00C75729" w:rsidRDefault="00646530" w:rsidP="00B94A15">
            <w:pPr>
              <w:autoSpaceDE w:val="0"/>
              <w:autoSpaceDN w:val="0"/>
              <w:adjustRightInd w:val="0"/>
              <w:spacing w:before="60" w:after="60" w:line="240" w:lineRule="auto"/>
              <w:rPr>
                <w:rFonts w:cs="Arial"/>
                <w:b/>
                <w:sz w:val="20"/>
                <w:szCs w:val="20"/>
              </w:rPr>
            </w:pPr>
            <w:r w:rsidRPr="00C75729">
              <w:rPr>
                <w:rFonts w:cs="Arial"/>
                <w:b/>
                <w:sz w:val="20"/>
                <w:szCs w:val="20"/>
              </w:rPr>
              <w:t>6. Sustentabilidade econômica</w:t>
            </w:r>
          </w:p>
          <w:p w:rsidR="00646530" w:rsidRPr="00C75729" w:rsidRDefault="00646530" w:rsidP="00B94A15">
            <w:pPr>
              <w:jc w:val="left"/>
              <w:rPr>
                <w:rFonts w:eastAsiaTheme="minorHAnsi" w:cs="Arial"/>
                <w:sz w:val="20"/>
                <w:szCs w:val="20"/>
              </w:rPr>
            </w:pPr>
            <w:r w:rsidRPr="00C75729">
              <w:rPr>
                <w:rFonts w:cs="Arial"/>
                <w:sz w:val="20"/>
                <w:szCs w:val="20"/>
              </w:rPr>
              <w:t xml:space="preserve">- </w:t>
            </w:r>
            <w:r w:rsidRPr="00C75729">
              <w:rPr>
                <w:rFonts w:eastAsiaTheme="minorHAnsi" w:cs="Arial"/>
                <w:sz w:val="20"/>
                <w:szCs w:val="20"/>
              </w:rPr>
              <w:t>Devido ao desastre com a barragem de Fundão, existe a possibilidade de novos investimentos em saneamento básico pela SAMARCO S.A., responsável pelo acidente.</w:t>
            </w:r>
          </w:p>
          <w:p w:rsidR="00646530" w:rsidRPr="00C75729" w:rsidRDefault="00646530" w:rsidP="00B94A15">
            <w:pPr>
              <w:autoSpaceDE w:val="0"/>
              <w:autoSpaceDN w:val="0"/>
              <w:adjustRightInd w:val="0"/>
              <w:spacing w:before="60" w:after="60" w:line="240" w:lineRule="auto"/>
              <w:jc w:val="left"/>
              <w:rPr>
                <w:rFonts w:cs="Arial"/>
                <w:sz w:val="20"/>
                <w:szCs w:val="20"/>
              </w:rPr>
            </w:pPr>
          </w:p>
          <w:p w:rsidR="00646530" w:rsidRPr="00C75729" w:rsidRDefault="00646530" w:rsidP="00B94A15">
            <w:pPr>
              <w:autoSpaceDE w:val="0"/>
              <w:autoSpaceDN w:val="0"/>
              <w:adjustRightInd w:val="0"/>
              <w:spacing w:before="60" w:after="60" w:line="240" w:lineRule="auto"/>
              <w:rPr>
                <w:rFonts w:cs="Arial"/>
                <w:sz w:val="20"/>
                <w:szCs w:val="20"/>
              </w:rPr>
            </w:pPr>
          </w:p>
        </w:tc>
        <w:tc>
          <w:tcPr>
            <w:tcW w:w="3402" w:type="dxa"/>
            <w:vMerge/>
            <w:tcBorders>
              <w:left w:val="single" w:sz="4" w:space="0" w:color="auto"/>
              <w:bottom w:val="single" w:sz="4" w:space="0" w:color="auto"/>
              <w:right w:val="single" w:sz="4" w:space="0" w:color="auto"/>
            </w:tcBorders>
            <w:shd w:val="clear" w:color="auto" w:fill="B8CCE4"/>
            <w:vAlign w:val="center"/>
          </w:tcPr>
          <w:p w:rsidR="00646530" w:rsidRPr="00C75729" w:rsidRDefault="00646530" w:rsidP="00B94A15">
            <w:pPr>
              <w:autoSpaceDE w:val="0"/>
              <w:autoSpaceDN w:val="0"/>
              <w:adjustRightInd w:val="0"/>
              <w:spacing w:before="60" w:after="60" w:line="240" w:lineRule="auto"/>
              <w:rPr>
                <w:rFonts w:cs="Arial"/>
                <w:b/>
                <w:sz w:val="20"/>
                <w:szCs w:val="20"/>
                <w:highlight w:val="yellow"/>
              </w:rPr>
            </w:pPr>
          </w:p>
        </w:tc>
        <w:tc>
          <w:tcPr>
            <w:tcW w:w="7378" w:type="dxa"/>
            <w:tcBorders>
              <w:top w:val="single" w:sz="4" w:space="0" w:color="auto"/>
              <w:left w:val="single" w:sz="4" w:space="0" w:color="auto"/>
              <w:bottom w:val="single" w:sz="4" w:space="0" w:color="auto"/>
              <w:right w:val="single" w:sz="4" w:space="0" w:color="auto"/>
            </w:tcBorders>
            <w:shd w:val="clear" w:color="auto" w:fill="B8CCE4"/>
          </w:tcPr>
          <w:p w:rsidR="00646530" w:rsidRPr="00C75729" w:rsidRDefault="00646530" w:rsidP="00B94A15">
            <w:pPr>
              <w:autoSpaceDE w:val="0"/>
              <w:autoSpaceDN w:val="0"/>
              <w:adjustRightInd w:val="0"/>
              <w:spacing w:before="60" w:after="60" w:line="240" w:lineRule="auto"/>
              <w:jc w:val="center"/>
              <w:rPr>
                <w:rFonts w:cs="Arial"/>
                <w:b/>
                <w:sz w:val="20"/>
                <w:szCs w:val="20"/>
              </w:rPr>
            </w:pPr>
            <w:r w:rsidRPr="00C75729">
              <w:rPr>
                <w:rFonts w:cs="Arial"/>
                <w:b/>
                <w:sz w:val="20"/>
                <w:szCs w:val="20"/>
              </w:rPr>
              <w:t>AMEAÇAS</w:t>
            </w:r>
          </w:p>
          <w:p w:rsidR="00646530" w:rsidRPr="00C75729" w:rsidRDefault="00646530" w:rsidP="00B94A15">
            <w:pPr>
              <w:autoSpaceDE w:val="0"/>
              <w:autoSpaceDN w:val="0"/>
              <w:adjustRightInd w:val="0"/>
              <w:spacing w:before="60" w:after="60" w:line="240" w:lineRule="auto"/>
              <w:jc w:val="center"/>
              <w:rPr>
                <w:rFonts w:cs="Arial"/>
                <w:b/>
                <w:sz w:val="20"/>
                <w:szCs w:val="20"/>
              </w:rPr>
            </w:pPr>
          </w:p>
          <w:p w:rsidR="00646530" w:rsidRPr="00C75729" w:rsidRDefault="00646530" w:rsidP="00B94A15">
            <w:pPr>
              <w:autoSpaceDE w:val="0"/>
              <w:autoSpaceDN w:val="0"/>
              <w:adjustRightInd w:val="0"/>
              <w:spacing w:before="60" w:after="60" w:line="240" w:lineRule="auto"/>
              <w:rPr>
                <w:rFonts w:cs="Arial"/>
                <w:b/>
                <w:sz w:val="20"/>
                <w:szCs w:val="20"/>
              </w:rPr>
            </w:pPr>
            <w:r w:rsidRPr="00C75729">
              <w:rPr>
                <w:rFonts w:cs="Arial"/>
                <w:b/>
                <w:sz w:val="20"/>
                <w:szCs w:val="20"/>
              </w:rPr>
              <w:t>3. Sistema Operacional</w:t>
            </w:r>
          </w:p>
          <w:p w:rsidR="00646530" w:rsidRPr="00C75729" w:rsidRDefault="00646530" w:rsidP="00B94A15">
            <w:pPr>
              <w:autoSpaceDE w:val="0"/>
              <w:autoSpaceDN w:val="0"/>
              <w:adjustRightInd w:val="0"/>
              <w:spacing w:before="60" w:after="60" w:line="240" w:lineRule="auto"/>
              <w:jc w:val="left"/>
              <w:rPr>
                <w:rFonts w:cs="Arial"/>
                <w:sz w:val="20"/>
                <w:szCs w:val="20"/>
              </w:rPr>
            </w:pPr>
            <w:r w:rsidRPr="00C75729">
              <w:rPr>
                <w:rFonts w:cs="Arial"/>
                <w:sz w:val="20"/>
                <w:szCs w:val="20"/>
              </w:rPr>
              <w:t>- Malha urbana tem expansão desordenada</w:t>
            </w:r>
            <w:r>
              <w:rPr>
                <w:rFonts w:cs="Arial"/>
                <w:sz w:val="20"/>
                <w:szCs w:val="20"/>
              </w:rPr>
              <w:t xml:space="preserve"> </w:t>
            </w:r>
            <w:r w:rsidRPr="00C75729">
              <w:rPr>
                <w:rFonts w:cs="Arial"/>
                <w:sz w:val="20"/>
                <w:szCs w:val="20"/>
              </w:rPr>
              <w:t>dificultando</w:t>
            </w:r>
            <w:r>
              <w:rPr>
                <w:rFonts w:cs="Arial"/>
                <w:sz w:val="20"/>
                <w:szCs w:val="20"/>
              </w:rPr>
              <w:t>,</w:t>
            </w:r>
            <w:r w:rsidRPr="00C75729">
              <w:rPr>
                <w:rFonts w:cs="Arial"/>
                <w:sz w:val="20"/>
                <w:szCs w:val="20"/>
              </w:rPr>
              <w:t xml:space="preserve"> principalmente</w:t>
            </w:r>
            <w:r>
              <w:rPr>
                <w:rFonts w:cs="Arial"/>
                <w:sz w:val="20"/>
                <w:szCs w:val="20"/>
              </w:rPr>
              <w:t xml:space="preserve">, </w:t>
            </w:r>
            <w:r w:rsidRPr="00C75729">
              <w:rPr>
                <w:rFonts w:cs="Arial"/>
                <w:sz w:val="20"/>
                <w:szCs w:val="20"/>
              </w:rPr>
              <w:t>a distribuição de água.</w:t>
            </w:r>
          </w:p>
          <w:p w:rsidR="00646530" w:rsidRPr="00C75729" w:rsidRDefault="00646530" w:rsidP="00B94A15">
            <w:pPr>
              <w:autoSpaceDE w:val="0"/>
              <w:autoSpaceDN w:val="0"/>
              <w:adjustRightInd w:val="0"/>
              <w:spacing w:before="60" w:after="60" w:line="240" w:lineRule="auto"/>
              <w:jc w:val="left"/>
              <w:rPr>
                <w:rFonts w:cs="Arial"/>
                <w:sz w:val="20"/>
                <w:szCs w:val="20"/>
              </w:rPr>
            </w:pPr>
          </w:p>
          <w:p w:rsidR="00646530" w:rsidRPr="00C75729" w:rsidRDefault="00646530" w:rsidP="00B94A15">
            <w:pPr>
              <w:autoSpaceDE w:val="0"/>
              <w:autoSpaceDN w:val="0"/>
              <w:adjustRightInd w:val="0"/>
              <w:spacing w:before="60" w:after="60" w:line="240" w:lineRule="auto"/>
              <w:rPr>
                <w:rFonts w:cs="Arial"/>
                <w:b/>
                <w:sz w:val="20"/>
                <w:szCs w:val="20"/>
              </w:rPr>
            </w:pPr>
            <w:r w:rsidRPr="00C75729">
              <w:rPr>
                <w:rFonts w:cs="Arial"/>
                <w:b/>
                <w:sz w:val="20"/>
                <w:szCs w:val="20"/>
              </w:rPr>
              <w:t>5. Legislação e normatização do setor</w:t>
            </w:r>
          </w:p>
          <w:p w:rsidR="00646530" w:rsidRPr="00C75729" w:rsidRDefault="00646530" w:rsidP="00B94A15">
            <w:pPr>
              <w:autoSpaceDE w:val="0"/>
              <w:autoSpaceDN w:val="0"/>
              <w:adjustRightInd w:val="0"/>
              <w:spacing w:before="60" w:after="60" w:line="240" w:lineRule="auto"/>
              <w:rPr>
                <w:rFonts w:cs="Arial"/>
                <w:sz w:val="20"/>
                <w:szCs w:val="20"/>
              </w:rPr>
            </w:pPr>
            <w:r w:rsidRPr="00C75729">
              <w:rPr>
                <w:rFonts w:cs="Arial"/>
                <w:sz w:val="20"/>
                <w:szCs w:val="20"/>
              </w:rPr>
              <w:t>- Não existe legislação específica para auxiliar a gestão do sistema.</w:t>
            </w:r>
          </w:p>
          <w:p w:rsidR="00646530" w:rsidRPr="00C75729" w:rsidRDefault="00646530" w:rsidP="00B94A15">
            <w:pPr>
              <w:autoSpaceDE w:val="0"/>
              <w:autoSpaceDN w:val="0"/>
              <w:adjustRightInd w:val="0"/>
              <w:spacing w:before="60" w:after="60" w:line="240" w:lineRule="auto"/>
              <w:rPr>
                <w:rFonts w:cs="Arial"/>
                <w:sz w:val="20"/>
                <w:szCs w:val="20"/>
                <w:highlight w:val="yellow"/>
              </w:rPr>
            </w:pPr>
          </w:p>
        </w:tc>
      </w:tr>
    </w:tbl>
    <w:p w:rsidR="00646530" w:rsidRPr="00E643C7" w:rsidRDefault="00646530" w:rsidP="00646530">
      <w:pPr>
        <w:pStyle w:val="Fonte"/>
        <w:rPr>
          <w:lang w:eastAsia="x-none"/>
        </w:rPr>
      </w:pPr>
      <w:r w:rsidRPr="00F23897">
        <w:t>Fonte: adaptado por SHS, 2017.</w:t>
      </w:r>
    </w:p>
    <w:p w:rsidR="00646530" w:rsidRDefault="00646530" w:rsidP="00646530">
      <w:pPr>
        <w:rPr>
          <w:rFonts w:cs="Arial"/>
          <w:szCs w:val="24"/>
          <w:lang w:eastAsia="pt-BR"/>
        </w:rPr>
        <w:sectPr w:rsidR="00646530" w:rsidSect="00B94A15">
          <w:footerReference w:type="default" r:id="rId63"/>
          <w:pgSz w:w="16838" w:h="11906" w:orient="landscape"/>
          <w:pgMar w:top="1418" w:right="1134" w:bottom="1134" w:left="1134" w:header="709" w:footer="709" w:gutter="0"/>
          <w:cols w:space="708"/>
          <w:docGrid w:linePitch="360"/>
        </w:sectPr>
      </w:pPr>
    </w:p>
    <w:p w:rsidR="00646530" w:rsidRDefault="00646530" w:rsidP="00646530">
      <w:pPr>
        <w:spacing w:before="120" w:after="120"/>
        <w:ind w:firstLine="708"/>
        <w:contextualSpacing/>
        <w:rPr>
          <w:rFonts w:cs="Arial"/>
          <w:szCs w:val="24"/>
        </w:rPr>
      </w:pPr>
      <w:r w:rsidRPr="005E053C">
        <w:rPr>
          <w:rFonts w:cs="Arial"/>
          <w:szCs w:val="24"/>
        </w:rPr>
        <w:lastRenderedPageBreak/>
        <w:t>Considerando</w:t>
      </w:r>
      <w:r>
        <w:rPr>
          <w:rFonts w:cs="Arial"/>
          <w:szCs w:val="24"/>
        </w:rPr>
        <w:t xml:space="preserve"> </w:t>
      </w:r>
      <w:r w:rsidRPr="005E053C">
        <w:rPr>
          <w:rFonts w:cs="Arial"/>
          <w:szCs w:val="24"/>
        </w:rPr>
        <w:t>todas es</w:t>
      </w:r>
      <w:r>
        <w:rPr>
          <w:rFonts w:cs="Arial"/>
          <w:szCs w:val="24"/>
        </w:rPr>
        <w:t>s</w:t>
      </w:r>
      <w:r w:rsidRPr="005E053C">
        <w:rPr>
          <w:rFonts w:cs="Arial"/>
          <w:szCs w:val="24"/>
        </w:rPr>
        <w:t>as questões, partiu-se para a construção dos cenários previsível e normativo para o setor de abastecimento d</w:t>
      </w:r>
      <w:r>
        <w:rPr>
          <w:rFonts w:cs="Arial"/>
          <w:szCs w:val="24"/>
        </w:rPr>
        <w:t xml:space="preserve">e </w:t>
      </w:r>
      <w:r w:rsidRPr="005E053C">
        <w:rPr>
          <w:rFonts w:cs="Arial"/>
          <w:szCs w:val="24"/>
        </w:rPr>
        <w:t xml:space="preserve">água de </w:t>
      </w:r>
      <w:r>
        <w:rPr>
          <w:rFonts w:cs="Arial"/>
          <w:szCs w:val="24"/>
          <w:lang w:eastAsia="pt-BR"/>
        </w:rPr>
        <w:t>Córrego Novo</w:t>
      </w:r>
      <w:r w:rsidRPr="005A2A7E">
        <w:rPr>
          <w:rFonts w:cs="Arial"/>
          <w:szCs w:val="24"/>
        </w:rPr>
        <w:t>.</w:t>
      </w:r>
      <w:r w:rsidRPr="005426F5">
        <w:rPr>
          <w:rFonts w:cs="Arial"/>
          <w:szCs w:val="24"/>
        </w:rPr>
        <w:t xml:space="preserve"> O resultado está </w:t>
      </w:r>
      <w:r>
        <w:rPr>
          <w:rFonts w:cs="Arial"/>
          <w:szCs w:val="24"/>
        </w:rPr>
        <w:t>apresentado</w:t>
      </w:r>
      <w:r w:rsidRPr="005426F5">
        <w:rPr>
          <w:rFonts w:cs="Arial"/>
          <w:szCs w:val="24"/>
        </w:rPr>
        <w:t xml:space="preserve"> no</w:t>
      </w:r>
      <w:r>
        <w:rPr>
          <w:rFonts w:cs="Arial"/>
          <w:szCs w:val="24"/>
        </w:rPr>
        <w:t xml:space="preserve"> </w:t>
      </w:r>
      <w:r>
        <w:rPr>
          <w:rFonts w:cs="Arial"/>
          <w:szCs w:val="24"/>
        </w:rPr>
        <w:fldChar w:fldCharType="begin"/>
      </w:r>
      <w:r>
        <w:rPr>
          <w:rFonts w:cs="Arial"/>
          <w:szCs w:val="24"/>
        </w:rPr>
        <w:instrText xml:space="preserve"> REF _Ref484163093 \h </w:instrText>
      </w:r>
      <w:r>
        <w:rPr>
          <w:rFonts w:cs="Arial"/>
          <w:szCs w:val="24"/>
        </w:rPr>
      </w:r>
      <w:r>
        <w:rPr>
          <w:rFonts w:cs="Arial"/>
          <w:szCs w:val="24"/>
        </w:rPr>
        <w:fldChar w:fldCharType="separate"/>
      </w:r>
      <w:r w:rsidR="004D1D76">
        <w:t xml:space="preserve">Quadro </w:t>
      </w:r>
      <w:r w:rsidR="004D1D76">
        <w:rPr>
          <w:noProof/>
        </w:rPr>
        <w:t>75</w:t>
      </w:r>
      <w:r>
        <w:rPr>
          <w:rFonts w:cs="Arial"/>
          <w:szCs w:val="24"/>
        </w:rPr>
        <w:fldChar w:fldCharType="end"/>
      </w:r>
      <w:r>
        <w:rPr>
          <w:rFonts w:cs="Arial"/>
          <w:szCs w:val="24"/>
        </w:rPr>
        <w:t>.</w:t>
      </w:r>
    </w:p>
    <w:p w:rsidR="00646530" w:rsidRDefault="00646530" w:rsidP="00646530">
      <w:pPr>
        <w:pStyle w:val="Legenda"/>
        <w:rPr>
          <w:lang w:val="pt-BR"/>
        </w:rPr>
      </w:pPr>
      <w:bookmarkStart w:id="703" w:name="_Ref484163093"/>
      <w:bookmarkStart w:id="704" w:name="_Toc484423916"/>
      <w:bookmarkStart w:id="705" w:name="_Toc484532478"/>
      <w:bookmarkStart w:id="706" w:name="_Toc497469196"/>
      <w:r>
        <w:t xml:space="preserve">Quadro </w:t>
      </w:r>
      <w:r w:rsidR="00D71C43">
        <w:fldChar w:fldCharType="begin"/>
      </w:r>
      <w:r w:rsidR="00D71C43">
        <w:instrText xml:space="preserve"> SEQ Quadro \* ARABIC </w:instrText>
      </w:r>
      <w:r w:rsidR="00D71C43">
        <w:fldChar w:fldCharType="separate"/>
      </w:r>
      <w:r w:rsidR="004D1D76">
        <w:rPr>
          <w:noProof/>
        </w:rPr>
        <w:t>75</w:t>
      </w:r>
      <w:r w:rsidR="00D71C43">
        <w:rPr>
          <w:noProof/>
        </w:rPr>
        <w:fldChar w:fldCharType="end"/>
      </w:r>
      <w:bookmarkEnd w:id="703"/>
      <w:r>
        <w:rPr>
          <w:lang w:val="pt-BR"/>
        </w:rPr>
        <w:t xml:space="preserve"> - </w:t>
      </w:r>
      <w:r w:rsidRPr="006E1C7F">
        <w:t xml:space="preserve">Descrição dos cenários previsível e normativo para o </w:t>
      </w:r>
      <w:r>
        <w:rPr>
          <w:lang w:val="pt-BR"/>
        </w:rPr>
        <w:t>Sistema de Abastecimento de Água (SAA)</w:t>
      </w:r>
      <w:bookmarkEnd w:id="704"/>
      <w:bookmarkEnd w:id="705"/>
      <w:bookmarkEnd w:id="706"/>
    </w:p>
    <w:tbl>
      <w:tblPr>
        <w:tblW w:w="9215" w:type="dxa"/>
        <w:jc w:val="center"/>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4679"/>
        <w:gridCol w:w="4536"/>
      </w:tblGrid>
      <w:tr w:rsidR="00646530" w:rsidRPr="00E13D13" w:rsidTr="00B94A15">
        <w:trPr>
          <w:tblHeader/>
          <w:jc w:val="center"/>
        </w:trPr>
        <w:tc>
          <w:tcPr>
            <w:tcW w:w="4679" w:type="dxa"/>
            <w:tcBorders>
              <w:top w:val="single" w:sz="8" w:space="0" w:color="4F81BD"/>
              <w:bottom w:val="single" w:sz="8" w:space="0" w:color="4F81BD"/>
              <w:right w:val="single" w:sz="8" w:space="0" w:color="4F81BD"/>
            </w:tcBorders>
            <w:shd w:val="clear" w:color="auto" w:fill="4F81BD"/>
            <w:vAlign w:val="center"/>
          </w:tcPr>
          <w:p w:rsidR="00646530" w:rsidRPr="004E510B" w:rsidRDefault="00646530" w:rsidP="00B94A15">
            <w:pPr>
              <w:autoSpaceDE w:val="0"/>
              <w:autoSpaceDN w:val="0"/>
              <w:adjustRightInd w:val="0"/>
              <w:spacing w:line="312" w:lineRule="auto"/>
              <w:contextualSpacing/>
              <w:jc w:val="center"/>
              <w:rPr>
                <w:rFonts w:cs="Arial"/>
                <w:bCs/>
                <w:sz w:val="20"/>
              </w:rPr>
            </w:pPr>
            <w:r w:rsidRPr="004E510B">
              <w:rPr>
                <w:rFonts w:cs="Arial"/>
                <w:bCs/>
                <w:sz w:val="20"/>
              </w:rPr>
              <w:t>Cenário Previsível</w:t>
            </w:r>
          </w:p>
        </w:tc>
        <w:tc>
          <w:tcPr>
            <w:tcW w:w="4536" w:type="dxa"/>
            <w:tcBorders>
              <w:left w:val="single" w:sz="8" w:space="0" w:color="4F81BD"/>
            </w:tcBorders>
            <w:shd w:val="clear" w:color="auto" w:fill="4F81BD"/>
            <w:vAlign w:val="center"/>
          </w:tcPr>
          <w:p w:rsidR="00646530" w:rsidRPr="004E510B" w:rsidRDefault="00646530" w:rsidP="00B94A15">
            <w:pPr>
              <w:autoSpaceDE w:val="0"/>
              <w:autoSpaceDN w:val="0"/>
              <w:adjustRightInd w:val="0"/>
              <w:spacing w:line="312" w:lineRule="auto"/>
              <w:contextualSpacing/>
              <w:jc w:val="center"/>
              <w:rPr>
                <w:rFonts w:cs="Arial"/>
                <w:bCs/>
                <w:sz w:val="20"/>
              </w:rPr>
            </w:pPr>
            <w:r w:rsidRPr="004E510B">
              <w:rPr>
                <w:rFonts w:cs="Arial"/>
                <w:bCs/>
                <w:sz w:val="20"/>
              </w:rPr>
              <w:t>Cenário Normativo</w:t>
            </w:r>
          </w:p>
        </w:tc>
      </w:tr>
      <w:tr w:rsidR="00646530" w:rsidRPr="00E13D13" w:rsidTr="00B94A15">
        <w:trPr>
          <w:jc w:val="center"/>
        </w:trPr>
        <w:tc>
          <w:tcPr>
            <w:tcW w:w="4679" w:type="dxa"/>
            <w:tcBorders>
              <w:top w:val="single" w:sz="8" w:space="0" w:color="4F81BD"/>
              <w:left w:val="single" w:sz="8" w:space="0" w:color="4F81BD"/>
              <w:bottom w:val="single" w:sz="8" w:space="0" w:color="4F81BD"/>
              <w:right w:val="single" w:sz="8" w:space="0" w:color="4F81BD"/>
            </w:tcBorders>
            <w:shd w:val="clear" w:color="auto" w:fill="auto"/>
          </w:tcPr>
          <w:p w:rsidR="00646530" w:rsidRPr="004E510B" w:rsidRDefault="00646530" w:rsidP="00B94A15">
            <w:pPr>
              <w:autoSpaceDE w:val="0"/>
              <w:autoSpaceDN w:val="0"/>
              <w:adjustRightInd w:val="0"/>
              <w:spacing w:line="312" w:lineRule="auto"/>
              <w:contextualSpacing/>
              <w:rPr>
                <w:rFonts w:cs="Arial"/>
                <w:bCs/>
                <w:sz w:val="20"/>
              </w:rPr>
            </w:pPr>
            <w:r w:rsidRPr="004E510B">
              <w:rPr>
                <w:rFonts w:cs="Arial"/>
                <w:bCs/>
                <w:sz w:val="20"/>
              </w:rPr>
              <w:t>100% de atendimento na área urbana de forma contínua, mas não ininterrupta e sem monitora</w:t>
            </w:r>
            <w:r>
              <w:rPr>
                <w:rFonts w:cs="Arial"/>
                <w:bCs/>
                <w:sz w:val="20"/>
              </w:rPr>
              <w:t>mento de sistemas particulares.</w:t>
            </w:r>
          </w:p>
        </w:tc>
        <w:tc>
          <w:tcPr>
            <w:tcW w:w="4536" w:type="dxa"/>
            <w:tcBorders>
              <w:top w:val="single" w:sz="8" w:space="0" w:color="4F81BD"/>
              <w:left w:val="single" w:sz="8" w:space="0" w:color="4F81BD"/>
              <w:bottom w:val="single" w:sz="8" w:space="0" w:color="4F81BD"/>
              <w:right w:val="single" w:sz="8" w:space="0" w:color="4F81BD"/>
            </w:tcBorders>
            <w:shd w:val="clear" w:color="auto" w:fill="auto"/>
          </w:tcPr>
          <w:p w:rsidR="00646530" w:rsidRPr="004E510B" w:rsidRDefault="00646530" w:rsidP="00B94A15">
            <w:pPr>
              <w:autoSpaceDE w:val="0"/>
              <w:autoSpaceDN w:val="0"/>
              <w:adjustRightInd w:val="0"/>
              <w:spacing w:line="312" w:lineRule="auto"/>
              <w:contextualSpacing/>
              <w:rPr>
                <w:rFonts w:cs="Arial"/>
                <w:sz w:val="20"/>
              </w:rPr>
            </w:pPr>
            <w:r w:rsidRPr="004E510B">
              <w:rPr>
                <w:rFonts w:cs="Arial"/>
                <w:sz w:val="20"/>
              </w:rPr>
              <w:t>100% de atendimento na área urbana de forma contínua e ininterrupta, com monitoramento de sistemas particulares.</w:t>
            </w:r>
          </w:p>
        </w:tc>
      </w:tr>
      <w:tr w:rsidR="00646530" w:rsidRPr="00E13D13" w:rsidTr="00B94A15">
        <w:trPr>
          <w:jc w:val="center"/>
        </w:trPr>
        <w:tc>
          <w:tcPr>
            <w:tcW w:w="4679" w:type="dxa"/>
            <w:tcBorders>
              <w:top w:val="single" w:sz="8" w:space="0" w:color="4F81BD"/>
              <w:bottom w:val="single" w:sz="8" w:space="0" w:color="4F81BD"/>
              <w:right w:val="single" w:sz="8" w:space="0" w:color="4F81BD"/>
            </w:tcBorders>
            <w:shd w:val="clear" w:color="auto" w:fill="auto"/>
          </w:tcPr>
          <w:p w:rsidR="00646530" w:rsidRPr="004E510B" w:rsidRDefault="00646530" w:rsidP="00B94A15">
            <w:pPr>
              <w:autoSpaceDE w:val="0"/>
              <w:autoSpaceDN w:val="0"/>
              <w:adjustRightInd w:val="0"/>
              <w:spacing w:line="312" w:lineRule="auto"/>
              <w:contextualSpacing/>
              <w:rPr>
                <w:rFonts w:cs="Arial"/>
                <w:bCs/>
                <w:sz w:val="20"/>
              </w:rPr>
            </w:pPr>
            <w:r w:rsidRPr="004E510B">
              <w:rPr>
                <w:rFonts w:cs="Arial"/>
                <w:sz w:val="20"/>
              </w:rPr>
              <w:t>Gestão eficiente e articulada com sistematização para o armazenamento e recuperação de dados, porém não é transparente em relação à divulgação desses dados.</w:t>
            </w:r>
          </w:p>
        </w:tc>
        <w:tc>
          <w:tcPr>
            <w:tcW w:w="4536" w:type="dxa"/>
            <w:tcBorders>
              <w:left w:val="single" w:sz="8" w:space="0" w:color="4F81BD"/>
            </w:tcBorders>
            <w:shd w:val="clear" w:color="auto" w:fill="auto"/>
          </w:tcPr>
          <w:p w:rsidR="00646530" w:rsidRPr="004E510B" w:rsidRDefault="00646530" w:rsidP="00B94A15">
            <w:pPr>
              <w:autoSpaceDE w:val="0"/>
              <w:autoSpaceDN w:val="0"/>
              <w:adjustRightInd w:val="0"/>
              <w:spacing w:line="312" w:lineRule="auto"/>
              <w:contextualSpacing/>
              <w:rPr>
                <w:rFonts w:cs="Arial"/>
                <w:sz w:val="20"/>
              </w:rPr>
            </w:pPr>
            <w:r w:rsidRPr="004E510B">
              <w:rPr>
                <w:rFonts w:cs="Arial"/>
                <w:sz w:val="20"/>
              </w:rPr>
              <w:t>Gestão eficiente e articulada</w:t>
            </w:r>
            <w:r>
              <w:rPr>
                <w:rFonts w:cs="Arial"/>
                <w:sz w:val="20"/>
              </w:rPr>
              <w:t>,</w:t>
            </w:r>
            <w:r w:rsidRPr="004E510B">
              <w:rPr>
                <w:rFonts w:cs="Arial"/>
                <w:sz w:val="20"/>
              </w:rPr>
              <w:t xml:space="preserve"> com sistematização para o armazenamento e recuperação de dados</w:t>
            </w:r>
            <w:r>
              <w:rPr>
                <w:rFonts w:cs="Arial"/>
                <w:sz w:val="20"/>
              </w:rPr>
              <w:t>,</w:t>
            </w:r>
            <w:r w:rsidRPr="004E510B">
              <w:rPr>
                <w:rFonts w:cs="Arial"/>
                <w:sz w:val="20"/>
              </w:rPr>
              <w:t xml:space="preserve"> e transparente em relação à divulgação dos mesmos.</w:t>
            </w:r>
          </w:p>
        </w:tc>
      </w:tr>
      <w:tr w:rsidR="00646530" w:rsidRPr="00E13D13" w:rsidTr="00B94A15">
        <w:trPr>
          <w:jc w:val="center"/>
        </w:trPr>
        <w:tc>
          <w:tcPr>
            <w:tcW w:w="4679" w:type="dxa"/>
            <w:tcBorders>
              <w:top w:val="single" w:sz="8" w:space="0" w:color="4F81BD"/>
              <w:left w:val="single" w:sz="8" w:space="0" w:color="4F81BD"/>
              <w:bottom w:val="single" w:sz="8" w:space="0" w:color="4F81BD"/>
              <w:right w:val="single" w:sz="8" w:space="0" w:color="4F81BD"/>
            </w:tcBorders>
            <w:shd w:val="clear" w:color="auto" w:fill="auto"/>
          </w:tcPr>
          <w:p w:rsidR="00646530" w:rsidRPr="004E510B" w:rsidRDefault="00646530" w:rsidP="00B94A15">
            <w:pPr>
              <w:autoSpaceDE w:val="0"/>
              <w:autoSpaceDN w:val="0"/>
              <w:adjustRightInd w:val="0"/>
              <w:spacing w:line="312" w:lineRule="auto"/>
              <w:contextualSpacing/>
              <w:rPr>
                <w:rFonts w:cs="Arial"/>
                <w:bCs/>
                <w:sz w:val="20"/>
              </w:rPr>
            </w:pPr>
            <w:r w:rsidRPr="004E510B">
              <w:rPr>
                <w:rFonts w:cs="Arial"/>
                <w:bCs/>
                <w:sz w:val="20"/>
              </w:rPr>
              <w:t>Não há periodicidade na manutenção necessária dos equipamentos que compõem o SAA.</w:t>
            </w:r>
          </w:p>
        </w:tc>
        <w:tc>
          <w:tcPr>
            <w:tcW w:w="4536" w:type="dxa"/>
            <w:tcBorders>
              <w:top w:val="single" w:sz="8" w:space="0" w:color="4F81BD"/>
              <w:left w:val="single" w:sz="8" w:space="0" w:color="4F81BD"/>
              <w:bottom w:val="single" w:sz="8" w:space="0" w:color="4F81BD"/>
              <w:right w:val="single" w:sz="8" w:space="0" w:color="4F81BD"/>
            </w:tcBorders>
            <w:shd w:val="clear" w:color="auto" w:fill="auto"/>
          </w:tcPr>
          <w:p w:rsidR="00646530" w:rsidRPr="004E510B" w:rsidRDefault="00646530" w:rsidP="00B94A15">
            <w:pPr>
              <w:autoSpaceDE w:val="0"/>
              <w:autoSpaceDN w:val="0"/>
              <w:adjustRightInd w:val="0"/>
              <w:spacing w:line="312" w:lineRule="auto"/>
              <w:contextualSpacing/>
              <w:rPr>
                <w:rFonts w:cs="Arial"/>
                <w:sz w:val="20"/>
              </w:rPr>
            </w:pPr>
            <w:r w:rsidRPr="004E510B">
              <w:rPr>
                <w:rFonts w:cs="Arial"/>
                <w:sz w:val="20"/>
              </w:rPr>
              <w:t>Manutenção dos equipamentos que compõem o SAA</w:t>
            </w:r>
            <w:r>
              <w:rPr>
                <w:rFonts w:cs="Arial"/>
                <w:sz w:val="20"/>
              </w:rPr>
              <w:t xml:space="preserve"> </w:t>
            </w:r>
            <w:r w:rsidRPr="004E510B">
              <w:rPr>
                <w:rFonts w:cs="Arial"/>
                <w:sz w:val="20"/>
              </w:rPr>
              <w:t>feita de maneira contínua e preventiva.</w:t>
            </w:r>
          </w:p>
        </w:tc>
      </w:tr>
      <w:tr w:rsidR="00646530" w:rsidRPr="00E13D13" w:rsidTr="00B94A15">
        <w:trPr>
          <w:jc w:val="center"/>
        </w:trPr>
        <w:tc>
          <w:tcPr>
            <w:tcW w:w="4679" w:type="dxa"/>
            <w:tcBorders>
              <w:top w:val="single" w:sz="8" w:space="0" w:color="4F81BD"/>
              <w:left w:val="single" w:sz="8" w:space="0" w:color="4F81BD"/>
              <w:bottom w:val="single" w:sz="8" w:space="0" w:color="4F81BD"/>
              <w:right w:val="single" w:sz="8" w:space="0" w:color="4F81BD"/>
            </w:tcBorders>
            <w:shd w:val="clear" w:color="auto" w:fill="auto"/>
            <w:vAlign w:val="center"/>
          </w:tcPr>
          <w:p w:rsidR="00646530" w:rsidRPr="004E510B" w:rsidRDefault="00646530" w:rsidP="00B94A15">
            <w:pPr>
              <w:autoSpaceDE w:val="0"/>
              <w:autoSpaceDN w:val="0"/>
              <w:adjustRightInd w:val="0"/>
              <w:spacing w:line="312" w:lineRule="auto"/>
              <w:contextualSpacing/>
              <w:rPr>
                <w:rFonts w:cs="Arial"/>
                <w:bCs/>
                <w:sz w:val="20"/>
              </w:rPr>
            </w:pPr>
            <w:r w:rsidRPr="004E510B">
              <w:rPr>
                <w:rFonts w:cs="Arial"/>
                <w:bCs/>
                <w:sz w:val="20"/>
              </w:rPr>
              <w:t xml:space="preserve">Existência de tarifação apenas na </w:t>
            </w:r>
            <w:r>
              <w:rPr>
                <w:rFonts w:cs="Arial"/>
                <w:bCs/>
                <w:sz w:val="20"/>
              </w:rPr>
              <w:t>sede</w:t>
            </w:r>
            <w:r w:rsidRPr="004E510B">
              <w:rPr>
                <w:rFonts w:cs="Arial"/>
                <w:bCs/>
                <w:sz w:val="20"/>
              </w:rPr>
              <w:t xml:space="preserve"> atendida pela COPASA e sistema trabalha em </w:t>
            </w:r>
            <w:r w:rsidRPr="004E510B">
              <w:rPr>
                <w:rFonts w:cs="Arial"/>
                <w:bCs/>
                <w:i/>
                <w:sz w:val="20"/>
              </w:rPr>
              <w:t>déficit</w:t>
            </w:r>
            <w:r w:rsidRPr="004E510B">
              <w:rPr>
                <w:rFonts w:cs="Arial"/>
                <w:bCs/>
                <w:sz w:val="20"/>
              </w:rPr>
              <w:t>.</w:t>
            </w:r>
          </w:p>
        </w:tc>
        <w:tc>
          <w:tcPr>
            <w:tcW w:w="4536" w:type="dxa"/>
            <w:tcBorders>
              <w:top w:val="single" w:sz="8" w:space="0" w:color="4F81BD"/>
              <w:left w:val="single" w:sz="8" w:space="0" w:color="4F81BD"/>
              <w:bottom w:val="single" w:sz="8" w:space="0" w:color="4F81BD"/>
              <w:right w:val="single" w:sz="8" w:space="0" w:color="4F81BD"/>
            </w:tcBorders>
            <w:shd w:val="clear" w:color="auto" w:fill="auto"/>
            <w:vAlign w:val="center"/>
          </w:tcPr>
          <w:p w:rsidR="00646530" w:rsidRPr="004E510B" w:rsidRDefault="00646530" w:rsidP="00B94A15">
            <w:pPr>
              <w:autoSpaceDE w:val="0"/>
              <w:autoSpaceDN w:val="0"/>
              <w:adjustRightInd w:val="0"/>
              <w:spacing w:line="312" w:lineRule="auto"/>
              <w:contextualSpacing/>
              <w:rPr>
                <w:rFonts w:cs="Arial"/>
                <w:sz w:val="20"/>
              </w:rPr>
            </w:pPr>
            <w:r w:rsidRPr="004E510B">
              <w:rPr>
                <w:rFonts w:cs="Arial"/>
                <w:sz w:val="20"/>
              </w:rPr>
              <w:t>Tarifação pelo uso da água efetiva e socialmente referenciada, garantindo a sustentabilidade econômica do SAA.</w:t>
            </w:r>
          </w:p>
        </w:tc>
      </w:tr>
      <w:tr w:rsidR="00646530" w:rsidRPr="004D163C" w:rsidTr="00B94A15">
        <w:trPr>
          <w:jc w:val="center"/>
        </w:trPr>
        <w:tc>
          <w:tcPr>
            <w:tcW w:w="4679" w:type="dxa"/>
            <w:tcBorders>
              <w:top w:val="single" w:sz="8" w:space="0" w:color="4F81BD"/>
              <w:left w:val="single" w:sz="8" w:space="0" w:color="4F81BD"/>
              <w:bottom w:val="single" w:sz="8" w:space="0" w:color="4F81BD"/>
              <w:right w:val="single" w:sz="8" w:space="0" w:color="4F81BD"/>
            </w:tcBorders>
            <w:shd w:val="clear" w:color="auto" w:fill="auto"/>
          </w:tcPr>
          <w:p w:rsidR="00646530" w:rsidRPr="004E510B" w:rsidRDefault="00646530" w:rsidP="00B94A15">
            <w:pPr>
              <w:autoSpaceDE w:val="0"/>
              <w:autoSpaceDN w:val="0"/>
              <w:adjustRightInd w:val="0"/>
              <w:spacing w:line="312" w:lineRule="auto"/>
              <w:contextualSpacing/>
              <w:rPr>
                <w:rFonts w:cs="Arial"/>
                <w:bCs/>
                <w:sz w:val="20"/>
              </w:rPr>
            </w:pPr>
            <w:r w:rsidRPr="004E510B">
              <w:rPr>
                <w:rFonts w:cs="Arial"/>
                <w:bCs/>
                <w:sz w:val="20"/>
              </w:rPr>
              <w:t>Lodos da ETA da sede sendo lançados de maneira incorreta.</w:t>
            </w:r>
          </w:p>
        </w:tc>
        <w:tc>
          <w:tcPr>
            <w:tcW w:w="4536" w:type="dxa"/>
            <w:tcBorders>
              <w:top w:val="single" w:sz="8" w:space="0" w:color="4F81BD"/>
              <w:left w:val="single" w:sz="8" w:space="0" w:color="4F81BD"/>
              <w:bottom w:val="single" w:sz="8" w:space="0" w:color="4F81BD"/>
              <w:right w:val="single" w:sz="8" w:space="0" w:color="4F81BD"/>
            </w:tcBorders>
            <w:shd w:val="clear" w:color="auto" w:fill="auto"/>
          </w:tcPr>
          <w:p w:rsidR="00646530" w:rsidRPr="004E510B" w:rsidRDefault="00646530" w:rsidP="00B94A15">
            <w:pPr>
              <w:autoSpaceDE w:val="0"/>
              <w:autoSpaceDN w:val="0"/>
              <w:adjustRightInd w:val="0"/>
              <w:spacing w:line="312" w:lineRule="auto"/>
              <w:contextualSpacing/>
              <w:rPr>
                <w:rFonts w:cs="Arial"/>
                <w:sz w:val="20"/>
              </w:rPr>
            </w:pPr>
            <w:r w:rsidRPr="004E510B">
              <w:rPr>
                <w:rFonts w:cs="Arial"/>
                <w:sz w:val="20"/>
              </w:rPr>
              <w:t>Lodos da ETA sendo corretamente encaminhados para um destino final adequado.</w:t>
            </w:r>
          </w:p>
        </w:tc>
      </w:tr>
    </w:tbl>
    <w:p w:rsidR="00646530" w:rsidRPr="0006658E" w:rsidRDefault="00646530" w:rsidP="00646530">
      <w:pPr>
        <w:pStyle w:val="Fonte"/>
        <w:rPr>
          <w:lang w:eastAsia="x-none"/>
        </w:rPr>
      </w:pPr>
    </w:p>
    <w:p w:rsidR="00646530" w:rsidRPr="008044FA" w:rsidRDefault="00646530" w:rsidP="002828C8">
      <w:pPr>
        <w:pStyle w:val="Ttulo3"/>
      </w:pPr>
      <w:bookmarkStart w:id="707" w:name="_Toc365015274"/>
      <w:bookmarkStart w:id="708" w:name="_Toc484422552"/>
      <w:bookmarkStart w:id="709" w:name="_Toc484532465"/>
      <w:bookmarkStart w:id="710" w:name="_Toc497469084"/>
      <w:bookmarkEnd w:id="707"/>
      <w:r w:rsidRPr="008044FA">
        <w:t>Objetivos e metas</w:t>
      </w:r>
      <w:bookmarkEnd w:id="708"/>
      <w:bookmarkEnd w:id="709"/>
      <w:bookmarkEnd w:id="710"/>
    </w:p>
    <w:p w:rsidR="00646530" w:rsidRPr="00470696" w:rsidRDefault="00646530" w:rsidP="00646530">
      <w:pPr>
        <w:spacing w:before="120" w:after="120"/>
        <w:ind w:firstLine="708"/>
        <w:contextualSpacing/>
        <w:rPr>
          <w:rFonts w:cs="Arial"/>
          <w:szCs w:val="24"/>
        </w:rPr>
      </w:pPr>
      <w:r w:rsidRPr="00CD64F3">
        <w:rPr>
          <w:rFonts w:cs="Arial"/>
          <w:szCs w:val="24"/>
        </w:rPr>
        <w:t xml:space="preserve">Para o sistema de abastecimento de água foram propostos cinco objetivos específicos, de acordo com os aspectos do SAA, </w:t>
      </w:r>
      <w:r>
        <w:rPr>
          <w:rFonts w:cs="Arial"/>
          <w:szCs w:val="24"/>
        </w:rPr>
        <w:t xml:space="preserve">com </w:t>
      </w:r>
      <w:r w:rsidRPr="00CD64F3">
        <w:rPr>
          <w:rFonts w:cs="Arial"/>
          <w:szCs w:val="24"/>
        </w:rPr>
        <w:t xml:space="preserve">as características de </w:t>
      </w:r>
      <w:r>
        <w:rPr>
          <w:rFonts w:cs="Arial"/>
          <w:szCs w:val="24"/>
          <w:lang w:eastAsia="pt-BR"/>
        </w:rPr>
        <w:t>Córrego Novo</w:t>
      </w:r>
      <w:r w:rsidRPr="00CD64F3">
        <w:rPr>
          <w:rFonts w:cs="Arial"/>
          <w:szCs w:val="24"/>
        </w:rPr>
        <w:t xml:space="preserve"> levantadas na etapa do diagnóstico técnico-participativo e com o cenário normativo como </w:t>
      </w:r>
      <w:r w:rsidRPr="00A42342">
        <w:rPr>
          <w:rFonts w:cs="Arial"/>
          <w:szCs w:val="24"/>
        </w:rPr>
        <w:t xml:space="preserve">elemento </w:t>
      </w:r>
      <w:r w:rsidRPr="00470696">
        <w:rPr>
          <w:rFonts w:cs="Arial"/>
          <w:szCs w:val="24"/>
        </w:rPr>
        <w:t>norteador para o alcance das metas. Esses objetivos são descritos a seguir.</w:t>
      </w:r>
    </w:p>
    <w:p w:rsidR="00646530" w:rsidRPr="00470696" w:rsidRDefault="00646530" w:rsidP="00A87269">
      <w:pPr>
        <w:pStyle w:val="PargrafodaLista"/>
        <w:numPr>
          <w:ilvl w:val="0"/>
          <w:numId w:val="28"/>
        </w:numPr>
        <w:ind w:left="2127" w:hanging="1560"/>
        <w:rPr>
          <w:b/>
          <w:bCs/>
          <w:szCs w:val="24"/>
        </w:rPr>
      </w:pPr>
      <w:r w:rsidRPr="00470696">
        <w:rPr>
          <w:b/>
          <w:bCs/>
          <w:szCs w:val="24"/>
        </w:rPr>
        <w:t>Atender com água potável a 100% dos domicílios urbanos de forma ininterrupta e monitorar a qualidade da água consumida em 100% dos domicílios rurais e de sistemas particulares.</w:t>
      </w:r>
    </w:p>
    <w:p w:rsidR="00646530" w:rsidRPr="00470696" w:rsidRDefault="00646530" w:rsidP="00A87269">
      <w:pPr>
        <w:pStyle w:val="PargrafodaLista"/>
        <w:numPr>
          <w:ilvl w:val="0"/>
          <w:numId w:val="28"/>
        </w:numPr>
        <w:ind w:left="2127" w:hanging="1560"/>
        <w:rPr>
          <w:b/>
          <w:bCs/>
          <w:szCs w:val="24"/>
        </w:rPr>
      </w:pPr>
      <w:r w:rsidRPr="00470696">
        <w:rPr>
          <w:b/>
          <w:bCs/>
          <w:szCs w:val="24"/>
        </w:rPr>
        <w:t>Reduzir as perdas de água e promover o uso racional da água.</w:t>
      </w:r>
    </w:p>
    <w:p w:rsidR="00646530" w:rsidRPr="00470696" w:rsidRDefault="00646530" w:rsidP="00A87269">
      <w:pPr>
        <w:pStyle w:val="PargrafodaLista"/>
        <w:numPr>
          <w:ilvl w:val="0"/>
          <w:numId w:val="28"/>
        </w:numPr>
        <w:ind w:left="2127" w:hanging="1560"/>
        <w:rPr>
          <w:b/>
          <w:bCs/>
          <w:szCs w:val="24"/>
        </w:rPr>
      </w:pPr>
      <w:r w:rsidRPr="00470696">
        <w:rPr>
          <w:b/>
          <w:bCs/>
          <w:szCs w:val="24"/>
        </w:rPr>
        <w:t xml:space="preserve">Implementar para o SAA de Córrego Novo uma gestão eficiente no que concerne aos aspectos </w:t>
      </w:r>
      <w:r w:rsidR="008F5429">
        <w:rPr>
          <w:b/>
          <w:bCs/>
          <w:szCs w:val="24"/>
        </w:rPr>
        <w:t>administrativos, operacionais, financeiros, de planejamento estratégico e de sustentabilidade,</w:t>
      </w:r>
      <w:r w:rsidRPr="00470696">
        <w:rPr>
          <w:b/>
          <w:bCs/>
          <w:szCs w:val="24"/>
        </w:rPr>
        <w:t xml:space="preserve"> além de definir instrumentos legais que </w:t>
      </w:r>
      <w:r w:rsidRPr="00470696">
        <w:rPr>
          <w:b/>
          <w:bCs/>
          <w:szCs w:val="24"/>
        </w:rPr>
        <w:lastRenderedPageBreak/>
        <w:t>garantam a regulação do setor e a observação das diretrizes aprovadas no presente PMSB.</w:t>
      </w:r>
    </w:p>
    <w:p w:rsidR="00646530" w:rsidRPr="00470696" w:rsidRDefault="00646530" w:rsidP="00A87269">
      <w:pPr>
        <w:pStyle w:val="PargrafodaLista"/>
        <w:numPr>
          <w:ilvl w:val="0"/>
          <w:numId w:val="28"/>
        </w:numPr>
        <w:ind w:left="2127" w:hanging="1560"/>
        <w:rPr>
          <w:b/>
          <w:bCs/>
          <w:szCs w:val="24"/>
        </w:rPr>
      </w:pPr>
      <w:r w:rsidRPr="00470696">
        <w:rPr>
          <w:b/>
          <w:bCs/>
          <w:szCs w:val="24"/>
        </w:rPr>
        <w:t>Alcançar o pleno atendimento à legislação ambiental aplicável em todos os subprocessos integrantes do SAA (captação, adução, tratamento, reservação e distribuição).</w:t>
      </w:r>
    </w:p>
    <w:p w:rsidR="00646530" w:rsidRPr="00470696" w:rsidRDefault="00646530" w:rsidP="00A87269">
      <w:pPr>
        <w:pStyle w:val="PargrafodaLista"/>
        <w:numPr>
          <w:ilvl w:val="0"/>
          <w:numId w:val="28"/>
        </w:numPr>
        <w:ind w:left="2127" w:hanging="1560"/>
        <w:rPr>
          <w:b/>
          <w:bCs/>
          <w:szCs w:val="24"/>
        </w:rPr>
      </w:pPr>
      <w:r w:rsidRPr="00470696">
        <w:rPr>
          <w:b/>
          <w:bCs/>
          <w:szCs w:val="24"/>
        </w:rPr>
        <w:t>Garantir a mobilização social e canais de comunicação com a sociedade, além de promover ações para a avaliação periódica da percepção dos usuários e para a promoção de educação ambiental.</w:t>
      </w:r>
    </w:p>
    <w:p w:rsidR="00646530" w:rsidRDefault="00646530" w:rsidP="00646530">
      <w:pPr>
        <w:spacing w:before="120" w:after="120"/>
        <w:ind w:firstLine="708"/>
        <w:contextualSpacing/>
        <w:rPr>
          <w:rFonts w:cs="Arial"/>
          <w:szCs w:val="24"/>
        </w:rPr>
      </w:pPr>
      <w:r w:rsidRPr="00470696">
        <w:rPr>
          <w:rFonts w:cs="Arial"/>
          <w:szCs w:val="24"/>
        </w:rPr>
        <w:t xml:space="preserve">Na </w:t>
      </w:r>
      <w:r w:rsidRPr="00470696">
        <w:rPr>
          <w:rFonts w:cs="Arial"/>
          <w:szCs w:val="24"/>
        </w:rPr>
        <w:fldChar w:fldCharType="begin"/>
      </w:r>
      <w:r w:rsidRPr="00470696">
        <w:rPr>
          <w:rFonts w:cs="Arial"/>
          <w:szCs w:val="24"/>
        </w:rPr>
        <w:instrText xml:space="preserve"> REF _Ref484156264 \h </w:instrText>
      </w:r>
      <w:r w:rsidRPr="00470696">
        <w:rPr>
          <w:rFonts w:cs="Arial"/>
          <w:szCs w:val="24"/>
        </w:rPr>
      </w:r>
      <w:r w:rsidRPr="00470696">
        <w:rPr>
          <w:rFonts w:cs="Arial"/>
          <w:szCs w:val="24"/>
        </w:rPr>
        <w:fldChar w:fldCharType="separate"/>
      </w:r>
      <w:r w:rsidR="004D1D76" w:rsidRPr="0038783B">
        <w:t xml:space="preserve">Tabela </w:t>
      </w:r>
      <w:r w:rsidR="004D1D76">
        <w:rPr>
          <w:noProof/>
        </w:rPr>
        <w:t>13</w:t>
      </w:r>
      <w:r w:rsidRPr="00470696">
        <w:rPr>
          <w:rFonts w:cs="Arial"/>
          <w:szCs w:val="24"/>
        </w:rPr>
        <w:fldChar w:fldCharType="end"/>
      </w:r>
      <w:r w:rsidRPr="00470696">
        <w:rPr>
          <w:rFonts w:cs="Arial"/>
          <w:szCs w:val="24"/>
        </w:rPr>
        <w:t xml:space="preserve"> estão apresentados os objetivos e respectivas metas de forma sistematizada, além dos prazos para cada m</w:t>
      </w:r>
      <w:r w:rsidRPr="00CD64F3">
        <w:rPr>
          <w:rFonts w:cs="Arial"/>
          <w:szCs w:val="24"/>
        </w:rPr>
        <w:t>eta</w:t>
      </w:r>
      <w:r>
        <w:rPr>
          <w:rFonts w:cs="Arial"/>
          <w:szCs w:val="24"/>
        </w:rPr>
        <w:t>.</w:t>
      </w:r>
    </w:p>
    <w:p w:rsidR="00646530" w:rsidRDefault="00646530" w:rsidP="00646530">
      <w:pPr>
        <w:spacing w:before="120" w:after="120"/>
        <w:ind w:firstLine="708"/>
        <w:contextualSpacing/>
        <w:rPr>
          <w:rFonts w:cs="Arial"/>
          <w:szCs w:val="24"/>
        </w:rPr>
        <w:sectPr w:rsidR="00646530" w:rsidSect="00B94A15">
          <w:footerReference w:type="default" r:id="rId64"/>
          <w:pgSz w:w="11906" w:h="16838"/>
          <w:pgMar w:top="1134" w:right="1134" w:bottom="1134" w:left="1418" w:header="709" w:footer="709" w:gutter="0"/>
          <w:cols w:space="708"/>
          <w:docGrid w:linePitch="360"/>
        </w:sectPr>
      </w:pPr>
    </w:p>
    <w:p w:rsidR="00646530" w:rsidRPr="0038783B" w:rsidRDefault="00646530" w:rsidP="00646530">
      <w:pPr>
        <w:pStyle w:val="Legenda"/>
      </w:pPr>
      <w:bookmarkStart w:id="711" w:name="_Ref484156264"/>
      <w:bookmarkStart w:id="712" w:name="_Toc484422573"/>
      <w:bookmarkStart w:id="713" w:name="_Toc484532486"/>
      <w:bookmarkStart w:id="714" w:name="_Toc497469215"/>
      <w:r w:rsidRPr="0038783B">
        <w:lastRenderedPageBreak/>
        <w:t xml:space="preserve">Tabela </w:t>
      </w:r>
      <w:r w:rsidR="00D71C43">
        <w:fldChar w:fldCharType="begin"/>
      </w:r>
      <w:r w:rsidR="00D71C43">
        <w:instrText xml:space="preserve"> SEQ Tabela \* ARABIC </w:instrText>
      </w:r>
      <w:r w:rsidR="00D71C43">
        <w:fldChar w:fldCharType="separate"/>
      </w:r>
      <w:r w:rsidR="004D1D76">
        <w:rPr>
          <w:noProof/>
        </w:rPr>
        <w:t>13</w:t>
      </w:r>
      <w:r w:rsidR="00D71C43">
        <w:rPr>
          <w:noProof/>
        </w:rPr>
        <w:fldChar w:fldCharType="end"/>
      </w:r>
      <w:bookmarkEnd w:id="711"/>
      <w:r w:rsidRPr="0038783B">
        <w:t xml:space="preserve"> - Objetivos e metas do Sistema de Abastecimento de Água (SAA)</w:t>
      </w:r>
      <w:bookmarkEnd w:id="712"/>
      <w:bookmarkEnd w:id="713"/>
      <w:bookmarkEnd w:id="714"/>
    </w:p>
    <w:tbl>
      <w:tblPr>
        <w:tblW w:w="0" w:type="auto"/>
        <w:jc w:val="center"/>
        <w:tblBorders>
          <w:top w:val="single" w:sz="8" w:space="0" w:color="4F81BD"/>
          <w:bottom w:val="single" w:sz="4" w:space="0" w:color="1F497D"/>
          <w:insideH w:val="dashSmallGap" w:sz="4" w:space="0" w:color="1F497D" w:themeColor="text2"/>
          <w:insideV w:val="dashSmallGap" w:sz="4" w:space="0" w:color="1F497D" w:themeColor="text2"/>
        </w:tblBorders>
        <w:tblLook w:val="04A0" w:firstRow="1" w:lastRow="0" w:firstColumn="1" w:lastColumn="0" w:noHBand="0" w:noVBand="1"/>
      </w:tblPr>
      <w:tblGrid>
        <w:gridCol w:w="7522"/>
        <w:gridCol w:w="6100"/>
        <w:gridCol w:w="1164"/>
      </w:tblGrid>
      <w:tr w:rsidR="00646530" w:rsidRPr="00AC415A" w:rsidTr="0081207B">
        <w:trPr>
          <w:cantSplit/>
          <w:trHeight w:val="454"/>
          <w:tblHeader/>
          <w:jc w:val="center"/>
        </w:trPr>
        <w:tc>
          <w:tcPr>
            <w:tcW w:w="0" w:type="auto"/>
            <w:tcBorders>
              <w:top w:val="nil"/>
              <w:left w:val="single" w:sz="8" w:space="0" w:color="4F81BD"/>
              <w:bottom w:val="single" w:sz="8" w:space="0" w:color="4F81BD"/>
              <w:right w:val="single" w:sz="4" w:space="0" w:color="1F497D"/>
            </w:tcBorders>
            <w:shd w:val="clear" w:color="auto" w:fill="4F81BD"/>
            <w:vAlign w:val="center"/>
            <w:hideMark/>
          </w:tcPr>
          <w:p w:rsidR="00646530" w:rsidRPr="00AC415A" w:rsidRDefault="00646530" w:rsidP="00B94A15">
            <w:pPr>
              <w:autoSpaceDE w:val="0"/>
              <w:autoSpaceDN w:val="0"/>
              <w:adjustRightInd w:val="0"/>
              <w:spacing w:before="60" w:after="60" w:line="240" w:lineRule="auto"/>
              <w:jc w:val="center"/>
              <w:rPr>
                <w:rFonts w:eastAsia="Times New Roman" w:cs="Arial"/>
                <w:b/>
                <w:bCs/>
                <w:sz w:val="20"/>
                <w:szCs w:val="20"/>
              </w:rPr>
            </w:pPr>
            <w:r w:rsidRPr="00AC415A">
              <w:rPr>
                <w:rFonts w:eastAsia="Times New Roman" w:cs="Arial"/>
                <w:b/>
                <w:bCs/>
                <w:sz w:val="20"/>
                <w:szCs w:val="20"/>
              </w:rPr>
              <w:t>Objetivo</w:t>
            </w:r>
          </w:p>
        </w:tc>
        <w:tc>
          <w:tcPr>
            <w:tcW w:w="0" w:type="auto"/>
            <w:tcBorders>
              <w:top w:val="nil"/>
              <w:left w:val="single" w:sz="4" w:space="0" w:color="1F497D"/>
              <w:bottom w:val="single" w:sz="8" w:space="0" w:color="4F81BD"/>
              <w:right w:val="single" w:sz="4" w:space="0" w:color="1F497D"/>
            </w:tcBorders>
            <w:shd w:val="clear" w:color="auto" w:fill="4F81BD"/>
            <w:vAlign w:val="center"/>
            <w:hideMark/>
          </w:tcPr>
          <w:p w:rsidR="00646530" w:rsidRPr="00AC415A" w:rsidRDefault="00646530" w:rsidP="00B94A15">
            <w:pPr>
              <w:autoSpaceDE w:val="0"/>
              <w:autoSpaceDN w:val="0"/>
              <w:adjustRightInd w:val="0"/>
              <w:spacing w:before="60" w:after="60" w:line="240" w:lineRule="auto"/>
              <w:jc w:val="center"/>
              <w:rPr>
                <w:rFonts w:eastAsia="Times New Roman" w:cs="Arial"/>
                <w:b/>
                <w:bCs/>
                <w:sz w:val="20"/>
                <w:szCs w:val="20"/>
              </w:rPr>
            </w:pPr>
            <w:r w:rsidRPr="00AC415A">
              <w:rPr>
                <w:rFonts w:eastAsia="Times New Roman" w:cs="Arial"/>
                <w:b/>
                <w:bCs/>
                <w:sz w:val="20"/>
                <w:szCs w:val="20"/>
              </w:rPr>
              <w:t>Metas</w:t>
            </w:r>
          </w:p>
        </w:tc>
        <w:tc>
          <w:tcPr>
            <w:tcW w:w="0" w:type="auto"/>
            <w:tcBorders>
              <w:top w:val="nil"/>
              <w:left w:val="single" w:sz="4" w:space="0" w:color="1F497D"/>
              <w:bottom w:val="single" w:sz="8" w:space="0" w:color="4F81BD"/>
              <w:right w:val="single" w:sz="8" w:space="0" w:color="4F81BD"/>
            </w:tcBorders>
            <w:shd w:val="clear" w:color="auto" w:fill="4F81BD"/>
            <w:vAlign w:val="center"/>
            <w:hideMark/>
          </w:tcPr>
          <w:p w:rsidR="00646530" w:rsidRPr="00AC415A" w:rsidRDefault="00646530" w:rsidP="00B94A15">
            <w:pPr>
              <w:autoSpaceDE w:val="0"/>
              <w:autoSpaceDN w:val="0"/>
              <w:adjustRightInd w:val="0"/>
              <w:spacing w:before="60" w:after="60" w:line="240" w:lineRule="auto"/>
              <w:jc w:val="center"/>
              <w:rPr>
                <w:rFonts w:eastAsia="Times New Roman" w:cs="Arial"/>
                <w:b/>
                <w:bCs/>
                <w:sz w:val="20"/>
                <w:szCs w:val="20"/>
              </w:rPr>
            </w:pPr>
            <w:r w:rsidRPr="00AC415A">
              <w:rPr>
                <w:rFonts w:eastAsia="Times New Roman" w:cs="Arial"/>
                <w:b/>
                <w:bCs/>
                <w:sz w:val="20"/>
                <w:szCs w:val="20"/>
              </w:rPr>
              <w:t>Prazo de entrega</w:t>
            </w:r>
          </w:p>
        </w:tc>
      </w:tr>
      <w:tr w:rsidR="00646530" w:rsidRPr="00AC415A" w:rsidTr="0081207B">
        <w:trPr>
          <w:cantSplit/>
          <w:trHeight w:val="454"/>
          <w:jc w:val="center"/>
        </w:trPr>
        <w:tc>
          <w:tcPr>
            <w:tcW w:w="0" w:type="auto"/>
            <w:vMerge w:val="restart"/>
            <w:tcBorders>
              <w:top w:val="single" w:sz="8" w:space="0" w:color="4F81BD"/>
              <w:left w:val="nil"/>
              <w:bottom w:val="single" w:sz="4" w:space="0" w:color="1F497D"/>
              <w:right w:val="single" w:sz="4" w:space="0" w:color="1F497D"/>
            </w:tcBorders>
            <w:vAlign w:val="center"/>
            <w:hideMark/>
          </w:tcPr>
          <w:p w:rsidR="00646530" w:rsidRPr="00AC415A" w:rsidRDefault="00646530" w:rsidP="00B94A15">
            <w:pPr>
              <w:spacing w:before="60" w:after="60" w:line="240" w:lineRule="auto"/>
              <w:rPr>
                <w:rFonts w:eastAsia="Times New Roman" w:cs="Arial"/>
                <w:bCs/>
                <w:sz w:val="20"/>
                <w:szCs w:val="20"/>
              </w:rPr>
            </w:pPr>
            <w:r w:rsidRPr="00AC415A">
              <w:rPr>
                <w:rFonts w:eastAsia="Times New Roman" w:cs="Arial"/>
                <w:bCs/>
                <w:sz w:val="20"/>
                <w:szCs w:val="20"/>
              </w:rPr>
              <w:t>1. Atender com água potável a 100% dos domicílios urbanos de forma ininterrupta e monitorar a qualidade da água consumida em 100% dos domicílios rurais e de sistemas particulares.</w:t>
            </w:r>
          </w:p>
        </w:tc>
        <w:tc>
          <w:tcPr>
            <w:tcW w:w="0" w:type="auto"/>
            <w:tcBorders>
              <w:top w:val="single" w:sz="8" w:space="0" w:color="4F81BD"/>
              <w:left w:val="single" w:sz="4" w:space="0" w:color="1F497D"/>
              <w:bottom w:val="dashSmallGap" w:sz="4" w:space="0" w:color="1F497D" w:themeColor="text2"/>
              <w:right w:val="single" w:sz="4" w:space="0" w:color="1F497D"/>
            </w:tcBorders>
            <w:vAlign w:val="center"/>
            <w:hideMark/>
          </w:tcPr>
          <w:p w:rsidR="00646530" w:rsidRPr="00AC415A" w:rsidRDefault="00646530" w:rsidP="00B94A15">
            <w:pPr>
              <w:spacing w:before="60" w:after="60" w:line="240" w:lineRule="auto"/>
              <w:rPr>
                <w:rFonts w:eastAsia="Times New Roman" w:cs="Arial"/>
                <w:bCs/>
                <w:sz w:val="20"/>
                <w:szCs w:val="20"/>
              </w:rPr>
            </w:pPr>
            <w:r w:rsidRPr="00AC415A">
              <w:rPr>
                <w:rFonts w:eastAsia="Times New Roman" w:cs="Arial"/>
                <w:bCs/>
                <w:sz w:val="20"/>
                <w:szCs w:val="20"/>
              </w:rPr>
              <w:t>1.1. Manter atendimento de 100% da área urbana de forma ininterrupta.</w:t>
            </w:r>
          </w:p>
        </w:tc>
        <w:tc>
          <w:tcPr>
            <w:tcW w:w="0" w:type="auto"/>
            <w:tcBorders>
              <w:top w:val="single" w:sz="8" w:space="0" w:color="4F81BD"/>
              <w:left w:val="single" w:sz="4" w:space="0" w:color="1F497D"/>
              <w:bottom w:val="dashSmallGap" w:sz="4" w:space="0" w:color="1F497D" w:themeColor="text2"/>
              <w:right w:val="nil"/>
            </w:tcBorders>
            <w:vAlign w:val="center"/>
            <w:hideMark/>
          </w:tcPr>
          <w:p w:rsidR="00646530" w:rsidRPr="00AC415A" w:rsidRDefault="00646530" w:rsidP="00B94A15">
            <w:pPr>
              <w:spacing w:before="60" w:after="60" w:line="240" w:lineRule="auto"/>
              <w:jc w:val="center"/>
              <w:rPr>
                <w:rFonts w:eastAsia="Times New Roman" w:cs="Arial"/>
                <w:bCs/>
                <w:sz w:val="20"/>
                <w:szCs w:val="20"/>
              </w:rPr>
            </w:pPr>
            <w:r w:rsidRPr="00AC415A">
              <w:rPr>
                <w:rFonts w:eastAsia="Times New Roman" w:cs="Arial"/>
                <w:bCs/>
                <w:sz w:val="20"/>
                <w:szCs w:val="20"/>
              </w:rPr>
              <w:t>Imediato</w:t>
            </w:r>
          </w:p>
        </w:tc>
      </w:tr>
      <w:tr w:rsidR="00646530" w:rsidRPr="00AC415A" w:rsidTr="0081207B">
        <w:trPr>
          <w:cantSplit/>
          <w:trHeight w:val="454"/>
          <w:jc w:val="center"/>
        </w:trPr>
        <w:tc>
          <w:tcPr>
            <w:tcW w:w="0" w:type="auto"/>
            <w:vMerge/>
            <w:tcBorders>
              <w:top w:val="single" w:sz="8" w:space="0" w:color="4F81BD"/>
              <w:left w:val="nil"/>
              <w:bottom w:val="single" w:sz="4" w:space="0" w:color="1F497D"/>
              <w:right w:val="single" w:sz="4" w:space="0" w:color="1F497D"/>
            </w:tcBorders>
            <w:vAlign w:val="center"/>
            <w:hideMark/>
          </w:tcPr>
          <w:p w:rsidR="00646530" w:rsidRPr="00AC415A" w:rsidRDefault="00646530" w:rsidP="00B94A15">
            <w:pPr>
              <w:spacing w:line="240" w:lineRule="auto"/>
              <w:jc w:val="left"/>
              <w:rPr>
                <w:rFonts w:eastAsia="Times New Roman" w:cs="Arial"/>
                <w:bCs/>
                <w:sz w:val="20"/>
                <w:szCs w:val="20"/>
              </w:rPr>
            </w:pPr>
          </w:p>
        </w:tc>
        <w:tc>
          <w:tcPr>
            <w:tcW w:w="0" w:type="auto"/>
            <w:tcBorders>
              <w:top w:val="dashSmallGap" w:sz="4" w:space="0" w:color="1F497D" w:themeColor="text2"/>
              <w:left w:val="single" w:sz="4" w:space="0" w:color="1F497D"/>
              <w:bottom w:val="dashSmallGap" w:sz="4" w:space="0" w:color="1F497D" w:themeColor="text2"/>
              <w:right w:val="single" w:sz="4" w:space="0" w:color="1F497D"/>
            </w:tcBorders>
            <w:vAlign w:val="center"/>
            <w:hideMark/>
          </w:tcPr>
          <w:p w:rsidR="00646530" w:rsidRPr="00AC415A" w:rsidRDefault="00646530" w:rsidP="00B94A15">
            <w:pPr>
              <w:spacing w:before="60" w:after="60" w:line="240" w:lineRule="auto"/>
              <w:rPr>
                <w:rFonts w:eastAsia="Times New Roman" w:cs="Arial"/>
                <w:bCs/>
                <w:sz w:val="20"/>
                <w:szCs w:val="20"/>
              </w:rPr>
            </w:pPr>
            <w:r w:rsidRPr="00AC415A">
              <w:rPr>
                <w:rFonts w:eastAsia="Times New Roman" w:cs="Arial"/>
                <w:bCs/>
                <w:sz w:val="20"/>
                <w:szCs w:val="20"/>
              </w:rPr>
              <w:t xml:space="preserve">1.2. Possuir </w:t>
            </w:r>
            <w:r w:rsidRPr="00AC415A">
              <w:rPr>
                <w:rFonts w:cs="Arial"/>
                <w:bCs/>
                <w:sz w:val="20"/>
                <w:szCs w:val="20"/>
              </w:rPr>
              <w:t>sistemas adequados para atender às comunidades rurais agrupadas.</w:t>
            </w:r>
          </w:p>
        </w:tc>
        <w:tc>
          <w:tcPr>
            <w:tcW w:w="0" w:type="auto"/>
            <w:tcBorders>
              <w:top w:val="dashSmallGap" w:sz="4" w:space="0" w:color="1F497D" w:themeColor="text2"/>
              <w:left w:val="single" w:sz="4" w:space="0" w:color="1F497D"/>
              <w:bottom w:val="dashSmallGap" w:sz="4" w:space="0" w:color="1F497D" w:themeColor="text2"/>
              <w:right w:val="nil"/>
            </w:tcBorders>
            <w:vAlign w:val="center"/>
            <w:hideMark/>
          </w:tcPr>
          <w:p w:rsidR="00646530" w:rsidRPr="00AC415A" w:rsidRDefault="003C4F7A" w:rsidP="00B94A15">
            <w:pPr>
              <w:spacing w:before="60" w:after="60" w:line="240" w:lineRule="auto"/>
              <w:jc w:val="center"/>
              <w:rPr>
                <w:rFonts w:eastAsia="Times New Roman" w:cs="Arial"/>
                <w:bCs/>
                <w:sz w:val="20"/>
                <w:szCs w:val="20"/>
              </w:rPr>
            </w:pPr>
            <w:r w:rsidRPr="00AC415A">
              <w:rPr>
                <w:rFonts w:eastAsia="Times New Roman" w:cs="Arial"/>
                <w:bCs/>
                <w:sz w:val="20"/>
                <w:szCs w:val="20"/>
              </w:rPr>
              <w:t>Médio</w:t>
            </w:r>
          </w:p>
        </w:tc>
      </w:tr>
      <w:tr w:rsidR="003C4F7A" w:rsidRPr="00AC415A" w:rsidTr="0081207B">
        <w:trPr>
          <w:cantSplit/>
          <w:trHeight w:val="454"/>
          <w:jc w:val="center"/>
        </w:trPr>
        <w:tc>
          <w:tcPr>
            <w:tcW w:w="0" w:type="auto"/>
            <w:vMerge/>
            <w:tcBorders>
              <w:top w:val="single" w:sz="8" w:space="0" w:color="4F81BD"/>
              <w:left w:val="nil"/>
              <w:bottom w:val="single" w:sz="4" w:space="0" w:color="1F497D"/>
              <w:right w:val="single" w:sz="4" w:space="0" w:color="1F497D"/>
            </w:tcBorders>
            <w:vAlign w:val="center"/>
            <w:hideMark/>
          </w:tcPr>
          <w:p w:rsidR="003C4F7A" w:rsidRPr="00AC415A" w:rsidRDefault="003C4F7A" w:rsidP="00B94A15">
            <w:pPr>
              <w:spacing w:line="240" w:lineRule="auto"/>
              <w:jc w:val="left"/>
              <w:rPr>
                <w:rFonts w:eastAsia="Times New Roman" w:cs="Arial"/>
                <w:bCs/>
                <w:sz w:val="20"/>
                <w:szCs w:val="20"/>
              </w:rPr>
            </w:pPr>
          </w:p>
        </w:tc>
        <w:tc>
          <w:tcPr>
            <w:tcW w:w="0" w:type="auto"/>
            <w:tcBorders>
              <w:top w:val="dashSmallGap" w:sz="4" w:space="0" w:color="1F497D" w:themeColor="text2"/>
              <w:left w:val="single" w:sz="4" w:space="0" w:color="1F497D"/>
              <w:bottom w:val="dashSmallGap" w:sz="4" w:space="0" w:color="1F497D" w:themeColor="text2"/>
              <w:right w:val="single" w:sz="4" w:space="0" w:color="1F497D"/>
            </w:tcBorders>
            <w:vAlign w:val="center"/>
            <w:hideMark/>
          </w:tcPr>
          <w:p w:rsidR="003C4F7A" w:rsidRPr="00AC415A" w:rsidRDefault="003C4F7A" w:rsidP="00B94A15">
            <w:pPr>
              <w:spacing w:before="60" w:after="60"/>
              <w:rPr>
                <w:rFonts w:cs="Arial"/>
                <w:bCs/>
                <w:sz w:val="20"/>
                <w:szCs w:val="20"/>
              </w:rPr>
            </w:pPr>
            <w:r w:rsidRPr="00AC415A">
              <w:rPr>
                <w:rFonts w:eastAsia="Times New Roman" w:cs="Arial"/>
                <w:bCs/>
                <w:sz w:val="20"/>
                <w:szCs w:val="20"/>
              </w:rPr>
              <w:t>1.3. Possuir mecanismos de controle e vigilância da qualidade da água.</w:t>
            </w:r>
          </w:p>
        </w:tc>
        <w:tc>
          <w:tcPr>
            <w:tcW w:w="0" w:type="auto"/>
            <w:tcBorders>
              <w:top w:val="dashSmallGap" w:sz="4" w:space="0" w:color="1F497D" w:themeColor="text2"/>
              <w:left w:val="single" w:sz="4" w:space="0" w:color="1F497D"/>
              <w:bottom w:val="dashSmallGap" w:sz="4" w:space="0" w:color="1F497D" w:themeColor="text2"/>
              <w:right w:val="nil"/>
            </w:tcBorders>
            <w:vAlign w:val="center"/>
            <w:hideMark/>
          </w:tcPr>
          <w:p w:rsidR="003C4F7A" w:rsidRPr="00AC415A" w:rsidRDefault="003C4F7A" w:rsidP="00095090">
            <w:pPr>
              <w:spacing w:before="60" w:after="60" w:line="240" w:lineRule="auto"/>
              <w:jc w:val="center"/>
              <w:rPr>
                <w:rFonts w:eastAsia="Times New Roman" w:cs="Arial"/>
                <w:bCs/>
                <w:sz w:val="20"/>
                <w:szCs w:val="20"/>
              </w:rPr>
            </w:pPr>
            <w:r w:rsidRPr="00AC415A">
              <w:rPr>
                <w:rFonts w:eastAsia="Times New Roman" w:cs="Arial"/>
                <w:bCs/>
                <w:sz w:val="20"/>
                <w:szCs w:val="20"/>
              </w:rPr>
              <w:t>Médio</w:t>
            </w:r>
          </w:p>
        </w:tc>
      </w:tr>
      <w:tr w:rsidR="00646530" w:rsidRPr="00AC415A" w:rsidTr="0081207B">
        <w:trPr>
          <w:cantSplit/>
          <w:trHeight w:val="454"/>
          <w:jc w:val="center"/>
        </w:trPr>
        <w:tc>
          <w:tcPr>
            <w:tcW w:w="0" w:type="auto"/>
            <w:vMerge/>
            <w:tcBorders>
              <w:top w:val="single" w:sz="8" w:space="0" w:color="4F81BD"/>
              <w:left w:val="nil"/>
              <w:bottom w:val="single" w:sz="4" w:space="0" w:color="1F497D"/>
              <w:right w:val="single" w:sz="4" w:space="0" w:color="1F497D"/>
            </w:tcBorders>
            <w:vAlign w:val="center"/>
            <w:hideMark/>
          </w:tcPr>
          <w:p w:rsidR="00646530" w:rsidRPr="00AC415A" w:rsidRDefault="00646530" w:rsidP="00B94A15">
            <w:pPr>
              <w:spacing w:line="240" w:lineRule="auto"/>
              <w:jc w:val="left"/>
              <w:rPr>
                <w:rFonts w:eastAsia="Times New Roman" w:cs="Arial"/>
                <w:bCs/>
                <w:sz w:val="20"/>
                <w:szCs w:val="20"/>
              </w:rPr>
            </w:pPr>
          </w:p>
        </w:tc>
        <w:tc>
          <w:tcPr>
            <w:tcW w:w="0" w:type="auto"/>
            <w:tcBorders>
              <w:top w:val="dashSmallGap" w:sz="4" w:space="0" w:color="1F497D" w:themeColor="text2"/>
              <w:left w:val="single" w:sz="4" w:space="0" w:color="1F497D"/>
              <w:bottom w:val="single" w:sz="4" w:space="0" w:color="1F497D"/>
              <w:right w:val="single" w:sz="4" w:space="0" w:color="1F497D"/>
            </w:tcBorders>
            <w:vAlign w:val="center"/>
            <w:hideMark/>
          </w:tcPr>
          <w:p w:rsidR="00646530" w:rsidRPr="00AC415A" w:rsidRDefault="00646530" w:rsidP="00B94A15">
            <w:pPr>
              <w:spacing w:before="60" w:after="60" w:line="240" w:lineRule="auto"/>
              <w:rPr>
                <w:rFonts w:eastAsia="Times New Roman" w:cs="Arial"/>
                <w:bCs/>
                <w:sz w:val="20"/>
                <w:szCs w:val="20"/>
              </w:rPr>
            </w:pPr>
            <w:r w:rsidRPr="00AC415A">
              <w:rPr>
                <w:rFonts w:eastAsia="Times New Roman" w:cs="Arial"/>
                <w:bCs/>
                <w:sz w:val="20"/>
                <w:szCs w:val="20"/>
              </w:rPr>
              <w:t>1.4. Possuir mecanismos para manutenção preventiva e corretiva e para armazenamento e recuperação de dados sobre os procedimentos realizados.</w:t>
            </w:r>
          </w:p>
        </w:tc>
        <w:tc>
          <w:tcPr>
            <w:tcW w:w="0" w:type="auto"/>
            <w:tcBorders>
              <w:top w:val="dashSmallGap" w:sz="4" w:space="0" w:color="1F497D" w:themeColor="text2"/>
              <w:left w:val="single" w:sz="4" w:space="0" w:color="1F497D"/>
              <w:bottom w:val="single" w:sz="4" w:space="0" w:color="1F497D"/>
              <w:right w:val="nil"/>
            </w:tcBorders>
            <w:vAlign w:val="center"/>
            <w:hideMark/>
          </w:tcPr>
          <w:p w:rsidR="00646530" w:rsidRPr="00AC415A" w:rsidRDefault="00646530" w:rsidP="00B94A15">
            <w:pPr>
              <w:spacing w:before="60" w:after="60" w:line="240" w:lineRule="auto"/>
              <w:jc w:val="center"/>
              <w:rPr>
                <w:rFonts w:eastAsia="Times New Roman" w:cs="Arial"/>
                <w:bCs/>
                <w:sz w:val="20"/>
                <w:szCs w:val="20"/>
              </w:rPr>
            </w:pPr>
            <w:r w:rsidRPr="00AC415A">
              <w:rPr>
                <w:rFonts w:eastAsia="Times New Roman" w:cs="Arial"/>
                <w:bCs/>
                <w:sz w:val="20"/>
                <w:szCs w:val="20"/>
              </w:rPr>
              <w:t xml:space="preserve">Imediato </w:t>
            </w:r>
          </w:p>
        </w:tc>
      </w:tr>
      <w:tr w:rsidR="00646530" w:rsidRPr="00AC415A" w:rsidTr="00852088">
        <w:trPr>
          <w:cantSplit/>
          <w:trHeight w:val="454"/>
          <w:jc w:val="center"/>
        </w:trPr>
        <w:tc>
          <w:tcPr>
            <w:tcW w:w="0" w:type="auto"/>
            <w:vMerge w:val="restart"/>
            <w:tcBorders>
              <w:top w:val="single" w:sz="4" w:space="0" w:color="1F497D"/>
              <w:left w:val="nil"/>
              <w:bottom w:val="single" w:sz="4" w:space="0" w:color="1F497D"/>
              <w:right w:val="single" w:sz="4" w:space="0" w:color="1F497D"/>
            </w:tcBorders>
            <w:vAlign w:val="center"/>
            <w:hideMark/>
          </w:tcPr>
          <w:p w:rsidR="00646530" w:rsidRPr="00AC415A" w:rsidRDefault="00646530" w:rsidP="00B94A15">
            <w:pPr>
              <w:spacing w:before="60" w:after="60" w:line="240" w:lineRule="auto"/>
              <w:rPr>
                <w:rFonts w:eastAsia="Times New Roman" w:cs="Arial"/>
                <w:bCs/>
                <w:sz w:val="20"/>
                <w:szCs w:val="20"/>
              </w:rPr>
            </w:pPr>
            <w:r w:rsidRPr="00AC415A">
              <w:rPr>
                <w:rFonts w:eastAsia="Times New Roman" w:cs="Arial"/>
                <w:bCs/>
                <w:sz w:val="20"/>
                <w:szCs w:val="20"/>
              </w:rPr>
              <w:t>2. Reduzir as perdas de água e promover o uso racional da água.</w:t>
            </w:r>
          </w:p>
        </w:tc>
        <w:tc>
          <w:tcPr>
            <w:tcW w:w="0" w:type="auto"/>
            <w:tcBorders>
              <w:top w:val="single" w:sz="4" w:space="0" w:color="1F497D"/>
              <w:left w:val="single" w:sz="4" w:space="0" w:color="1F497D"/>
              <w:bottom w:val="dashSmallGap" w:sz="4" w:space="0" w:color="1F497D" w:themeColor="text2"/>
              <w:right w:val="single" w:sz="4" w:space="0" w:color="1F497D"/>
            </w:tcBorders>
            <w:vAlign w:val="center"/>
            <w:hideMark/>
          </w:tcPr>
          <w:p w:rsidR="00646530" w:rsidRPr="00AC415A" w:rsidRDefault="00646530" w:rsidP="003C4F7A">
            <w:pPr>
              <w:spacing w:before="60" w:after="60"/>
              <w:rPr>
                <w:rFonts w:cs="Arial"/>
                <w:bCs/>
                <w:sz w:val="20"/>
                <w:szCs w:val="20"/>
              </w:rPr>
            </w:pPr>
            <w:r w:rsidRPr="00AC415A">
              <w:rPr>
                <w:rFonts w:cs="Arial"/>
                <w:bCs/>
                <w:sz w:val="20"/>
                <w:szCs w:val="20"/>
              </w:rPr>
              <w:t xml:space="preserve">2.1. Todos os SAAs </w:t>
            </w:r>
            <w:r w:rsidR="003C4F7A" w:rsidRPr="00AC415A">
              <w:rPr>
                <w:rFonts w:cs="Arial"/>
                <w:bCs/>
                <w:sz w:val="20"/>
                <w:szCs w:val="20"/>
              </w:rPr>
              <w:t>da área urbana</w:t>
            </w:r>
            <w:r w:rsidRPr="00AC415A">
              <w:rPr>
                <w:rFonts w:cs="Arial"/>
                <w:bCs/>
                <w:sz w:val="20"/>
                <w:szCs w:val="20"/>
              </w:rPr>
              <w:t xml:space="preserve"> com índice de perdas e consumo </w:t>
            </w:r>
            <w:r w:rsidRPr="00AC415A">
              <w:rPr>
                <w:rFonts w:cs="Arial"/>
                <w:bCs/>
                <w:i/>
                <w:sz w:val="20"/>
                <w:szCs w:val="20"/>
              </w:rPr>
              <w:t>per capita</w:t>
            </w:r>
            <w:r w:rsidRPr="00AC415A">
              <w:rPr>
                <w:rFonts w:cs="Arial"/>
                <w:bCs/>
                <w:sz w:val="20"/>
                <w:szCs w:val="20"/>
              </w:rPr>
              <w:t xml:space="preserve"> mensurados corretamente.</w:t>
            </w:r>
          </w:p>
        </w:tc>
        <w:tc>
          <w:tcPr>
            <w:tcW w:w="0" w:type="auto"/>
            <w:tcBorders>
              <w:top w:val="single" w:sz="4" w:space="0" w:color="1F497D"/>
              <w:left w:val="single" w:sz="4" w:space="0" w:color="1F497D"/>
              <w:bottom w:val="dashSmallGap" w:sz="4" w:space="0" w:color="1F497D" w:themeColor="text2"/>
              <w:right w:val="nil"/>
            </w:tcBorders>
            <w:vAlign w:val="center"/>
            <w:hideMark/>
          </w:tcPr>
          <w:p w:rsidR="00646530" w:rsidRPr="00AC415A" w:rsidRDefault="002F5CED" w:rsidP="00B94A15">
            <w:pPr>
              <w:spacing w:before="60" w:after="60" w:line="240" w:lineRule="auto"/>
              <w:jc w:val="center"/>
              <w:rPr>
                <w:rFonts w:eastAsia="Times New Roman" w:cs="Arial"/>
                <w:bCs/>
                <w:sz w:val="20"/>
                <w:szCs w:val="20"/>
              </w:rPr>
            </w:pPr>
            <w:r w:rsidRPr="00AC415A">
              <w:rPr>
                <w:rFonts w:eastAsia="Times New Roman" w:cs="Arial"/>
                <w:bCs/>
                <w:sz w:val="20"/>
                <w:szCs w:val="20"/>
              </w:rPr>
              <w:t>Imediato</w:t>
            </w:r>
          </w:p>
        </w:tc>
      </w:tr>
      <w:tr w:rsidR="00646530" w:rsidRPr="00AC415A" w:rsidTr="00852088">
        <w:trPr>
          <w:cantSplit/>
          <w:trHeight w:val="454"/>
          <w:jc w:val="center"/>
        </w:trPr>
        <w:tc>
          <w:tcPr>
            <w:tcW w:w="0" w:type="auto"/>
            <w:vMerge/>
            <w:tcBorders>
              <w:top w:val="single" w:sz="4" w:space="0" w:color="1F497D"/>
              <w:left w:val="nil"/>
              <w:bottom w:val="single" w:sz="4" w:space="0" w:color="1F497D"/>
              <w:right w:val="single" w:sz="4" w:space="0" w:color="1F497D"/>
            </w:tcBorders>
            <w:vAlign w:val="center"/>
            <w:hideMark/>
          </w:tcPr>
          <w:p w:rsidR="00646530" w:rsidRPr="00AC415A" w:rsidRDefault="00646530" w:rsidP="00B94A15">
            <w:pPr>
              <w:spacing w:line="240" w:lineRule="auto"/>
              <w:jc w:val="left"/>
              <w:rPr>
                <w:rFonts w:eastAsia="Times New Roman" w:cs="Arial"/>
                <w:bCs/>
                <w:sz w:val="20"/>
                <w:szCs w:val="20"/>
              </w:rPr>
            </w:pPr>
          </w:p>
        </w:tc>
        <w:tc>
          <w:tcPr>
            <w:tcW w:w="0" w:type="auto"/>
            <w:tcBorders>
              <w:top w:val="dashSmallGap" w:sz="4" w:space="0" w:color="1F497D" w:themeColor="text2"/>
              <w:left w:val="single" w:sz="4" w:space="0" w:color="1F497D"/>
              <w:bottom w:val="single" w:sz="4" w:space="0" w:color="auto"/>
              <w:right w:val="single" w:sz="4" w:space="0" w:color="1F497D"/>
            </w:tcBorders>
            <w:vAlign w:val="center"/>
            <w:hideMark/>
          </w:tcPr>
          <w:p w:rsidR="00646530" w:rsidRPr="00AC415A" w:rsidRDefault="00646530" w:rsidP="00B94A15">
            <w:pPr>
              <w:spacing w:before="60" w:after="60"/>
              <w:rPr>
                <w:rFonts w:cs="Arial"/>
                <w:bCs/>
                <w:sz w:val="20"/>
                <w:szCs w:val="20"/>
              </w:rPr>
            </w:pPr>
            <w:r w:rsidRPr="00AC415A">
              <w:rPr>
                <w:rFonts w:cs="Arial"/>
                <w:bCs/>
                <w:sz w:val="20"/>
                <w:szCs w:val="20"/>
              </w:rPr>
              <w:t>2.2. Atingir índice de perdas igual a 20%.</w:t>
            </w:r>
          </w:p>
        </w:tc>
        <w:tc>
          <w:tcPr>
            <w:tcW w:w="0" w:type="auto"/>
            <w:tcBorders>
              <w:top w:val="dashSmallGap" w:sz="4" w:space="0" w:color="1F497D" w:themeColor="text2"/>
              <w:left w:val="single" w:sz="4" w:space="0" w:color="1F497D"/>
              <w:bottom w:val="single" w:sz="4" w:space="0" w:color="auto"/>
              <w:right w:val="nil"/>
            </w:tcBorders>
            <w:vAlign w:val="center"/>
            <w:hideMark/>
          </w:tcPr>
          <w:p w:rsidR="00646530" w:rsidRPr="00AC415A" w:rsidRDefault="002F5CED" w:rsidP="00B94A15">
            <w:pPr>
              <w:spacing w:before="60" w:after="60" w:line="240" w:lineRule="auto"/>
              <w:jc w:val="center"/>
              <w:rPr>
                <w:rFonts w:eastAsia="Times New Roman" w:cs="Arial"/>
                <w:bCs/>
                <w:sz w:val="20"/>
                <w:szCs w:val="20"/>
              </w:rPr>
            </w:pPr>
            <w:r w:rsidRPr="00AC415A">
              <w:rPr>
                <w:rFonts w:eastAsia="Times New Roman" w:cs="Arial"/>
                <w:bCs/>
                <w:sz w:val="20"/>
                <w:szCs w:val="20"/>
              </w:rPr>
              <w:t>Longo</w:t>
            </w:r>
          </w:p>
        </w:tc>
      </w:tr>
      <w:tr w:rsidR="00646530" w:rsidRPr="00AC415A" w:rsidTr="00852088">
        <w:trPr>
          <w:cantSplit/>
          <w:trHeight w:val="454"/>
          <w:jc w:val="center"/>
        </w:trPr>
        <w:tc>
          <w:tcPr>
            <w:tcW w:w="0" w:type="auto"/>
            <w:vMerge w:val="restart"/>
            <w:tcBorders>
              <w:top w:val="single" w:sz="4" w:space="0" w:color="1F497D"/>
              <w:left w:val="nil"/>
              <w:bottom w:val="single" w:sz="4" w:space="0" w:color="1F497D"/>
              <w:right w:val="single" w:sz="4" w:space="0" w:color="1F497D"/>
            </w:tcBorders>
            <w:vAlign w:val="center"/>
            <w:hideMark/>
          </w:tcPr>
          <w:p w:rsidR="00646530" w:rsidRPr="00AC415A" w:rsidRDefault="00646530" w:rsidP="009E0FE6">
            <w:pPr>
              <w:spacing w:before="60" w:after="60" w:line="240" w:lineRule="auto"/>
              <w:rPr>
                <w:rFonts w:eastAsia="Times New Roman" w:cs="Arial"/>
                <w:bCs/>
                <w:sz w:val="20"/>
                <w:szCs w:val="20"/>
              </w:rPr>
            </w:pPr>
            <w:r w:rsidRPr="00AC415A">
              <w:rPr>
                <w:rFonts w:eastAsia="Times New Roman" w:cs="Arial"/>
                <w:bCs/>
                <w:sz w:val="20"/>
                <w:szCs w:val="20"/>
              </w:rPr>
              <w:t xml:space="preserve">3. Implementar para o SAA de Córrego Novo uma gestão eficiente no que concerne aos aspectos </w:t>
            </w:r>
            <w:r w:rsidR="008F5429" w:rsidRPr="00AC415A">
              <w:rPr>
                <w:rFonts w:eastAsia="Times New Roman" w:cs="Arial"/>
                <w:bCs/>
                <w:sz w:val="20"/>
                <w:szCs w:val="20"/>
              </w:rPr>
              <w:t xml:space="preserve">administrativos, operacionais, financeiros, de planejamento estratégico e de sustentabilidade, </w:t>
            </w:r>
            <w:r w:rsidRPr="00AC415A">
              <w:rPr>
                <w:rFonts w:eastAsia="Times New Roman" w:cs="Arial"/>
                <w:bCs/>
                <w:sz w:val="20"/>
                <w:szCs w:val="20"/>
              </w:rPr>
              <w:t>além de definir instrumentos legais que garantam a regulação do setor e a observação das diretrizes aprovadas no presente PMSB.</w:t>
            </w:r>
          </w:p>
        </w:tc>
        <w:tc>
          <w:tcPr>
            <w:tcW w:w="0" w:type="auto"/>
            <w:tcBorders>
              <w:top w:val="single" w:sz="4" w:space="0" w:color="auto"/>
              <w:left w:val="single" w:sz="4" w:space="0" w:color="1F497D"/>
              <w:bottom w:val="dashSmallGap" w:sz="4" w:space="0" w:color="1F497D" w:themeColor="text2"/>
              <w:right w:val="single" w:sz="4" w:space="0" w:color="1F497D"/>
            </w:tcBorders>
            <w:vAlign w:val="center"/>
            <w:hideMark/>
          </w:tcPr>
          <w:p w:rsidR="00646530" w:rsidRPr="00AC415A" w:rsidRDefault="00646530" w:rsidP="00B94A15">
            <w:pPr>
              <w:spacing w:before="60" w:after="60" w:line="240" w:lineRule="auto"/>
              <w:rPr>
                <w:rFonts w:eastAsia="Times New Roman" w:cs="Arial"/>
                <w:bCs/>
                <w:sz w:val="20"/>
                <w:szCs w:val="20"/>
              </w:rPr>
            </w:pPr>
            <w:r w:rsidRPr="00AC415A">
              <w:rPr>
                <w:rFonts w:eastAsia="Times New Roman" w:cs="Arial"/>
                <w:sz w:val="20"/>
                <w:szCs w:val="20"/>
              </w:rPr>
              <w:t>3.1. Adequação do sistema gerencial do SAA por meio do planejamento estratégico e da sistematização e interação das atividades de operação, ampliação e modernização da infraestrutura e da gestão político-institucional e financeira do setor.</w:t>
            </w:r>
          </w:p>
        </w:tc>
        <w:tc>
          <w:tcPr>
            <w:tcW w:w="0" w:type="auto"/>
            <w:tcBorders>
              <w:top w:val="single" w:sz="4" w:space="0" w:color="auto"/>
              <w:left w:val="single" w:sz="4" w:space="0" w:color="1F497D"/>
              <w:bottom w:val="dashSmallGap" w:sz="4" w:space="0" w:color="1F497D" w:themeColor="text2"/>
              <w:right w:val="nil"/>
            </w:tcBorders>
            <w:vAlign w:val="center"/>
            <w:hideMark/>
          </w:tcPr>
          <w:p w:rsidR="00646530" w:rsidRPr="00AC415A" w:rsidRDefault="00646530" w:rsidP="00B94A15">
            <w:pPr>
              <w:spacing w:before="60" w:after="60" w:line="240" w:lineRule="auto"/>
              <w:jc w:val="center"/>
              <w:rPr>
                <w:rFonts w:eastAsia="Times New Roman" w:cs="Arial"/>
                <w:bCs/>
                <w:sz w:val="20"/>
                <w:szCs w:val="20"/>
              </w:rPr>
            </w:pPr>
            <w:r w:rsidRPr="00AC415A">
              <w:rPr>
                <w:rFonts w:eastAsia="Times New Roman" w:cs="Arial"/>
                <w:bCs/>
                <w:sz w:val="20"/>
                <w:szCs w:val="20"/>
              </w:rPr>
              <w:t>Curto</w:t>
            </w:r>
          </w:p>
        </w:tc>
      </w:tr>
      <w:tr w:rsidR="00646530" w:rsidRPr="00AC415A" w:rsidTr="0081207B">
        <w:trPr>
          <w:cantSplit/>
          <w:trHeight w:val="454"/>
          <w:jc w:val="center"/>
        </w:trPr>
        <w:tc>
          <w:tcPr>
            <w:tcW w:w="0" w:type="auto"/>
            <w:vMerge/>
            <w:tcBorders>
              <w:top w:val="single" w:sz="4" w:space="0" w:color="1F497D"/>
              <w:left w:val="nil"/>
              <w:bottom w:val="single" w:sz="4" w:space="0" w:color="1F497D"/>
              <w:right w:val="single" w:sz="4" w:space="0" w:color="1F497D"/>
            </w:tcBorders>
            <w:vAlign w:val="center"/>
            <w:hideMark/>
          </w:tcPr>
          <w:p w:rsidR="00646530" w:rsidRPr="00AC415A" w:rsidRDefault="00646530" w:rsidP="00B94A15">
            <w:pPr>
              <w:spacing w:line="240" w:lineRule="auto"/>
              <w:jc w:val="left"/>
              <w:rPr>
                <w:rFonts w:eastAsia="Times New Roman" w:cs="Arial"/>
                <w:bCs/>
                <w:sz w:val="20"/>
                <w:szCs w:val="20"/>
              </w:rPr>
            </w:pPr>
          </w:p>
        </w:tc>
        <w:tc>
          <w:tcPr>
            <w:tcW w:w="0" w:type="auto"/>
            <w:tcBorders>
              <w:top w:val="dashSmallGap" w:sz="4" w:space="0" w:color="1F497D" w:themeColor="text2"/>
              <w:left w:val="single" w:sz="4" w:space="0" w:color="1F497D"/>
              <w:bottom w:val="dashSmallGap" w:sz="4" w:space="0" w:color="1F497D" w:themeColor="text2"/>
              <w:right w:val="single" w:sz="4" w:space="0" w:color="1F497D"/>
            </w:tcBorders>
            <w:vAlign w:val="center"/>
            <w:hideMark/>
          </w:tcPr>
          <w:p w:rsidR="00646530" w:rsidRPr="00AC415A" w:rsidRDefault="00646530" w:rsidP="00B94A15">
            <w:pPr>
              <w:spacing w:before="60" w:after="60" w:line="240" w:lineRule="auto"/>
              <w:rPr>
                <w:rFonts w:eastAsia="Times New Roman" w:cs="Arial"/>
                <w:sz w:val="20"/>
                <w:szCs w:val="20"/>
              </w:rPr>
            </w:pPr>
            <w:r w:rsidRPr="00AC415A">
              <w:rPr>
                <w:rFonts w:eastAsia="Times New Roman" w:cs="Arial"/>
                <w:sz w:val="20"/>
                <w:szCs w:val="20"/>
              </w:rPr>
              <w:t>3.2. Alcançar um desempenho financeiro satisfatório.</w:t>
            </w:r>
          </w:p>
        </w:tc>
        <w:tc>
          <w:tcPr>
            <w:tcW w:w="0" w:type="auto"/>
            <w:tcBorders>
              <w:top w:val="dashSmallGap" w:sz="4" w:space="0" w:color="1F497D" w:themeColor="text2"/>
              <w:left w:val="single" w:sz="4" w:space="0" w:color="1F497D"/>
              <w:bottom w:val="dashSmallGap" w:sz="4" w:space="0" w:color="1F497D" w:themeColor="text2"/>
              <w:right w:val="nil"/>
            </w:tcBorders>
            <w:vAlign w:val="center"/>
            <w:hideMark/>
          </w:tcPr>
          <w:p w:rsidR="00646530" w:rsidRPr="00AC415A" w:rsidRDefault="00646530" w:rsidP="00B94A15">
            <w:pPr>
              <w:spacing w:before="60" w:after="60" w:line="240" w:lineRule="auto"/>
              <w:jc w:val="center"/>
              <w:rPr>
                <w:rFonts w:eastAsia="Times New Roman" w:cs="Arial"/>
                <w:bCs/>
                <w:sz w:val="20"/>
                <w:szCs w:val="20"/>
              </w:rPr>
            </w:pPr>
            <w:r w:rsidRPr="00AC415A">
              <w:rPr>
                <w:rFonts w:eastAsia="Times New Roman" w:cs="Arial"/>
                <w:bCs/>
                <w:sz w:val="20"/>
                <w:szCs w:val="20"/>
              </w:rPr>
              <w:t>Médio</w:t>
            </w:r>
          </w:p>
        </w:tc>
      </w:tr>
      <w:tr w:rsidR="00646530" w:rsidRPr="00AC415A" w:rsidTr="0081207B">
        <w:trPr>
          <w:cantSplit/>
          <w:trHeight w:val="454"/>
          <w:jc w:val="center"/>
        </w:trPr>
        <w:tc>
          <w:tcPr>
            <w:tcW w:w="0" w:type="auto"/>
            <w:vMerge/>
            <w:tcBorders>
              <w:top w:val="single" w:sz="4" w:space="0" w:color="1F497D"/>
              <w:left w:val="nil"/>
              <w:bottom w:val="single" w:sz="4" w:space="0" w:color="1F497D"/>
              <w:right w:val="single" w:sz="4" w:space="0" w:color="1F497D"/>
            </w:tcBorders>
            <w:vAlign w:val="center"/>
            <w:hideMark/>
          </w:tcPr>
          <w:p w:rsidR="00646530" w:rsidRPr="00AC415A" w:rsidRDefault="00646530" w:rsidP="00B94A15">
            <w:pPr>
              <w:spacing w:line="240" w:lineRule="auto"/>
              <w:jc w:val="left"/>
              <w:rPr>
                <w:rFonts w:eastAsia="Times New Roman" w:cs="Arial"/>
                <w:bCs/>
                <w:sz w:val="20"/>
                <w:szCs w:val="20"/>
              </w:rPr>
            </w:pPr>
          </w:p>
        </w:tc>
        <w:tc>
          <w:tcPr>
            <w:tcW w:w="0" w:type="auto"/>
            <w:tcBorders>
              <w:top w:val="dashSmallGap" w:sz="4" w:space="0" w:color="1F497D" w:themeColor="text2"/>
              <w:left w:val="single" w:sz="4" w:space="0" w:color="1F497D"/>
              <w:bottom w:val="single" w:sz="4" w:space="0" w:color="1F497D"/>
              <w:right w:val="single" w:sz="4" w:space="0" w:color="1F497D"/>
            </w:tcBorders>
            <w:vAlign w:val="center"/>
            <w:hideMark/>
          </w:tcPr>
          <w:p w:rsidR="00646530" w:rsidRPr="00AC415A" w:rsidRDefault="00646530" w:rsidP="00B94A15">
            <w:pPr>
              <w:spacing w:before="60" w:after="60" w:line="240" w:lineRule="auto"/>
              <w:rPr>
                <w:rFonts w:eastAsia="Times New Roman" w:cs="Arial"/>
                <w:sz w:val="20"/>
                <w:szCs w:val="20"/>
              </w:rPr>
            </w:pPr>
            <w:r w:rsidRPr="00AC415A">
              <w:rPr>
                <w:rFonts w:eastAsia="Times New Roman" w:cs="Arial"/>
                <w:sz w:val="20"/>
                <w:szCs w:val="20"/>
              </w:rPr>
              <w:t>3.3. Ter sistema de informações sobre o SAA atualizado.</w:t>
            </w:r>
          </w:p>
        </w:tc>
        <w:tc>
          <w:tcPr>
            <w:tcW w:w="0" w:type="auto"/>
            <w:tcBorders>
              <w:top w:val="dashSmallGap" w:sz="4" w:space="0" w:color="1F497D" w:themeColor="text2"/>
              <w:left w:val="single" w:sz="4" w:space="0" w:color="1F497D"/>
              <w:bottom w:val="single" w:sz="4" w:space="0" w:color="1F497D"/>
              <w:right w:val="nil"/>
            </w:tcBorders>
            <w:vAlign w:val="center"/>
            <w:hideMark/>
          </w:tcPr>
          <w:p w:rsidR="00646530" w:rsidRPr="00AC415A" w:rsidRDefault="00646530" w:rsidP="00B94A15">
            <w:pPr>
              <w:spacing w:before="60" w:after="60" w:line="240" w:lineRule="auto"/>
              <w:jc w:val="center"/>
              <w:rPr>
                <w:rFonts w:eastAsia="Times New Roman" w:cs="Arial"/>
                <w:bCs/>
                <w:sz w:val="20"/>
                <w:szCs w:val="20"/>
              </w:rPr>
            </w:pPr>
            <w:r w:rsidRPr="00AC415A">
              <w:rPr>
                <w:rFonts w:eastAsia="Times New Roman" w:cs="Arial"/>
                <w:bCs/>
                <w:sz w:val="20"/>
                <w:szCs w:val="20"/>
              </w:rPr>
              <w:t>Imediato</w:t>
            </w:r>
          </w:p>
        </w:tc>
      </w:tr>
      <w:tr w:rsidR="00646530" w:rsidRPr="00AC415A" w:rsidTr="004D1D76">
        <w:trPr>
          <w:cantSplit/>
          <w:trHeight w:val="907"/>
          <w:jc w:val="center"/>
        </w:trPr>
        <w:tc>
          <w:tcPr>
            <w:tcW w:w="0" w:type="auto"/>
            <w:vMerge w:val="restart"/>
            <w:tcBorders>
              <w:top w:val="single" w:sz="4" w:space="0" w:color="1F497D"/>
              <w:left w:val="nil"/>
              <w:bottom w:val="single" w:sz="4" w:space="0" w:color="1F497D"/>
              <w:right w:val="single" w:sz="4" w:space="0" w:color="1F497D"/>
            </w:tcBorders>
            <w:vAlign w:val="center"/>
            <w:hideMark/>
          </w:tcPr>
          <w:p w:rsidR="00646530" w:rsidRPr="00AC415A" w:rsidRDefault="00646530" w:rsidP="00B94A15">
            <w:pPr>
              <w:spacing w:before="60" w:after="60" w:line="240" w:lineRule="auto"/>
              <w:rPr>
                <w:rFonts w:eastAsia="Times New Roman" w:cs="Arial"/>
                <w:bCs/>
                <w:sz w:val="20"/>
                <w:szCs w:val="20"/>
              </w:rPr>
            </w:pPr>
            <w:r w:rsidRPr="00AC415A">
              <w:rPr>
                <w:rFonts w:eastAsia="Times New Roman" w:cs="Arial"/>
                <w:bCs/>
                <w:sz w:val="20"/>
                <w:szCs w:val="20"/>
              </w:rPr>
              <w:lastRenderedPageBreak/>
              <w:t>4. Alcançar o pleno atendimento à legislação ambiental aplicável em todos os subprocessos integrantes do SAA (captação, adução, tratamento, reservação e distribuição).</w:t>
            </w:r>
          </w:p>
        </w:tc>
        <w:tc>
          <w:tcPr>
            <w:tcW w:w="0" w:type="auto"/>
            <w:tcBorders>
              <w:top w:val="single" w:sz="4" w:space="0" w:color="1F497D"/>
              <w:left w:val="single" w:sz="4" w:space="0" w:color="1F497D"/>
              <w:bottom w:val="dashSmallGap" w:sz="4" w:space="0" w:color="1F497D" w:themeColor="text2"/>
              <w:right w:val="single" w:sz="4" w:space="0" w:color="1F497D"/>
            </w:tcBorders>
            <w:vAlign w:val="center"/>
            <w:hideMark/>
          </w:tcPr>
          <w:p w:rsidR="00646530" w:rsidRPr="00AC415A" w:rsidRDefault="00646530" w:rsidP="00B94A15">
            <w:pPr>
              <w:spacing w:before="60" w:after="60" w:line="240" w:lineRule="auto"/>
              <w:rPr>
                <w:rFonts w:eastAsia="Times New Roman" w:cs="Arial"/>
                <w:bCs/>
                <w:sz w:val="20"/>
                <w:szCs w:val="20"/>
              </w:rPr>
            </w:pPr>
            <w:r w:rsidRPr="00AC415A">
              <w:rPr>
                <w:rFonts w:eastAsia="Times New Roman" w:cs="Arial"/>
                <w:sz w:val="20"/>
                <w:szCs w:val="20"/>
              </w:rPr>
              <w:t>4.1. Atingir atendimento total à legislação quanto à operação do SAA.</w:t>
            </w:r>
          </w:p>
        </w:tc>
        <w:tc>
          <w:tcPr>
            <w:tcW w:w="0" w:type="auto"/>
            <w:tcBorders>
              <w:top w:val="single" w:sz="4" w:space="0" w:color="1F497D"/>
              <w:left w:val="single" w:sz="4" w:space="0" w:color="1F497D"/>
              <w:bottom w:val="dashSmallGap" w:sz="4" w:space="0" w:color="1F497D" w:themeColor="text2"/>
              <w:right w:val="nil"/>
            </w:tcBorders>
            <w:vAlign w:val="center"/>
            <w:hideMark/>
          </w:tcPr>
          <w:p w:rsidR="00646530" w:rsidRPr="00AC415A" w:rsidRDefault="00646530" w:rsidP="00B94A15">
            <w:pPr>
              <w:spacing w:before="60" w:after="60" w:line="240" w:lineRule="auto"/>
              <w:jc w:val="center"/>
              <w:rPr>
                <w:rFonts w:eastAsia="Times New Roman" w:cs="Arial"/>
                <w:bCs/>
                <w:sz w:val="20"/>
                <w:szCs w:val="20"/>
              </w:rPr>
            </w:pPr>
            <w:r w:rsidRPr="00AC415A">
              <w:rPr>
                <w:rFonts w:eastAsia="Times New Roman" w:cs="Arial"/>
                <w:bCs/>
                <w:sz w:val="20"/>
                <w:szCs w:val="20"/>
              </w:rPr>
              <w:t>Imediato</w:t>
            </w:r>
          </w:p>
        </w:tc>
      </w:tr>
      <w:tr w:rsidR="00646530" w:rsidRPr="00AC415A" w:rsidTr="0081207B">
        <w:trPr>
          <w:cantSplit/>
          <w:trHeight w:val="454"/>
          <w:jc w:val="center"/>
        </w:trPr>
        <w:tc>
          <w:tcPr>
            <w:tcW w:w="0" w:type="auto"/>
            <w:vMerge/>
            <w:tcBorders>
              <w:top w:val="single" w:sz="4" w:space="0" w:color="1F497D"/>
              <w:left w:val="nil"/>
              <w:bottom w:val="single" w:sz="4" w:space="0" w:color="1F497D"/>
              <w:right w:val="single" w:sz="4" w:space="0" w:color="1F497D"/>
            </w:tcBorders>
            <w:vAlign w:val="center"/>
            <w:hideMark/>
          </w:tcPr>
          <w:p w:rsidR="00646530" w:rsidRPr="00AC415A" w:rsidRDefault="00646530" w:rsidP="00B94A15">
            <w:pPr>
              <w:spacing w:line="240" w:lineRule="auto"/>
              <w:jc w:val="left"/>
              <w:rPr>
                <w:rFonts w:eastAsia="Times New Roman" w:cs="Arial"/>
                <w:bCs/>
                <w:sz w:val="20"/>
                <w:szCs w:val="20"/>
              </w:rPr>
            </w:pPr>
          </w:p>
        </w:tc>
        <w:tc>
          <w:tcPr>
            <w:tcW w:w="0" w:type="auto"/>
            <w:tcBorders>
              <w:top w:val="dashSmallGap" w:sz="4" w:space="0" w:color="1F497D" w:themeColor="text2"/>
              <w:left w:val="single" w:sz="4" w:space="0" w:color="1F497D"/>
              <w:bottom w:val="dashSmallGap" w:sz="4" w:space="0" w:color="1F497D" w:themeColor="text2"/>
              <w:right w:val="single" w:sz="4" w:space="0" w:color="1F497D"/>
            </w:tcBorders>
            <w:vAlign w:val="center"/>
            <w:hideMark/>
          </w:tcPr>
          <w:p w:rsidR="00646530" w:rsidRPr="00AC415A" w:rsidRDefault="00646530" w:rsidP="00B94A15">
            <w:pPr>
              <w:spacing w:before="60" w:after="60" w:line="240" w:lineRule="auto"/>
              <w:rPr>
                <w:rFonts w:eastAsia="Times New Roman" w:cs="Arial"/>
                <w:sz w:val="20"/>
                <w:szCs w:val="20"/>
              </w:rPr>
            </w:pPr>
            <w:r w:rsidRPr="00AC415A">
              <w:rPr>
                <w:rFonts w:eastAsia="Times New Roman" w:cs="Arial"/>
                <w:sz w:val="20"/>
                <w:szCs w:val="20"/>
              </w:rPr>
              <w:t>4.2. Todas as outorgas e licenças ambientais da infraestrutura existente regularizadas.</w:t>
            </w:r>
          </w:p>
        </w:tc>
        <w:tc>
          <w:tcPr>
            <w:tcW w:w="0" w:type="auto"/>
            <w:tcBorders>
              <w:top w:val="dashSmallGap" w:sz="4" w:space="0" w:color="1F497D" w:themeColor="text2"/>
              <w:left w:val="single" w:sz="4" w:space="0" w:color="1F497D"/>
              <w:bottom w:val="dashSmallGap" w:sz="4" w:space="0" w:color="1F497D" w:themeColor="text2"/>
              <w:right w:val="nil"/>
            </w:tcBorders>
            <w:vAlign w:val="center"/>
            <w:hideMark/>
          </w:tcPr>
          <w:p w:rsidR="00646530" w:rsidRPr="00AC415A" w:rsidRDefault="00646530" w:rsidP="00B94A15">
            <w:pPr>
              <w:spacing w:before="60" w:after="60" w:line="240" w:lineRule="auto"/>
              <w:jc w:val="center"/>
              <w:rPr>
                <w:rFonts w:eastAsia="Times New Roman" w:cs="Arial"/>
                <w:bCs/>
                <w:sz w:val="20"/>
                <w:szCs w:val="20"/>
              </w:rPr>
            </w:pPr>
            <w:r w:rsidRPr="00AC415A">
              <w:rPr>
                <w:rFonts w:eastAsia="Times New Roman" w:cs="Arial"/>
                <w:bCs/>
                <w:sz w:val="20"/>
                <w:szCs w:val="20"/>
              </w:rPr>
              <w:t>Imediato</w:t>
            </w:r>
          </w:p>
        </w:tc>
      </w:tr>
      <w:tr w:rsidR="00646530" w:rsidRPr="00AC415A" w:rsidTr="0081207B">
        <w:trPr>
          <w:cantSplit/>
          <w:trHeight w:val="454"/>
          <w:jc w:val="center"/>
        </w:trPr>
        <w:tc>
          <w:tcPr>
            <w:tcW w:w="0" w:type="auto"/>
            <w:vMerge/>
            <w:tcBorders>
              <w:top w:val="single" w:sz="4" w:space="0" w:color="1F497D"/>
              <w:left w:val="nil"/>
              <w:bottom w:val="single" w:sz="4" w:space="0" w:color="1F497D"/>
              <w:right w:val="single" w:sz="4" w:space="0" w:color="1F497D"/>
            </w:tcBorders>
            <w:vAlign w:val="center"/>
            <w:hideMark/>
          </w:tcPr>
          <w:p w:rsidR="00646530" w:rsidRPr="00AC415A" w:rsidRDefault="00646530" w:rsidP="00B94A15">
            <w:pPr>
              <w:spacing w:line="240" w:lineRule="auto"/>
              <w:jc w:val="left"/>
              <w:rPr>
                <w:rFonts w:eastAsia="Times New Roman" w:cs="Arial"/>
                <w:bCs/>
                <w:sz w:val="20"/>
                <w:szCs w:val="20"/>
              </w:rPr>
            </w:pPr>
          </w:p>
        </w:tc>
        <w:tc>
          <w:tcPr>
            <w:tcW w:w="0" w:type="auto"/>
            <w:tcBorders>
              <w:top w:val="dashSmallGap" w:sz="4" w:space="0" w:color="1F497D" w:themeColor="text2"/>
              <w:left w:val="single" w:sz="4" w:space="0" w:color="1F497D"/>
              <w:bottom w:val="single" w:sz="4" w:space="0" w:color="1F497D"/>
              <w:right w:val="single" w:sz="4" w:space="0" w:color="1F497D"/>
            </w:tcBorders>
            <w:vAlign w:val="center"/>
            <w:hideMark/>
          </w:tcPr>
          <w:p w:rsidR="00646530" w:rsidRPr="00AC415A" w:rsidRDefault="00646530" w:rsidP="00B94A15">
            <w:pPr>
              <w:spacing w:before="60" w:after="60" w:line="240" w:lineRule="auto"/>
              <w:rPr>
                <w:rFonts w:eastAsia="Times New Roman" w:cs="Arial"/>
                <w:sz w:val="20"/>
                <w:szCs w:val="20"/>
              </w:rPr>
            </w:pPr>
            <w:r w:rsidRPr="00AC415A">
              <w:rPr>
                <w:rFonts w:eastAsia="Times New Roman" w:cs="Arial"/>
                <w:sz w:val="20"/>
                <w:szCs w:val="20"/>
              </w:rPr>
              <w:t>4.3. Acompanhamento garantido da regularidade das outorgas dos usos dos recursos hídricos e das licenças ambientais da infraestrutura existente e a serem instaladas relacionadas ao SAA.</w:t>
            </w:r>
          </w:p>
        </w:tc>
        <w:tc>
          <w:tcPr>
            <w:tcW w:w="0" w:type="auto"/>
            <w:tcBorders>
              <w:top w:val="dashSmallGap" w:sz="4" w:space="0" w:color="1F497D" w:themeColor="text2"/>
              <w:left w:val="single" w:sz="4" w:space="0" w:color="1F497D"/>
              <w:bottom w:val="single" w:sz="4" w:space="0" w:color="1F497D"/>
              <w:right w:val="nil"/>
            </w:tcBorders>
            <w:vAlign w:val="center"/>
            <w:hideMark/>
          </w:tcPr>
          <w:p w:rsidR="00646530" w:rsidRPr="00AC415A" w:rsidRDefault="00646530" w:rsidP="00B94A15">
            <w:pPr>
              <w:spacing w:before="60" w:after="60" w:line="240" w:lineRule="auto"/>
              <w:jc w:val="center"/>
              <w:rPr>
                <w:rFonts w:eastAsia="Times New Roman" w:cs="Arial"/>
                <w:bCs/>
                <w:sz w:val="20"/>
                <w:szCs w:val="20"/>
              </w:rPr>
            </w:pPr>
            <w:r w:rsidRPr="00AC415A">
              <w:rPr>
                <w:rFonts w:eastAsia="Times New Roman" w:cs="Arial"/>
                <w:bCs/>
                <w:sz w:val="20"/>
                <w:szCs w:val="20"/>
              </w:rPr>
              <w:t>Imediato</w:t>
            </w:r>
          </w:p>
        </w:tc>
      </w:tr>
      <w:tr w:rsidR="00646530" w:rsidRPr="00AC415A" w:rsidTr="0081207B">
        <w:trPr>
          <w:cantSplit/>
          <w:trHeight w:val="454"/>
          <w:jc w:val="center"/>
        </w:trPr>
        <w:tc>
          <w:tcPr>
            <w:tcW w:w="0" w:type="auto"/>
            <w:vMerge w:val="restart"/>
            <w:tcBorders>
              <w:top w:val="single" w:sz="4" w:space="0" w:color="1F497D"/>
              <w:left w:val="nil"/>
              <w:bottom w:val="single" w:sz="4" w:space="0" w:color="1F497D"/>
              <w:right w:val="single" w:sz="4" w:space="0" w:color="1F497D"/>
            </w:tcBorders>
            <w:vAlign w:val="center"/>
            <w:hideMark/>
          </w:tcPr>
          <w:p w:rsidR="00646530" w:rsidRPr="00AC415A" w:rsidRDefault="00646530" w:rsidP="00B94A15">
            <w:pPr>
              <w:spacing w:before="60" w:after="60" w:line="240" w:lineRule="auto"/>
              <w:rPr>
                <w:rFonts w:eastAsia="Times New Roman" w:cs="Arial"/>
                <w:bCs/>
                <w:sz w:val="20"/>
                <w:szCs w:val="20"/>
              </w:rPr>
            </w:pPr>
            <w:r w:rsidRPr="00AC415A">
              <w:rPr>
                <w:rFonts w:eastAsia="Times New Roman" w:cs="Arial"/>
                <w:bCs/>
                <w:sz w:val="20"/>
                <w:szCs w:val="20"/>
              </w:rPr>
              <w:t xml:space="preserve">5. </w:t>
            </w:r>
            <w:r w:rsidRPr="00AC415A">
              <w:rPr>
                <w:bCs/>
                <w:sz w:val="20"/>
                <w:szCs w:val="20"/>
              </w:rPr>
              <w:t>Garantir a mobilização social e canais de comunicação com a sociedade, além de promover ações para a avaliação periódica da percepção dos usuários e para a promoção de educação ambiental.</w:t>
            </w:r>
          </w:p>
        </w:tc>
        <w:tc>
          <w:tcPr>
            <w:tcW w:w="0" w:type="auto"/>
            <w:tcBorders>
              <w:top w:val="single" w:sz="4" w:space="0" w:color="1F497D"/>
              <w:left w:val="single" w:sz="4" w:space="0" w:color="1F497D"/>
              <w:bottom w:val="dashSmallGap" w:sz="4" w:space="0" w:color="1F497D" w:themeColor="text2"/>
              <w:right w:val="single" w:sz="4" w:space="0" w:color="1F497D"/>
            </w:tcBorders>
            <w:vAlign w:val="center"/>
            <w:hideMark/>
          </w:tcPr>
          <w:p w:rsidR="00646530" w:rsidRPr="00AC415A" w:rsidRDefault="00646530" w:rsidP="00B94A15">
            <w:pPr>
              <w:spacing w:before="60" w:after="60" w:line="240" w:lineRule="auto"/>
              <w:rPr>
                <w:rFonts w:eastAsia="Times New Roman" w:cs="Arial"/>
                <w:bCs/>
                <w:sz w:val="20"/>
                <w:szCs w:val="20"/>
              </w:rPr>
            </w:pPr>
            <w:r w:rsidRPr="00AC415A">
              <w:rPr>
                <w:rFonts w:eastAsia="Times New Roman" w:cs="Arial"/>
                <w:bCs/>
                <w:sz w:val="20"/>
                <w:szCs w:val="20"/>
              </w:rPr>
              <w:t>5.1. Participação popular ativa na gestão do SAA e no processo de tomada de decisão, com população instruída.</w:t>
            </w:r>
          </w:p>
        </w:tc>
        <w:tc>
          <w:tcPr>
            <w:tcW w:w="0" w:type="auto"/>
            <w:tcBorders>
              <w:top w:val="single" w:sz="4" w:space="0" w:color="1F497D"/>
              <w:left w:val="single" w:sz="4" w:space="0" w:color="1F497D"/>
              <w:bottom w:val="dashSmallGap" w:sz="4" w:space="0" w:color="1F497D" w:themeColor="text2"/>
              <w:right w:val="nil"/>
            </w:tcBorders>
            <w:vAlign w:val="center"/>
            <w:hideMark/>
          </w:tcPr>
          <w:p w:rsidR="00646530" w:rsidRPr="00AC415A" w:rsidRDefault="00646530" w:rsidP="00B94A15">
            <w:pPr>
              <w:spacing w:before="60" w:after="60" w:line="240" w:lineRule="auto"/>
              <w:jc w:val="center"/>
              <w:rPr>
                <w:rFonts w:eastAsia="Times New Roman" w:cs="Arial"/>
                <w:bCs/>
                <w:sz w:val="20"/>
                <w:szCs w:val="20"/>
              </w:rPr>
            </w:pPr>
            <w:r w:rsidRPr="00AC415A">
              <w:rPr>
                <w:rFonts w:eastAsia="Times New Roman" w:cs="Arial"/>
                <w:bCs/>
                <w:sz w:val="20"/>
                <w:szCs w:val="20"/>
              </w:rPr>
              <w:t>Imediato</w:t>
            </w:r>
          </w:p>
        </w:tc>
      </w:tr>
      <w:tr w:rsidR="00646530" w:rsidRPr="00AC415A" w:rsidTr="0081207B">
        <w:trPr>
          <w:cantSplit/>
          <w:trHeight w:val="454"/>
          <w:jc w:val="center"/>
        </w:trPr>
        <w:tc>
          <w:tcPr>
            <w:tcW w:w="0" w:type="auto"/>
            <w:vMerge/>
            <w:tcBorders>
              <w:top w:val="single" w:sz="4" w:space="0" w:color="1F497D"/>
              <w:left w:val="nil"/>
              <w:bottom w:val="single" w:sz="4" w:space="0" w:color="1F497D"/>
              <w:right w:val="single" w:sz="4" w:space="0" w:color="1F497D"/>
            </w:tcBorders>
            <w:vAlign w:val="center"/>
            <w:hideMark/>
          </w:tcPr>
          <w:p w:rsidR="00646530" w:rsidRPr="00AC415A" w:rsidRDefault="00646530" w:rsidP="00B94A15">
            <w:pPr>
              <w:spacing w:line="240" w:lineRule="auto"/>
              <w:jc w:val="left"/>
              <w:rPr>
                <w:rFonts w:eastAsia="Times New Roman" w:cs="Arial"/>
                <w:bCs/>
                <w:sz w:val="20"/>
                <w:szCs w:val="20"/>
              </w:rPr>
            </w:pPr>
          </w:p>
        </w:tc>
        <w:tc>
          <w:tcPr>
            <w:tcW w:w="0" w:type="auto"/>
            <w:tcBorders>
              <w:top w:val="dashSmallGap" w:sz="4" w:space="0" w:color="1F497D" w:themeColor="text2"/>
              <w:left w:val="single" w:sz="4" w:space="0" w:color="1F497D"/>
              <w:bottom w:val="dashSmallGap" w:sz="4" w:space="0" w:color="1F497D" w:themeColor="text2"/>
              <w:right w:val="single" w:sz="4" w:space="0" w:color="1F497D"/>
            </w:tcBorders>
            <w:vAlign w:val="center"/>
            <w:hideMark/>
          </w:tcPr>
          <w:p w:rsidR="00646530" w:rsidRPr="00AC415A" w:rsidRDefault="00646530" w:rsidP="00B94A15">
            <w:pPr>
              <w:spacing w:before="60" w:after="60" w:line="240" w:lineRule="auto"/>
              <w:rPr>
                <w:rFonts w:eastAsia="Times New Roman" w:cs="Arial"/>
                <w:bCs/>
                <w:sz w:val="20"/>
                <w:szCs w:val="20"/>
              </w:rPr>
            </w:pPr>
            <w:r w:rsidRPr="00AC415A">
              <w:rPr>
                <w:rFonts w:eastAsia="Times New Roman" w:cs="Arial"/>
                <w:bCs/>
                <w:sz w:val="20"/>
                <w:szCs w:val="20"/>
              </w:rPr>
              <w:t>5.2. População sensibilizada sobre questões de escassez de água.</w:t>
            </w:r>
          </w:p>
        </w:tc>
        <w:tc>
          <w:tcPr>
            <w:tcW w:w="0" w:type="auto"/>
            <w:tcBorders>
              <w:top w:val="dashSmallGap" w:sz="4" w:space="0" w:color="1F497D" w:themeColor="text2"/>
              <w:left w:val="single" w:sz="4" w:space="0" w:color="1F497D"/>
              <w:bottom w:val="dashSmallGap" w:sz="4" w:space="0" w:color="1F497D" w:themeColor="text2"/>
              <w:right w:val="nil"/>
            </w:tcBorders>
            <w:vAlign w:val="center"/>
            <w:hideMark/>
          </w:tcPr>
          <w:p w:rsidR="00646530" w:rsidRPr="00AC415A" w:rsidRDefault="00646530" w:rsidP="00B94A15">
            <w:pPr>
              <w:spacing w:before="60" w:after="60" w:line="240" w:lineRule="auto"/>
              <w:jc w:val="center"/>
              <w:rPr>
                <w:rFonts w:eastAsia="Times New Roman" w:cs="Arial"/>
                <w:bCs/>
                <w:sz w:val="20"/>
                <w:szCs w:val="20"/>
              </w:rPr>
            </w:pPr>
            <w:r w:rsidRPr="00AC415A">
              <w:rPr>
                <w:rFonts w:eastAsia="Times New Roman" w:cs="Arial"/>
                <w:bCs/>
                <w:sz w:val="20"/>
                <w:szCs w:val="20"/>
              </w:rPr>
              <w:t>Imediato</w:t>
            </w:r>
          </w:p>
        </w:tc>
      </w:tr>
      <w:tr w:rsidR="00646530" w:rsidRPr="00AC415A" w:rsidTr="0081207B">
        <w:trPr>
          <w:cantSplit/>
          <w:trHeight w:val="454"/>
          <w:jc w:val="center"/>
        </w:trPr>
        <w:tc>
          <w:tcPr>
            <w:tcW w:w="0" w:type="auto"/>
            <w:vMerge/>
            <w:tcBorders>
              <w:top w:val="single" w:sz="4" w:space="0" w:color="1F497D"/>
              <w:left w:val="nil"/>
              <w:bottom w:val="single" w:sz="4" w:space="0" w:color="1F497D"/>
              <w:right w:val="single" w:sz="4" w:space="0" w:color="1F497D"/>
            </w:tcBorders>
            <w:vAlign w:val="center"/>
            <w:hideMark/>
          </w:tcPr>
          <w:p w:rsidR="00646530" w:rsidRPr="00AC415A" w:rsidRDefault="00646530" w:rsidP="00B94A15">
            <w:pPr>
              <w:spacing w:line="240" w:lineRule="auto"/>
              <w:jc w:val="left"/>
              <w:rPr>
                <w:rFonts w:eastAsia="Times New Roman" w:cs="Arial"/>
                <w:bCs/>
                <w:sz w:val="20"/>
                <w:szCs w:val="20"/>
              </w:rPr>
            </w:pPr>
          </w:p>
        </w:tc>
        <w:tc>
          <w:tcPr>
            <w:tcW w:w="0" w:type="auto"/>
            <w:tcBorders>
              <w:top w:val="dashSmallGap" w:sz="4" w:space="0" w:color="1F497D" w:themeColor="text2"/>
              <w:left w:val="single" w:sz="4" w:space="0" w:color="1F497D"/>
              <w:bottom w:val="dashSmallGap" w:sz="4" w:space="0" w:color="1F497D" w:themeColor="text2"/>
              <w:right w:val="single" w:sz="4" w:space="0" w:color="1F497D"/>
            </w:tcBorders>
            <w:vAlign w:val="center"/>
            <w:hideMark/>
          </w:tcPr>
          <w:p w:rsidR="00646530" w:rsidRPr="00AC415A" w:rsidRDefault="00646530" w:rsidP="00B94A15">
            <w:pPr>
              <w:spacing w:before="60" w:after="60" w:line="240" w:lineRule="auto"/>
              <w:rPr>
                <w:rFonts w:eastAsia="Times New Roman" w:cs="Arial"/>
                <w:bCs/>
                <w:sz w:val="20"/>
                <w:szCs w:val="20"/>
              </w:rPr>
            </w:pPr>
            <w:r w:rsidRPr="00AC415A">
              <w:rPr>
                <w:rFonts w:eastAsia="Times New Roman" w:cs="Arial"/>
                <w:iCs/>
                <w:sz w:val="20"/>
                <w:szCs w:val="20"/>
              </w:rPr>
              <w:t>5.3.</w:t>
            </w:r>
            <w:r w:rsidRPr="00AC415A">
              <w:rPr>
                <w:rFonts w:eastAsia="Times New Roman" w:cs="Arial"/>
                <w:sz w:val="20"/>
                <w:szCs w:val="20"/>
              </w:rPr>
              <w:t xml:space="preserve"> </w:t>
            </w:r>
            <w:r w:rsidRPr="00AC415A">
              <w:rPr>
                <w:rFonts w:eastAsia="Times New Roman" w:cs="Arial"/>
                <w:iCs/>
                <w:sz w:val="20"/>
                <w:szCs w:val="20"/>
              </w:rPr>
              <w:t>Possuir canais de comunicação com a população.</w:t>
            </w:r>
          </w:p>
        </w:tc>
        <w:tc>
          <w:tcPr>
            <w:tcW w:w="0" w:type="auto"/>
            <w:tcBorders>
              <w:top w:val="dashSmallGap" w:sz="4" w:space="0" w:color="1F497D" w:themeColor="text2"/>
              <w:left w:val="single" w:sz="4" w:space="0" w:color="1F497D"/>
              <w:bottom w:val="dashSmallGap" w:sz="4" w:space="0" w:color="1F497D" w:themeColor="text2"/>
              <w:right w:val="nil"/>
            </w:tcBorders>
            <w:vAlign w:val="center"/>
            <w:hideMark/>
          </w:tcPr>
          <w:p w:rsidR="00646530" w:rsidRPr="00AC415A" w:rsidRDefault="00646530" w:rsidP="00B94A15">
            <w:pPr>
              <w:spacing w:before="60" w:after="60" w:line="240" w:lineRule="auto"/>
              <w:jc w:val="center"/>
              <w:rPr>
                <w:rFonts w:eastAsia="Times New Roman" w:cs="Arial"/>
                <w:bCs/>
                <w:sz w:val="20"/>
                <w:szCs w:val="20"/>
              </w:rPr>
            </w:pPr>
            <w:r w:rsidRPr="00AC415A">
              <w:rPr>
                <w:rFonts w:eastAsia="Times New Roman" w:cs="Arial"/>
                <w:bCs/>
                <w:sz w:val="20"/>
                <w:szCs w:val="20"/>
              </w:rPr>
              <w:t>Imediato</w:t>
            </w:r>
          </w:p>
        </w:tc>
      </w:tr>
      <w:tr w:rsidR="00646530" w:rsidRPr="00AC415A" w:rsidTr="0081207B">
        <w:trPr>
          <w:cantSplit/>
          <w:trHeight w:val="454"/>
          <w:jc w:val="center"/>
        </w:trPr>
        <w:tc>
          <w:tcPr>
            <w:tcW w:w="0" w:type="auto"/>
            <w:vMerge/>
            <w:tcBorders>
              <w:top w:val="single" w:sz="4" w:space="0" w:color="1F497D"/>
              <w:left w:val="nil"/>
              <w:bottom w:val="single" w:sz="4" w:space="0" w:color="1F497D"/>
              <w:right w:val="single" w:sz="4" w:space="0" w:color="1F497D"/>
            </w:tcBorders>
            <w:vAlign w:val="center"/>
            <w:hideMark/>
          </w:tcPr>
          <w:p w:rsidR="00646530" w:rsidRPr="00AC415A" w:rsidRDefault="00646530" w:rsidP="00B94A15">
            <w:pPr>
              <w:spacing w:line="240" w:lineRule="auto"/>
              <w:jc w:val="left"/>
              <w:rPr>
                <w:rFonts w:eastAsia="Times New Roman" w:cs="Arial"/>
                <w:bCs/>
                <w:sz w:val="20"/>
                <w:szCs w:val="20"/>
              </w:rPr>
            </w:pPr>
          </w:p>
        </w:tc>
        <w:tc>
          <w:tcPr>
            <w:tcW w:w="0" w:type="auto"/>
            <w:tcBorders>
              <w:top w:val="dashSmallGap" w:sz="4" w:space="0" w:color="1F497D" w:themeColor="text2"/>
              <w:left w:val="single" w:sz="4" w:space="0" w:color="1F497D"/>
              <w:bottom w:val="single" w:sz="4" w:space="0" w:color="1F497D"/>
              <w:right w:val="single" w:sz="4" w:space="0" w:color="1F497D"/>
            </w:tcBorders>
            <w:vAlign w:val="center"/>
            <w:hideMark/>
          </w:tcPr>
          <w:p w:rsidR="00646530" w:rsidRPr="00AC415A" w:rsidRDefault="00646530" w:rsidP="00B94A15">
            <w:pPr>
              <w:spacing w:before="60" w:after="60" w:line="240" w:lineRule="auto"/>
              <w:rPr>
                <w:rFonts w:eastAsia="Times New Roman" w:cs="Arial"/>
                <w:iCs/>
                <w:sz w:val="20"/>
                <w:szCs w:val="20"/>
              </w:rPr>
            </w:pPr>
            <w:r w:rsidRPr="00AC415A">
              <w:rPr>
                <w:rFonts w:eastAsia="Times New Roman" w:cs="Arial"/>
                <w:iCs/>
                <w:sz w:val="20"/>
                <w:szCs w:val="20"/>
              </w:rPr>
              <w:t>5.4. Obtenção de um índice inicial de respostas satisfatórias a reclamações de 100%.</w:t>
            </w:r>
          </w:p>
        </w:tc>
        <w:tc>
          <w:tcPr>
            <w:tcW w:w="0" w:type="auto"/>
            <w:tcBorders>
              <w:top w:val="dashSmallGap" w:sz="4" w:space="0" w:color="1F497D" w:themeColor="text2"/>
              <w:left w:val="single" w:sz="4" w:space="0" w:color="1F497D"/>
              <w:bottom w:val="single" w:sz="4" w:space="0" w:color="1F497D"/>
              <w:right w:val="nil"/>
            </w:tcBorders>
            <w:vAlign w:val="center"/>
            <w:hideMark/>
          </w:tcPr>
          <w:p w:rsidR="00646530" w:rsidRPr="00AC415A" w:rsidRDefault="00646530" w:rsidP="00B94A15">
            <w:pPr>
              <w:spacing w:before="60" w:after="60" w:line="240" w:lineRule="auto"/>
              <w:jc w:val="center"/>
              <w:rPr>
                <w:rFonts w:eastAsia="Times New Roman" w:cs="Arial"/>
                <w:bCs/>
                <w:sz w:val="20"/>
                <w:szCs w:val="20"/>
              </w:rPr>
            </w:pPr>
            <w:r w:rsidRPr="00AC415A">
              <w:rPr>
                <w:rFonts w:eastAsia="Times New Roman" w:cs="Arial"/>
                <w:bCs/>
                <w:sz w:val="20"/>
                <w:szCs w:val="20"/>
              </w:rPr>
              <w:t>Longo</w:t>
            </w:r>
          </w:p>
        </w:tc>
      </w:tr>
    </w:tbl>
    <w:p w:rsidR="00646530" w:rsidRPr="00E643C7" w:rsidRDefault="00646530" w:rsidP="00646530">
      <w:pPr>
        <w:rPr>
          <w:lang w:eastAsia="pt-BR"/>
        </w:rPr>
        <w:sectPr w:rsidR="00646530" w:rsidRPr="00E643C7" w:rsidSect="00B94A15">
          <w:footerReference w:type="default" r:id="rId65"/>
          <w:pgSz w:w="16838" w:h="11906" w:orient="landscape"/>
          <w:pgMar w:top="1418" w:right="1134" w:bottom="1134" w:left="1134" w:header="709" w:footer="709" w:gutter="0"/>
          <w:cols w:space="708"/>
          <w:docGrid w:linePitch="360"/>
        </w:sectPr>
      </w:pPr>
    </w:p>
    <w:p w:rsidR="00646530" w:rsidRPr="008044FA" w:rsidRDefault="00646530" w:rsidP="002828C8">
      <w:pPr>
        <w:pStyle w:val="SHS-Ttulo02"/>
      </w:pPr>
      <w:bookmarkStart w:id="715" w:name="_Toc484422553"/>
      <w:bookmarkStart w:id="716" w:name="_Toc484532466"/>
      <w:bookmarkStart w:id="717" w:name="_Toc484422556"/>
      <w:bookmarkStart w:id="718" w:name="_Toc484532469"/>
      <w:bookmarkStart w:id="719" w:name="_Toc497469085"/>
      <w:r w:rsidRPr="008044FA">
        <w:lastRenderedPageBreak/>
        <w:t>Sistema de Esgotamento Sanitário</w:t>
      </w:r>
      <w:r>
        <w:t xml:space="preserve"> (SES)</w:t>
      </w:r>
      <w:bookmarkEnd w:id="715"/>
      <w:bookmarkEnd w:id="716"/>
      <w:bookmarkEnd w:id="719"/>
    </w:p>
    <w:p w:rsidR="00646530" w:rsidRDefault="00646530" w:rsidP="002828C8">
      <w:pPr>
        <w:pStyle w:val="Ttulo3"/>
      </w:pPr>
      <w:bookmarkStart w:id="720" w:name="_Toc484422554"/>
      <w:bookmarkStart w:id="721" w:name="_Toc484532467"/>
      <w:bookmarkStart w:id="722" w:name="_Toc497469086"/>
      <w:r w:rsidRPr="008044FA">
        <w:t>Proposição de cenários</w:t>
      </w:r>
      <w:bookmarkEnd w:id="720"/>
      <w:bookmarkEnd w:id="721"/>
      <w:bookmarkEnd w:id="722"/>
    </w:p>
    <w:p w:rsidR="00646530" w:rsidRDefault="00646530" w:rsidP="00646530">
      <w:pPr>
        <w:spacing w:before="120" w:after="120"/>
        <w:ind w:firstLine="708"/>
        <w:contextualSpacing/>
        <w:rPr>
          <w:rFonts w:cs="Arial"/>
          <w:szCs w:val="24"/>
        </w:rPr>
      </w:pPr>
      <w:r w:rsidRPr="00F1493C">
        <w:rPr>
          <w:rFonts w:cs="Arial"/>
          <w:szCs w:val="24"/>
        </w:rPr>
        <w:t xml:space="preserve">O setor de esgotamento sanitário foi analisado pela metodologia SWOT, que subsidiou a configuração dos cenários </w:t>
      </w:r>
      <w:r>
        <w:rPr>
          <w:rFonts w:cs="Arial"/>
          <w:szCs w:val="24"/>
        </w:rPr>
        <w:t>p</w:t>
      </w:r>
      <w:r w:rsidRPr="00BF629C">
        <w:rPr>
          <w:rFonts w:cs="Arial"/>
          <w:szCs w:val="24"/>
        </w:rPr>
        <w:t>revisível</w:t>
      </w:r>
      <w:r w:rsidRPr="00F1493C">
        <w:rPr>
          <w:rFonts w:cs="Arial"/>
          <w:szCs w:val="24"/>
        </w:rPr>
        <w:t xml:space="preserve"> e </w:t>
      </w:r>
      <w:r>
        <w:rPr>
          <w:rFonts w:cs="Arial"/>
          <w:szCs w:val="24"/>
        </w:rPr>
        <w:t>n</w:t>
      </w:r>
      <w:r w:rsidRPr="00BF629C">
        <w:rPr>
          <w:rFonts w:cs="Arial"/>
          <w:szCs w:val="24"/>
        </w:rPr>
        <w:t>ormativo</w:t>
      </w:r>
      <w:r w:rsidRPr="00F1493C">
        <w:rPr>
          <w:rFonts w:cs="Arial"/>
          <w:szCs w:val="24"/>
        </w:rPr>
        <w:t xml:space="preserve"> para este eixo, adotando-se o cenário normativo para a proposição de objetivos</w:t>
      </w:r>
      <w:r>
        <w:rPr>
          <w:rFonts w:cs="Arial"/>
          <w:szCs w:val="24"/>
        </w:rPr>
        <w:t xml:space="preserve"> e </w:t>
      </w:r>
      <w:r w:rsidRPr="00F1493C">
        <w:rPr>
          <w:rFonts w:cs="Arial"/>
          <w:szCs w:val="24"/>
        </w:rPr>
        <w:t xml:space="preserve">metas. O </w:t>
      </w:r>
      <w:r>
        <w:rPr>
          <w:rFonts w:cs="Arial"/>
          <w:szCs w:val="24"/>
        </w:rPr>
        <w:fldChar w:fldCharType="begin"/>
      </w:r>
      <w:r>
        <w:rPr>
          <w:rFonts w:cs="Arial"/>
          <w:szCs w:val="24"/>
        </w:rPr>
        <w:instrText xml:space="preserve"> REF _Ref484156434 \h </w:instrText>
      </w:r>
      <w:r>
        <w:rPr>
          <w:rFonts w:cs="Arial"/>
          <w:szCs w:val="24"/>
        </w:rPr>
      </w:r>
      <w:r>
        <w:rPr>
          <w:rFonts w:cs="Arial"/>
          <w:szCs w:val="24"/>
        </w:rPr>
        <w:fldChar w:fldCharType="separate"/>
      </w:r>
      <w:r w:rsidR="004D1D76">
        <w:t xml:space="preserve">Quadro </w:t>
      </w:r>
      <w:r w:rsidR="004D1D76">
        <w:rPr>
          <w:noProof/>
        </w:rPr>
        <w:t>76</w:t>
      </w:r>
      <w:r>
        <w:rPr>
          <w:rFonts w:cs="Arial"/>
          <w:szCs w:val="24"/>
        </w:rPr>
        <w:fldChar w:fldCharType="end"/>
      </w:r>
      <w:r>
        <w:rPr>
          <w:rFonts w:cs="Arial"/>
          <w:szCs w:val="24"/>
        </w:rPr>
        <w:t xml:space="preserve"> </w:t>
      </w:r>
      <w:r w:rsidRPr="00F1493C">
        <w:rPr>
          <w:rFonts w:cs="Arial"/>
          <w:szCs w:val="24"/>
        </w:rPr>
        <w:t>apresenta a Matriz SWOT gerada pela análise.</w:t>
      </w:r>
    </w:p>
    <w:p w:rsidR="00646530" w:rsidRDefault="00646530" w:rsidP="00646530">
      <w:pPr>
        <w:spacing w:before="120" w:after="120"/>
        <w:ind w:firstLine="708"/>
        <w:contextualSpacing/>
        <w:rPr>
          <w:rFonts w:cs="Arial"/>
          <w:szCs w:val="24"/>
        </w:rPr>
        <w:sectPr w:rsidR="00646530" w:rsidSect="00B94A15">
          <w:footerReference w:type="default" r:id="rId66"/>
          <w:pgSz w:w="11906" w:h="16838"/>
          <w:pgMar w:top="1134" w:right="1134" w:bottom="1134" w:left="1418" w:header="709" w:footer="709" w:gutter="0"/>
          <w:cols w:space="708"/>
          <w:docGrid w:linePitch="360"/>
        </w:sectPr>
      </w:pPr>
    </w:p>
    <w:p w:rsidR="00646530" w:rsidRPr="005D3214" w:rsidRDefault="00646530" w:rsidP="00646530">
      <w:pPr>
        <w:pStyle w:val="Legenda"/>
      </w:pPr>
      <w:bookmarkStart w:id="723" w:name="_Ref484156434"/>
      <w:bookmarkStart w:id="724" w:name="_Toc484423917"/>
      <w:bookmarkStart w:id="725" w:name="_Toc484532479"/>
      <w:bookmarkStart w:id="726" w:name="_Toc497469197"/>
      <w:r>
        <w:lastRenderedPageBreak/>
        <w:t xml:space="preserve">Quadro </w:t>
      </w:r>
      <w:r w:rsidR="00D71C43">
        <w:fldChar w:fldCharType="begin"/>
      </w:r>
      <w:r w:rsidR="00D71C43">
        <w:instrText xml:space="preserve"> SEQ Quadro \* ARABIC </w:instrText>
      </w:r>
      <w:r w:rsidR="00D71C43">
        <w:fldChar w:fldCharType="separate"/>
      </w:r>
      <w:r w:rsidR="004D1D76">
        <w:rPr>
          <w:noProof/>
        </w:rPr>
        <w:t>76</w:t>
      </w:r>
      <w:r w:rsidR="00D71C43">
        <w:rPr>
          <w:noProof/>
        </w:rPr>
        <w:fldChar w:fldCharType="end"/>
      </w:r>
      <w:bookmarkEnd w:id="723"/>
      <w:r>
        <w:rPr>
          <w:lang w:val="pt-BR"/>
        </w:rPr>
        <w:t xml:space="preserve"> - </w:t>
      </w:r>
      <w:r w:rsidRPr="005D3214">
        <w:t xml:space="preserve">Matriz SWOT do </w:t>
      </w:r>
      <w:r>
        <w:rPr>
          <w:lang w:val="pt-BR"/>
        </w:rPr>
        <w:t>Sistema de Esgotamento Sanitário (SES)</w:t>
      </w:r>
      <w:bookmarkEnd w:id="724"/>
      <w:bookmarkEnd w:id="725"/>
      <w:bookmarkEnd w:id="7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1"/>
        <w:gridCol w:w="5030"/>
        <w:gridCol w:w="3179"/>
        <w:gridCol w:w="5426"/>
      </w:tblGrid>
      <w:tr w:rsidR="00646530" w:rsidRPr="007F35D1" w:rsidTr="00B94A15">
        <w:trPr>
          <w:trHeight w:val="332"/>
          <w:tblHeader/>
          <w:jc w:val="center"/>
        </w:trPr>
        <w:tc>
          <w:tcPr>
            <w:tcW w:w="389" w:type="pct"/>
            <w:tcBorders>
              <w:top w:val="nil"/>
              <w:left w:val="nil"/>
              <w:bottom w:val="single" w:sz="4" w:space="0" w:color="auto"/>
              <w:right w:val="single" w:sz="4" w:space="0" w:color="auto"/>
            </w:tcBorders>
            <w:shd w:val="clear" w:color="auto" w:fill="auto"/>
            <w:vAlign w:val="center"/>
          </w:tcPr>
          <w:p w:rsidR="00646530" w:rsidRPr="007F35D1" w:rsidRDefault="00646530" w:rsidP="00B94A15">
            <w:pPr>
              <w:autoSpaceDE w:val="0"/>
              <w:autoSpaceDN w:val="0"/>
              <w:adjustRightInd w:val="0"/>
              <w:spacing w:line="240" w:lineRule="auto"/>
              <w:contextualSpacing/>
              <w:rPr>
                <w:rFonts w:cs="Arial"/>
                <w:sz w:val="20"/>
                <w:szCs w:val="20"/>
              </w:rPr>
            </w:pPr>
          </w:p>
        </w:tc>
        <w:tc>
          <w:tcPr>
            <w:tcW w:w="1701" w:type="pct"/>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hideMark/>
          </w:tcPr>
          <w:p w:rsidR="00646530" w:rsidRPr="007F35D1" w:rsidRDefault="00646530" w:rsidP="00B94A15">
            <w:pPr>
              <w:autoSpaceDE w:val="0"/>
              <w:autoSpaceDN w:val="0"/>
              <w:adjustRightInd w:val="0"/>
              <w:spacing w:line="240" w:lineRule="auto"/>
              <w:ind w:hanging="5"/>
              <w:contextualSpacing/>
              <w:jc w:val="center"/>
              <w:rPr>
                <w:rFonts w:cs="Arial"/>
                <w:b/>
                <w:sz w:val="20"/>
                <w:szCs w:val="20"/>
              </w:rPr>
            </w:pPr>
            <w:r w:rsidRPr="007F35D1">
              <w:rPr>
                <w:rFonts w:cs="Arial"/>
                <w:b/>
                <w:sz w:val="20"/>
                <w:szCs w:val="20"/>
              </w:rPr>
              <w:t>PONTOS POSITIVOS</w:t>
            </w:r>
          </w:p>
        </w:tc>
        <w:tc>
          <w:tcPr>
            <w:tcW w:w="1075" w:type="pct"/>
            <w:tcBorders>
              <w:top w:val="single" w:sz="4" w:space="0" w:color="auto"/>
              <w:left w:val="single" w:sz="4" w:space="0" w:color="auto"/>
              <w:bottom w:val="single" w:sz="4" w:space="0" w:color="auto"/>
              <w:right w:val="single" w:sz="4" w:space="0" w:color="auto"/>
            </w:tcBorders>
            <w:shd w:val="clear" w:color="auto" w:fill="95B3D7"/>
            <w:vAlign w:val="center"/>
          </w:tcPr>
          <w:p w:rsidR="00646530" w:rsidRPr="007F35D1" w:rsidRDefault="00646530" w:rsidP="00B94A15">
            <w:pPr>
              <w:autoSpaceDE w:val="0"/>
              <w:autoSpaceDN w:val="0"/>
              <w:adjustRightInd w:val="0"/>
              <w:spacing w:line="240" w:lineRule="auto"/>
              <w:ind w:hanging="5"/>
              <w:contextualSpacing/>
              <w:jc w:val="center"/>
              <w:rPr>
                <w:rFonts w:cs="Arial"/>
                <w:b/>
                <w:sz w:val="20"/>
                <w:szCs w:val="20"/>
              </w:rPr>
            </w:pPr>
            <w:r w:rsidRPr="007F35D1">
              <w:rPr>
                <w:rFonts w:cs="Arial"/>
                <w:b/>
                <w:sz w:val="20"/>
                <w:szCs w:val="20"/>
              </w:rPr>
              <w:t>ITENS DE REFLEXÃO</w:t>
            </w:r>
          </w:p>
        </w:tc>
        <w:tc>
          <w:tcPr>
            <w:tcW w:w="1835" w:type="pct"/>
            <w:tcBorders>
              <w:top w:val="single" w:sz="4" w:space="0" w:color="auto"/>
              <w:left w:val="single" w:sz="4" w:space="0" w:color="auto"/>
              <w:bottom w:val="single" w:sz="4" w:space="0" w:color="auto"/>
              <w:right w:val="single" w:sz="4" w:space="0" w:color="auto"/>
            </w:tcBorders>
            <w:shd w:val="clear" w:color="auto" w:fill="95B3D7"/>
            <w:vAlign w:val="center"/>
            <w:hideMark/>
          </w:tcPr>
          <w:p w:rsidR="00646530" w:rsidRPr="007F35D1" w:rsidRDefault="00646530" w:rsidP="00B94A15">
            <w:pPr>
              <w:autoSpaceDE w:val="0"/>
              <w:autoSpaceDN w:val="0"/>
              <w:adjustRightInd w:val="0"/>
              <w:spacing w:line="240" w:lineRule="auto"/>
              <w:ind w:hanging="5"/>
              <w:contextualSpacing/>
              <w:jc w:val="center"/>
              <w:rPr>
                <w:rFonts w:cs="Arial"/>
                <w:b/>
                <w:sz w:val="20"/>
                <w:szCs w:val="20"/>
              </w:rPr>
            </w:pPr>
            <w:r w:rsidRPr="007F35D1">
              <w:rPr>
                <w:rFonts w:cs="Arial"/>
                <w:b/>
                <w:sz w:val="20"/>
                <w:szCs w:val="20"/>
              </w:rPr>
              <w:t>PONTOS NEGATIVOS</w:t>
            </w:r>
          </w:p>
        </w:tc>
      </w:tr>
      <w:tr w:rsidR="00646530" w:rsidRPr="007F35D1" w:rsidTr="00B94A15">
        <w:trPr>
          <w:trHeight w:val="1020"/>
          <w:jc w:val="center"/>
        </w:trPr>
        <w:tc>
          <w:tcPr>
            <w:tcW w:w="389" w:type="pct"/>
            <w:tcBorders>
              <w:top w:val="single" w:sz="4" w:space="0" w:color="auto"/>
              <w:left w:val="single" w:sz="4" w:space="0" w:color="auto"/>
              <w:bottom w:val="single" w:sz="4" w:space="0" w:color="auto"/>
              <w:right w:val="single" w:sz="4" w:space="0" w:color="auto"/>
            </w:tcBorders>
            <w:shd w:val="clear" w:color="auto" w:fill="365F91"/>
            <w:vAlign w:val="center"/>
            <w:hideMark/>
          </w:tcPr>
          <w:p w:rsidR="00646530" w:rsidRPr="007F35D1" w:rsidRDefault="00646530" w:rsidP="00B94A15">
            <w:pPr>
              <w:autoSpaceDE w:val="0"/>
              <w:autoSpaceDN w:val="0"/>
              <w:adjustRightInd w:val="0"/>
              <w:spacing w:line="240" w:lineRule="auto"/>
              <w:contextualSpacing/>
              <w:jc w:val="center"/>
              <w:rPr>
                <w:rFonts w:cs="Arial"/>
                <w:b/>
                <w:color w:val="FFFFFF" w:themeColor="background1"/>
                <w:sz w:val="20"/>
                <w:szCs w:val="20"/>
              </w:rPr>
            </w:pPr>
            <w:r w:rsidRPr="007F35D1">
              <w:rPr>
                <w:rFonts w:cs="Arial"/>
                <w:b/>
                <w:color w:val="FFFFFF" w:themeColor="background1"/>
                <w:sz w:val="20"/>
                <w:szCs w:val="20"/>
              </w:rPr>
              <w:t>Ambiente Interno</w:t>
            </w:r>
          </w:p>
        </w:tc>
        <w:tc>
          <w:tcPr>
            <w:tcW w:w="1701" w:type="pct"/>
            <w:tcBorders>
              <w:top w:val="single" w:sz="4" w:space="0" w:color="auto"/>
              <w:left w:val="single" w:sz="4" w:space="0" w:color="auto"/>
              <w:bottom w:val="single" w:sz="4" w:space="0" w:color="auto"/>
              <w:right w:val="single" w:sz="4" w:space="0" w:color="auto"/>
            </w:tcBorders>
            <w:shd w:val="clear" w:color="auto" w:fill="B8CCE4" w:themeFill="accent1" w:themeFillTint="66"/>
          </w:tcPr>
          <w:p w:rsidR="00646530" w:rsidRPr="007F35D1" w:rsidRDefault="00646530" w:rsidP="00B94A15">
            <w:pPr>
              <w:autoSpaceDE w:val="0"/>
              <w:autoSpaceDN w:val="0"/>
              <w:adjustRightInd w:val="0"/>
              <w:spacing w:line="240" w:lineRule="auto"/>
              <w:contextualSpacing/>
              <w:jc w:val="left"/>
              <w:rPr>
                <w:rFonts w:cs="Arial"/>
                <w:b/>
                <w:sz w:val="20"/>
                <w:szCs w:val="20"/>
              </w:rPr>
            </w:pPr>
          </w:p>
          <w:p w:rsidR="00646530" w:rsidRPr="007F35D1" w:rsidRDefault="00646530" w:rsidP="00B94A15">
            <w:pPr>
              <w:autoSpaceDE w:val="0"/>
              <w:autoSpaceDN w:val="0"/>
              <w:adjustRightInd w:val="0"/>
              <w:spacing w:line="240" w:lineRule="auto"/>
              <w:contextualSpacing/>
              <w:jc w:val="center"/>
              <w:rPr>
                <w:rFonts w:cs="Arial"/>
                <w:b/>
                <w:sz w:val="20"/>
                <w:szCs w:val="20"/>
              </w:rPr>
            </w:pPr>
            <w:r w:rsidRPr="007F35D1">
              <w:rPr>
                <w:rFonts w:cs="Arial"/>
                <w:b/>
                <w:sz w:val="20"/>
                <w:szCs w:val="20"/>
              </w:rPr>
              <w:t>FORÇAS</w:t>
            </w:r>
          </w:p>
          <w:p w:rsidR="00646530" w:rsidRPr="007F35D1" w:rsidRDefault="00646530" w:rsidP="00B94A15">
            <w:pPr>
              <w:autoSpaceDE w:val="0"/>
              <w:autoSpaceDN w:val="0"/>
              <w:adjustRightInd w:val="0"/>
              <w:spacing w:line="240" w:lineRule="auto"/>
              <w:contextualSpacing/>
              <w:jc w:val="left"/>
              <w:rPr>
                <w:rFonts w:cs="Arial"/>
                <w:b/>
                <w:sz w:val="20"/>
                <w:szCs w:val="20"/>
              </w:rPr>
            </w:pPr>
          </w:p>
          <w:p w:rsidR="00646530" w:rsidRPr="007F35D1" w:rsidRDefault="00646530" w:rsidP="00B94A15">
            <w:pPr>
              <w:autoSpaceDE w:val="0"/>
              <w:autoSpaceDN w:val="0"/>
              <w:adjustRightInd w:val="0"/>
              <w:spacing w:line="240" w:lineRule="auto"/>
              <w:contextualSpacing/>
              <w:jc w:val="left"/>
              <w:rPr>
                <w:rFonts w:cs="Arial"/>
                <w:b/>
                <w:sz w:val="20"/>
                <w:szCs w:val="20"/>
              </w:rPr>
            </w:pPr>
            <w:r>
              <w:rPr>
                <w:rFonts w:cs="Arial"/>
                <w:b/>
                <w:sz w:val="20"/>
                <w:szCs w:val="20"/>
              </w:rPr>
              <w:t>2. Perfil i</w:t>
            </w:r>
            <w:r w:rsidRPr="007F35D1">
              <w:rPr>
                <w:rFonts w:cs="Arial"/>
                <w:b/>
                <w:sz w:val="20"/>
                <w:szCs w:val="20"/>
              </w:rPr>
              <w:t>nstitucional</w:t>
            </w:r>
          </w:p>
          <w:p w:rsidR="00646530" w:rsidRPr="007F35D1" w:rsidRDefault="00646530" w:rsidP="00B94A15">
            <w:pPr>
              <w:autoSpaceDE w:val="0"/>
              <w:autoSpaceDN w:val="0"/>
              <w:adjustRightInd w:val="0"/>
              <w:spacing w:line="240" w:lineRule="auto"/>
              <w:jc w:val="left"/>
              <w:rPr>
                <w:rFonts w:cs="Arial"/>
                <w:sz w:val="20"/>
                <w:szCs w:val="20"/>
              </w:rPr>
            </w:pPr>
            <w:r w:rsidRPr="007F35D1">
              <w:rPr>
                <w:rFonts w:cs="Arial"/>
                <w:sz w:val="20"/>
                <w:szCs w:val="20"/>
              </w:rPr>
              <w:t>- Existência de um setor responsável pelo SES, Departamento Municipal de Obras e Projetos Públicos.</w:t>
            </w:r>
          </w:p>
          <w:p w:rsidR="00646530" w:rsidRPr="007F35D1" w:rsidRDefault="00646530" w:rsidP="00B94A15">
            <w:pPr>
              <w:autoSpaceDE w:val="0"/>
              <w:autoSpaceDN w:val="0"/>
              <w:adjustRightInd w:val="0"/>
              <w:spacing w:line="240" w:lineRule="auto"/>
              <w:jc w:val="left"/>
              <w:rPr>
                <w:rFonts w:cs="Arial"/>
                <w:b/>
                <w:sz w:val="20"/>
                <w:szCs w:val="20"/>
              </w:rPr>
            </w:pPr>
          </w:p>
          <w:p w:rsidR="00646530" w:rsidRPr="007F35D1" w:rsidRDefault="00646530" w:rsidP="00B94A15">
            <w:pPr>
              <w:autoSpaceDE w:val="0"/>
              <w:autoSpaceDN w:val="0"/>
              <w:adjustRightInd w:val="0"/>
              <w:spacing w:line="240" w:lineRule="auto"/>
              <w:jc w:val="left"/>
              <w:rPr>
                <w:rFonts w:cs="Arial"/>
                <w:b/>
                <w:sz w:val="20"/>
                <w:szCs w:val="20"/>
              </w:rPr>
            </w:pPr>
            <w:r w:rsidRPr="007F35D1">
              <w:rPr>
                <w:rFonts w:cs="Arial"/>
                <w:b/>
                <w:sz w:val="20"/>
                <w:szCs w:val="20"/>
              </w:rPr>
              <w:t>3. Sistema Operacional</w:t>
            </w:r>
          </w:p>
          <w:p w:rsidR="00646530" w:rsidRPr="007F35D1" w:rsidRDefault="00646530" w:rsidP="00B94A15">
            <w:pPr>
              <w:autoSpaceDE w:val="0"/>
              <w:autoSpaceDN w:val="0"/>
              <w:adjustRightInd w:val="0"/>
              <w:spacing w:line="240" w:lineRule="auto"/>
              <w:jc w:val="left"/>
              <w:rPr>
                <w:rFonts w:cs="Arial"/>
                <w:sz w:val="20"/>
                <w:szCs w:val="20"/>
              </w:rPr>
            </w:pPr>
            <w:r w:rsidRPr="007F35D1">
              <w:rPr>
                <w:rFonts w:cs="Arial"/>
                <w:sz w:val="20"/>
                <w:szCs w:val="20"/>
              </w:rPr>
              <w:t xml:space="preserve">- O município apresenta um projeto de uma ETE, para atender 3.600 habitantes, com uma vazão máxima horária 8,74 L/s. </w:t>
            </w:r>
          </w:p>
          <w:p w:rsidR="00646530" w:rsidRPr="007F35D1" w:rsidRDefault="00646530" w:rsidP="00B94A15">
            <w:pPr>
              <w:autoSpaceDE w:val="0"/>
              <w:autoSpaceDN w:val="0"/>
              <w:adjustRightInd w:val="0"/>
              <w:spacing w:line="240" w:lineRule="auto"/>
              <w:jc w:val="left"/>
              <w:rPr>
                <w:rFonts w:cs="Arial"/>
                <w:sz w:val="20"/>
                <w:szCs w:val="20"/>
              </w:rPr>
            </w:pPr>
            <w:r w:rsidRPr="007F35D1">
              <w:rPr>
                <w:rFonts w:cs="Arial"/>
                <w:sz w:val="20"/>
                <w:szCs w:val="20"/>
              </w:rPr>
              <w:t>- O município apresenta um projeto de construção de um interceptor que tem 1.714 metros de comprimento total.</w:t>
            </w:r>
          </w:p>
          <w:p w:rsidR="00646530" w:rsidRPr="007F35D1" w:rsidRDefault="00646530" w:rsidP="00B94A15">
            <w:pPr>
              <w:autoSpaceDE w:val="0"/>
              <w:autoSpaceDN w:val="0"/>
              <w:adjustRightInd w:val="0"/>
              <w:spacing w:line="240" w:lineRule="auto"/>
              <w:contextualSpacing/>
              <w:jc w:val="left"/>
              <w:rPr>
                <w:rFonts w:cs="Arial"/>
                <w:sz w:val="20"/>
                <w:szCs w:val="20"/>
              </w:rPr>
            </w:pPr>
            <w:r w:rsidRPr="007F35D1">
              <w:rPr>
                <w:rFonts w:cs="Arial"/>
                <w:sz w:val="20"/>
                <w:szCs w:val="20"/>
              </w:rPr>
              <w:t>- Algumas residências da área rural apresentam fossas sépticas.</w:t>
            </w:r>
          </w:p>
          <w:p w:rsidR="00646530" w:rsidRPr="007F35D1" w:rsidRDefault="00646530" w:rsidP="00B94A15">
            <w:pPr>
              <w:autoSpaceDE w:val="0"/>
              <w:autoSpaceDN w:val="0"/>
              <w:adjustRightInd w:val="0"/>
              <w:spacing w:line="240" w:lineRule="auto"/>
              <w:contextualSpacing/>
              <w:jc w:val="left"/>
              <w:rPr>
                <w:rFonts w:cs="Arial"/>
                <w:sz w:val="20"/>
                <w:szCs w:val="20"/>
              </w:rPr>
            </w:pPr>
            <w:r>
              <w:rPr>
                <w:rFonts w:cs="Arial"/>
                <w:sz w:val="20"/>
                <w:szCs w:val="20"/>
              </w:rPr>
              <w:t xml:space="preserve">- </w:t>
            </w:r>
            <w:r w:rsidRPr="007F35D1">
              <w:rPr>
                <w:rFonts w:cs="Arial"/>
                <w:sz w:val="20"/>
                <w:szCs w:val="20"/>
              </w:rPr>
              <w:t>O projeto da ETE e dos interceptores foi finalizado.</w:t>
            </w:r>
          </w:p>
          <w:p w:rsidR="00646530" w:rsidRPr="007F35D1" w:rsidRDefault="00646530" w:rsidP="00B94A15">
            <w:pPr>
              <w:autoSpaceDE w:val="0"/>
              <w:autoSpaceDN w:val="0"/>
              <w:adjustRightInd w:val="0"/>
              <w:spacing w:line="240" w:lineRule="auto"/>
              <w:contextualSpacing/>
              <w:jc w:val="left"/>
              <w:rPr>
                <w:rFonts w:cs="Arial"/>
                <w:sz w:val="20"/>
                <w:szCs w:val="20"/>
              </w:rPr>
            </w:pPr>
          </w:p>
          <w:p w:rsidR="00646530" w:rsidRPr="007F35D1" w:rsidRDefault="00646530" w:rsidP="00B94A15">
            <w:pPr>
              <w:autoSpaceDE w:val="0"/>
              <w:autoSpaceDN w:val="0"/>
              <w:adjustRightInd w:val="0"/>
              <w:spacing w:line="240" w:lineRule="auto"/>
              <w:jc w:val="left"/>
              <w:rPr>
                <w:rFonts w:cs="Arial"/>
                <w:b/>
                <w:sz w:val="20"/>
                <w:szCs w:val="20"/>
              </w:rPr>
            </w:pPr>
            <w:r w:rsidRPr="007F35D1">
              <w:rPr>
                <w:rFonts w:cs="Arial"/>
                <w:b/>
                <w:sz w:val="20"/>
                <w:szCs w:val="20"/>
              </w:rPr>
              <w:t>5. Legislação e normatização do setor</w:t>
            </w:r>
          </w:p>
          <w:p w:rsidR="00646530" w:rsidRPr="007F35D1" w:rsidRDefault="00646530" w:rsidP="00B94A15">
            <w:pPr>
              <w:autoSpaceDE w:val="0"/>
              <w:autoSpaceDN w:val="0"/>
              <w:adjustRightInd w:val="0"/>
              <w:spacing w:line="240" w:lineRule="auto"/>
              <w:contextualSpacing/>
              <w:jc w:val="left"/>
              <w:rPr>
                <w:rFonts w:cs="Arial"/>
                <w:sz w:val="20"/>
                <w:szCs w:val="20"/>
              </w:rPr>
            </w:pPr>
            <w:r w:rsidRPr="007F35D1">
              <w:rPr>
                <w:rFonts w:cs="Arial"/>
                <w:sz w:val="20"/>
                <w:szCs w:val="20"/>
              </w:rPr>
              <w:t>- O município possui um Plano Plurianual de 2014-2017 que contempla ações diretamente relacionadas ao sistema de esgotamento sanitário.</w:t>
            </w:r>
          </w:p>
          <w:p w:rsidR="00646530" w:rsidRPr="007F35D1" w:rsidRDefault="00646530" w:rsidP="00B94A15">
            <w:pPr>
              <w:autoSpaceDE w:val="0"/>
              <w:autoSpaceDN w:val="0"/>
              <w:adjustRightInd w:val="0"/>
              <w:spacing w:line="240" w:lineRule="auto"/>
              <w:contextualSpacing/>
              <w:jc w:val="left"/>
              <w:rPr>
                <w:rFonts w:cs="Arial"/>
                <w:sz w:val="20"/>
                <w:szCs w:val="20"/>
              </w:rPr>
            </w:pPr>
          </w:p>
          <w:p w:rsidR="00646530" w:rsidRPr="007F35D1" w:rsidRDefault="00646530" w:rsidP="00B94A15">
            <w:pPr>
              <w:autoSpaceDE w:val="0"/>
              <w:autoSpaceDN w:val="0"/>
              <w:adjustRightInd w:val="0"/>
              <w:spacing w:line="240" w:lineRule="auto"/>
              <w:contextualSpacing/>
              <w:jc w:val="left"/>
              <w:rPr>
                <w:rFonts w:cs="Arial"/>
                <w:b/>
                <w:sz w:val="20"/>
                <w:szCs w:val="20"/>
              </w:rPr>
            </w:pPr>
            <w:r w:rsidRPr="007F35D1">
              <w:rPr>
                <w:rFonts w:cs="Arial"/>
                <w:b/>
                <w:sz w:val="20"/>
                <w:szCs w:val="20"/>
              </w:rPr>
              <w:t>6. Sustentabilidade econômica</w:t>
            </w:r>
          </w:p>
          <w:p w:rsidR="00646530" w:rsidRPr="007F35D1" w:rsidRDefault="00646530" w:rsidP="00B94A15">
            <w:pPr>
              <w:autoSpaceDE w:val="0"/>
              <w:autoSpaceDN w:val="0"/>
              <w:adjustRightInd w:val="0"/>
              <w:spacing w:line="240" w:lineRule="auto"/>
              <w:contextualSpacing/>
              <w:jc w:val="left"/>
              <w:rPr>
                <w:rFonts w:cs="Arial"/>
                <w:sz w:val="20"/>
                <w:szCs w:val="20"/>
              </w:rPr>
            </w:pPr>
            <w:r w:rsidRPr="007F35D1">
              <w:rPr>
                <w:rFonts w:cs="Arial"/>
                <w:sz w:val="20"/>
                <w:szCs w:val="20"/>
              </w:rPr>
              <w:t>- O município recebeu investimentos na área de esgotamento sanitário, como o apresentado no Plano Plurianual de 2014-2017.</w:t>
            </w:r>
          </w:p>
        </w:tc>
        <w:tc>
          <w:tcPr>
            <w:tcW w:w="1075" w:type="pct"/>
            <w:vMerge w:val="restart"/>
            <w:tcBorders>
              <w:top w:val="single" w:sz="4" w:space="0" w:color="auto"/>
              <w:left w:val="single" w:sz="4" w:space="0" w:color="auto"/>
              <w:right w:val="single" w:sz="4" w:space="0" w:color="auto"/>
            </w:tcBorders>
            <w:shd w:val="clear" w:color="auto" w:fill="B8CCE4" w:themeFill="accent1" w:themeFillTint="66"/>
            <w:vAlign w:val="center"/>
          </w:tcPr>
          <w:p w:rsidR="00646530" w:rsidRPr="007F35D1" w:rsidRDefault="00646530" w:rsidP="00B94A15">
            <w:pPr>
              <w:autoSpaceDE w:val="0"/>
              <w:autoSpaceDN w:val="0"/>
              <w:adjustRightInd w:val="0"/>
              <w:spacing w:line="240" w:lineRule="auto"/>
              <w:jc w:val="center"/>
              <w:rPr>
                <w:rFonts w:cs="Arial"/>
                <w:b/>
                <w:sz w:val="20"/>
                <w:szCs w:val="20"/>
              </w:rPr>
            </w:pPr>
            <w:r w:rsidRPr="007F35D1">
              <w:rPr>
                <w:rFonts w:cs="Arial"/>
                <w:b/>
                <w:sz w:val="20"/>
                <w:szCs w:val="20"/>
              </w:rPr>
              <w:t>1. Atendimento da demanda</w:t>
            </w:r>
          </w:p>
          <w:p w:rsidR="00646530" w:rsidRPr="007F35D1" w:rsidRDefault="00646530" w:rsidP="00B94A15">
            <w:pPr>
              <w:autoSpaceDE w:val="0"/>
              <w:autoSpaceDN w:val="0"/>
              <w:adjustRightInd w:val="0"/>
              <w:spacing w:line="240" w:lineRule="auto"/>
              <w:jc w:val="center"/>
              <w:rPr>
                <w:rFonts w:cs="Arial"/>
                <w:b/>
                <w:sz w:val="20"/>
                <w:szCs w:val="20"/>
              </w:rPr>
            </w:pPr>
          </w:p>
          <w:p w:rsidR="00646530" w:rsidRPr="007F35D1" w:rsidRDefault="00646530" w:rsidP="00B94A15">
            <w:pPr>
              <w:autoSpaceDE w:val="0"/>
              <w:autoSpaceDN w:val="0"/>
              <w:adjustRightInd w:val="0"/>
              <w:spacing w:line="240" w:lineRule="auto"/>
              <w:jc w:val="center"/>
              <w:rPr>
                <w:rFonts w:cs="Arial"/>
                <w:b/>
                <w:sz w:val="20"/>
                <w:szCs w:val="20"/>
              </w:rPr>
            </w:pPr>
            <w:r>
              <w:rPr>
                <w:rFonts w:cs="Arial"/>
                <w:b/>
                <w:sz w:val="20"/>
                <w:szCs w:val="20"/>
              </w:rPr>
              <w:t>2. Perfil i</w:t>
            </w:r>
            <w:r w:rsidRPr="007F35D1">
              <w:rPr>
                <w:rFonts w:cs="Arial"/>
                <w:b/>
                <w:sz w:val="20"/>
                <w:szCs w:val="20"/>
              </w:rPr>
              <w:t>nstitucional</w:t>
            </w:r>
          </w:p>
          <w:p w:rsidR="00646530" w:rsidRPr="007F35D1" w:rsidRDefault="00646530" w:rsidP="00B94A15">
            <w:pPr>
              <w:autoSpaceDE w:val="0"/>
              <w:autoSpaceDN w:val="0"/>
              <w:adjustRightInd w:val="0"/>
              <w:spacing w:line="240" w:lineRule="auto"/>
              <w:jc w:val="center"/>
              <w:rPr>
                <w:rFonts w:cs="Arial"/>
                <w:b/>
                <w:sz w:val="20"/>
                <w:szCs w:val="20"/>
              </w:rPr>
            </w:pPr>
          </w:p>
          <w:p w:rsidR="00646530" w:rsidRPr="007F35D1" w:rsidRDefault="00646530" w:rsidP="00B94A15">
            <w:pPr>
              <w:autoSpaceDE w:val="0"/>
              <w:autoSpaceDN w:val="0"/>
              <w:adjustRightInd w:val="0"/>
              <w:spacing w:line="240" w:lineRule="auto"/>
              <w:jc w:val="center"/>
              <w:rPr>
                <w:rFonts w:cs="Arial"/>
                <w:b/>
                <w:sz w:val="20"/>
                <w:szCs w:val="20"/>
              </w:rPr>
            </w:pPr>
            <w:r w:rsidRPr="007F35D1">
              <w:rPr>
                <w:rFonts w:cs="Arial"/>
                <w:b/>
                <w:sz w:val="20"/>
                <w:szCs w:val="20"/>
              </w:rPr>
              <w:t>3. Sistema Operacional</w:t>
            </w:r>
          </w:p>
          <w:p w:rsidR="00646530" w:rsidRPr="007F35D1" w:rsidRDefault="00646530" w:rsidP="00B94A15">
            <w:pPr>
              <w:autoSpaceDE w:val="0"/>
              <w:autoSpaceDN w:val="0"/>
              <w:adjustRightInd w:val="0"/>
              <w:spacing w:line="240" w:lineRule="auto"/>
              <w:jc w:val="center"/>
              <w:rPr>
                <w:rFonts w:cs="Arial"/>
                <w:b/>
                <w:sz w:val="20"/>
                <w:szCs w:val="20"/>
              </w:rPr>
            </w:pPr>
          </w:p>
          <w:p w:rsidR="00646530" w:rsidRPr="007F35D1" w:rsidRDefault="00646530" w:rsidP="00B94A15">
            <w:pPr>
              <w:autoSpaceDE w:val="0"/>
              <w:autoSpaceDN w:val="0"/>
              <w:adjustRightInd w:val="0"/>
              <w:spacing w:line="240" w:lineRule="auto"/>
              <w:jc w:val="center"/>
              <w:rPr>
                <w:rFonts w:cs="Arial"/>
                <w:b/>
                <w:sz w:val="20"/>
                <w:szCs w:val="20"/>
              </w:rPr>
            </w:pPr>
            <w:r w:rsidRPr="007F35D1">
              <w:rPr>
                <w:rFonts w:cs="Arial"/>
                <w:b/>
                <w:sz w:val="20"/>
                <w:szCs w:val="20"/>
              </w:rPr>
              <w:t>4. Sistema de Informações</w:t>
            </w:r>
          </w:p>
          <w:p w:rsidR="00646530" w:rsidRPr="007F35D1" w:rsidRDefault="00646530" w:rsidP="00B94A15">
            <w:pPr>
              <w:autoSpaceDE w:val="0"/>
              <w:autoSpaceDN w:val="0"/>
              <w:adjustRightInd w:val="0"/>
              <w:spacing w:line="240" w:lineRule="auto"/>
              <w:jc w:val="center"/>
              <w:rPr>
                <w:rFonts w:cs="Arial"/>
                <w:b/>
                <w:sz w:val="20"/>
                <w:szCs w:val="20"/>
              </w:rPr>
            </w:pPr>
          </w:p>
          <w:p w:rsidR="00646530" w:rsidRPr="007F35D1" w:rsidRDefault="00646530" w:rsidP="00B94A15">
            <w:pPr>
              <w:autoSpaceDE w:val="0"/>
              <w:autoSpaceDN w:val="0"/>
              <w:adjustRightInd w:val="0"/>
              <w:spacing w:line="240" w:lineRule="auto"/>
              <w:jc w:val="center"/>
              <w:rPr>
                <w:rFonts w:cs="Arial"/>
                <w:b/>
                <w:sz w:val="20"/>
                <w:szCs w:val="20"/>
              </w:rPr>
            </w:pPr>
            <w:r w:rsidRPr="007F35D1">
              <w:rPr>
                <w:rFonts w:cs="Arial"/>
                <w:b/>
                <w:sz w:val="20"/>
                <w:szCs w:val="20"/>
              </w:rPr>
              <w:t>5. Legislação e normatização do setor</w:t>
            </w:r>
          </w:p>
          <w:p w:rsidR="00646530" w:rsidRPr="007F35D1" w:rsidRDefault="00646530" w:rsidP="00B94A15">
            <w:pPr>
              <w:autoSpaceDE w:val="0"/>
              <w:autoSpaceDN w:val="0"/>
              <w:adjustRightInd w:val="0"/>
              <w:spacing w:line="240" w:lineRule="auto"/>
              <w:jc w:val="center"/>
              <w:rPr>
                <w:rFonts w:cs="Arial"/>
                <w:b/>
                <w:sz w:val="20"/>
                <w:szCs w:val="20"/>
              </w:rPr>
            </w:pPr>
          </w:p>
          <w:p w:rsidR="00646530" w:rsidRPr="007F35D1" w:rsidRDefault="00646530" w:rsidP="00B94A15">
            <w:pPr>
              <w:autoSpaceDE w:val="0"/>
              <w:autoSpaceDN w:val="0"/>
              <w:adjustRightInd w:val="0"/>
              <w:spacing w:line="240" w:lineRule="auto"/>
              <w:contextualSpacing/>
              <w:jc w:val="center"/>
              <w:rPr>
                <w:rFonts w:cs="Arial"/>
                <w:b/>
                <w:sz w:val="20"/>
                <w:szCs w:val="20"/>
              </w:rPr>
            </w:pPr>
            <w:r w:rsidRPr="007F35D1">
              <w:rPr>
                <w:rFonts w:cs="Arial"/>
                <w:b/>
                <w:sz w:val="20"/>
                <w:szCs w:val="20"/>
              </w:rPr>
              <w:t>6. Sustentabilidade econômica</w:t>
            </w:r>
          </w:p>
        </w:tc>
        <w:tc>
          <w:tcPr>
            <w:tcW w:w="1835" w:type="pct"/>
            <w:tcBorders>
              <w:top w:val="single" w:sz="4" w:space="0" w:color="auto"/>
              <w:left w:val="single" w:sz="4" w:space="0" w:color="auto"/>
              <w:bottom w:val="single" w:sz="4" w:space="0" w:color="auto"/>
              <w:right w:val="single" w:sz="4" w:space="0" w:color="auto"/>
            </w:tcBorders>
            <w:shd w:val="clear" w:color="auto" w:fill="B8CCE4" w:themeFill="accent1" w:themeFillTint="66"/>
          </w:tcPr>
          <w:p w:rsidR="00646530" w:rsidRPr="007F35D1" w:rsidRDefault="00646530" w:rsidP="00B94A15">
            <w:pPr>
              <w:autoSpaceDE w:val="0"/>
              <w:autoSpaceDN w:val="0"/>
              <w:adjustRightInd w:val="0"/>
              <w:spacing w:line="240" w:lineRule="auto"/>
              <w:contextualSpacing/>
              <w:jc w:val="left"/>
              <w:rPr>
                <w:rFonts w:cs="Arial"/>
                <w:b/>
                <w:sz w:val="20"/>
                <w:szCs w:val="20"/>
                <w:u w:val="single"/>
              </w:rPr>
            </w:pPr>
          </w:p>
          <w:p w:rsidR="00646530" w:rsidRPr="007F35D1" w:rsidRDefault="00646530" w:rsidP="00B94A15">
            <w:pPr>
              <w:autoSpaceDE w:val="0"/>
              <w:autoSpaceDN w:val="0"/>
              <w:adjustRightInd w:val="0"/>
              <w:spacing w:line="240" w:lineRule="auto"/>
              <w:contextualSpacing/>
              <w:jc w:val="center"/>
              <w:rPr>
                <w:rFonts w:cs="Arial"/>
                <w:b/>
                <w:sz w:val="20"/>
                <w:szCs w:val="20"/>
              </w:rPr>
            </w:pPr>
            <w:r w:rsidRPr="007F35D1">
              <w:rPr>
                <w:rFonts w:cs="Arial"/>
                <w:b/>
                <w:sz w:val="20"/>
                <w:szCs w:val="20"/>
              </w:rPr>
              <w:t>FRAQUEZAS</w:t>
            </w:r>
          </w:p>
          <w:p w:rsidR="00646530" w:rsidRPr="007F35D1" w:rsidRDefault="00646530" w:rsidP="00B94A15">
            <w:pPr>
              <w:autoSpaceDE w:val="0"/>
              <w:autoSpaceDN w:val="0"/>
              <w:adjustRightInd w:val="0"/>
              <w:spacing w:line="240" w:lineRule="auto"/>
              <w:contextualSpacing/>
              <w:jc w:val="left"/>
              <w:rPr>
                <w:rFonts w:cs="Arial"/>
                <w:b/>
                <w:sz w:val="20"/>
                <w:szCs w:val="20"/>
                <w:u w:val="single"/>
              </w:rPr>
            </w:pPr>
          </w:p>
          <w:p w:rsidR="00646530" w:rsidRPr="007F35D1" w:rsidRDefault="00646530" w:rsidP="00B94A15">
            <w:pPr>
              <w:autoSpaceDE w:val="0"/>
              <w:autoSpaceDN w:val="0"/>
              <w:adjustRightInd w:val="0"/>
              <w:spacing w:line="240" w:lineRule="auto"/>
              <w:jc w:val="left"/>
              <w:rPr>
                <w:rFonts w:cs="Arial"/>
                <w:b/>
                <w:sz w:val="20"/>
                <w:szCs w:val="20"/>
              </w:rPr>
            </w:pPr>
            <w:r w:rsidRPr="007F35D1">
              <w:rPr>
                <w:rFonts w:cs="Arial"/>
                <w:b/>
                <w:sz w:val="20"/>
                <w:szCs w:val="20"/>
              </w:rPr>
              <w:t>1. Atendimento da demanda</w:t>
            </w:r>
          </w:p>
          <w:p w:rsidR="00646530" w:rsidRPr="007F35D1" w:rsidRDefault="00646530" w:rsidP="00B94A15">
            <w:pPr>
              <w:autoSpaceDE w:val="0"/>
              <w:autoSpaceDN w:val="0"/>
              <w:adjustRightInd w:val="0"/>
              <w:spacing w:line="240" w:lineRule="auto"/>
              <w:contextualSpacing/>
              <w:jc w:val="left"/>
              <w:rPr>
                <w:rFonts w:cs="Arial"/>
                <w:sz w:val="20"/>
                <w:szCs w:val="20"/>
              </w:rPr>
            </w:pPr>
            <w:r w:rsidRPr="007F35D1">
              <w:rPr>
                <w:rFonts w:cs="Arial"/>
                <w:sz w:val="20"/>
                <w:szCs w:val="20"/>
              </w:rPr>
              <w:t xml:space="preserve">- O município </w:t>
            </w:r>
            <w:r w:rsidRPr="008B7D29">
              <w:rPr>
                <w:rFonts w:cs="Arial"/>
                <w:sz w:val="20"/>
                <w:szCs w:val="20"/>
              </w:rPr>
              <w:t xml:space="preserve">atende somente </w:t>
            </w:r>
            <w:r w:rsidR="008B7D29" w:rsidRPr="008B7D29">
              <w:rPr>
                <w:rFonts w:cs="Arial"/>
                <w:sz w:val="20"/>
                <w:szCs w:val="20"/>
              </w:rPr>
              <w:t>75</w:t>
            </w:r>
            <w:r w:rsidRPr="008B7D29">
              <w:rPr>
                <w:rFonts w:cs="Arial"/>
                <w:sz w:val="20"/>
                <w:szCs w:val="20"/>
              </w:rPr>
              <w:t>% da população urbana com a rede de coleta de esgotos.</w:t>
            </w:r>
          </w:p>
          <w:p w:rsidR="00646530" w:rsidRPr="007F35D1" w:rsidRDefault="00646530" w:rsidP="00B94A15">
            <w:pPr>
              <w:autoSpaceDE w:val="0"/>
              <w:autoSpaceDN w:val="0"/>
              <w:adjustRightInd w:val="0"/>
              <w:spacing w:line="240" w:lineRule="auto"/>
              <w:contextualSpacing/>
              <w:jc w:val="left"/>
              <w:rPr>
                <w:rFonts w:cs="Arial"/>
                <w:sz w:val="20"/>
                <w:szCs w:val="20"/>
              </w:rPr>
            </w:pPr>
            <w:r w:rsidRPr="007F35D1">
              <w:rPr>
                <w:rFonts w:cs="Arial"/>
                <w:b/>
                <w:sz w:val="20"/>
                <w:szCs w:val="20"/>
              </w:rPr>
              <w:t xml:space="preserve">- </w:t>
            </w:r>
            <w:r w:rsidRPr="007F35D1">
              <w:rPr>
                <w:rFonts w:cs="Arial"/>
                <w:sz w:val="20"/>
                <w:szCs w:val="20"/>
              </w:rPr>
              <w:t>Não há tratamento de esgotos em toda área rural do município.</w:t>
            </w:r>
          </w:p>
          <w:p w:rsidR="00646530" w:rsidRPr="007F35D1" w:rsidRDefault="00646530" w:rsidP="00B94A15">
            <w:pPr>
              <w:autoSpaceDE w:val="0"/>
              <w:autoSpaceDN w:val="0"/>
              <w:adjustRightInd w:val="0"/>
              <w:spacing w:line="240" w:lineRule="auto"/>
              <w:contextualSpacing/>
              <w:jc w:val="left"/>
              <w:rPr>
                <w:rFonts w:cs="Arial"/>
                <w:sz w:val="20"/>
                <w:szCs w:val="20"/>
              </w:rPr>
            </w:pPr>
            <w:r w:rsidRPr="007F35D1">
              <w:rPr>
                <w:rFonts w:cs="Arial"/>
                <w:sz w:val="20"/>
                <w:szCs w:val="20"/>
              </w:rPr>
              <w:t>- Inexistência de cronograma de ampliação da prestação do</w:t>
            </w:r>
            <w:r w:rsidR="002620FC">
              <w:rPr>
                <w:rFonts w:cs="Arial"/>
                <w:sz w:val="20"/>
                <w:szCs w:val="20"/>
              </w:rPr>
              <w:t>s</w:t>
            </w:r>
            <w:r w:rsidRPr="007F35D1">
              <w:rPr>
                <w:rFonts w:cs="Arial"/>
                <w:sz w:val="20"/>
                <w:szCs w:val="20"/>
              </w:rPr>
              <w:t xml:space="preserve"> serviço</w:t>
            </w:r>
            <w:r w:rsidR="002620FC">
              <w:rPr>
                <w:rFonts w:cs="Arial"/>
                <w:sz w:val="20"/>
                <w:szCs w:val="20"/>
              </w:rPr>
              <w:t>s</w:t>
            </w:r>
            <w:r w:rsidRPr="007F35D1">
              <w:rPr>
                <w:rFonts w:cs="Arial"/>
                <w:sz w:val="20"/>
                <w:szCs w:val="20"/>
              </w:rPr>
              <w:t xml:space="preserve"> de esgotos.</w:t>
            </w:r>
          </w:p>
          <w:p w:rsidR="00646530" w:rsidRPr="007F35D1" w:rsidRDefault="00646530" w:rsidP="00B94A15">
            <w:pPr>
              <w:autoSpaceDE w:val="0"/>
              <w:autoSpaceDN w:val="0"/>
              <w:adjustRightInd w:val="0"/>
              <w:spacing w:line="240" w:lineRule="auto"/>
              <w:contextualSpacing/>
              <w:jc w:val="left"/>
              <w:rPr>
                <w:rFonts w:cs="Arial"/>
                <w:b/>
                <w:sz w:val="20"/>
                <w:szCs w:val="20"/>
              </w:rPr>
            </w:pPr>
          </w:p>
          <w:p w:rsidR="00646530" w:rsidRPr="00CB56BD" w:rsidRDefault="00CB56BD" w:rsidP="00B94A15">
            <w:pPr>
              <w:autoSpaceDE w:val="0"/>
              <w:autoSpaceDN w:val="0"/>
              <w:adjustRightInd w:val="0"/>
              <w:spacing w:line="240" w:lineRule="auto"/>
              <w:jc w:val="left"/>
              <w:rPr>
                <w:rFonts w:cs="Arial"/>
                <w:b/>
                <w:sz w:val="20"/>
                <w:szCs w:val="20"/>
              </w:rPr>
            </w:pPr>
            <w:r>
              <w:rPr>
                <w:rFonts w:cs="Arial"/>
                <w:b/>
                <w:sz w:val="20"/>
                <w:szCs w:val="20"/>
              </w:rPr>
              <w:t>3. Sistema Operacional</w:t>
            </w:r>
          </w:p>
          <w:p w:rsidR="00646530" w:rsidRPr="007F35D1" w:rsidRDefault="00646530" w:rsidP="00B94A15">
            <w:pPr>
              <w:autoSpaceDE w:val="0"/>
              <w:autoSpaceDN w:val="0"/>
              <w:adjustRightInd w:val="0"/>
              <w:spacing w:line="240" w:lineRule="auto"/>
              <w:contextualSpacing/>
              <w:jc w:val="left"/>
              <w:rPr>
                <w:rFonts w:cs="Arial"/>
                <w:sz w:val="20"/>
                <w:szCs w:val="20"/>
              </w:rPr>
            </w:pPr>
            <w:r w:rsidRPr="007F35D1">
              <w:rPr>
                <w:rFonts w:cs="Arial"/>
                <w:sz w:val="20"/>
                <w:szCs w:val="20"/>
              </w:rPr>
              <w:t xml:space="preserve">- Foram apresentados 12 pontos de lançamento </w:t>
            </w:r>
            <w:r w:rsidRPr="007F35D1">
              <w:rPr>
                <w:rFonts w:cs="Arial"/>
                <w:i/>
                <w:sz w:val="20"/>
                <w:szCs w:val="20"/>
              </w:rPr>
              <w:t xml:space="preserve">in natura </w:t>
            </w:r>
            <w:r w:rsidRPr="007F35D1">
              <w:rPr>
                <w:rFonts w:cs="Arial"/>
                <w:sz w:val="20"/>
                <w:szCs w:val="20"/>
              </w:rPr>
              <w:t xml:space="preserve">no município. </w:t>
            </w:r>
          </w:p>
          <w:p w:rsidR="00646530" w:rsidRPr="007F35D1" w:rsidRDefault="00646530" w:rsidP="00B94A15">
            <w:pPr>
              <w:autoSpaceDE w:val="0"/>
              <w:autoSpaceDN w:val="0"/>
              <w:adjustRightInd w:val="0"/>
              <w:spacing w:line="240" w:lineRule="auto"/>
              <w:contextualSpacing/>
              <w:jc w:val="left"/>
              <w:rPr>
                <w:rFonts w:cs="Arial"/>
                <w:sz w:val="20"/>
                <w:szCs w:val="20"/>
              </w:rPr>
            </w:pPr>
            <w:r w:rsidRPr="007F35D1">
              <w:rPr>
                <w:rFonts w:cs="Arial"/>
                <w:sz w:val="20"/>
                <w:szCs w:val="20"/>
              </w:rPr>
              <w:t>- A manutenção da rede não ocorre de forma preventiva e nem periódica.</w:t>
            </w:r>
          </w:p>
          <w:p w:rsidR="00646530" w:rsidRPr="007F35D1" w:rsidRDefault="00646530" w:rsidP="00B94A15">
            <w:pPr>
              <w:autoSpaceDE w:val="0"/>
              <w:autoSpaceDN w:val="0"/>
              <w:adjustRightInd w:val="0"/>
              <w:spacing w:line="240" w:lineRule="auto"/>
              <w:contextualSpacing/>
              <w:jc w:val="left"/>
              <w:rPr>
                <w:rFonts w:cs="Arial"/>
                <w:sz w:val="20"/>
                <w:szCs w:val="20"/>
              </w:rPr>
            </w:pPr>
            <w:r w:rsidRPr="007F35D1">
              <w:rPr>
                <w:rFonts w:cs="Arial"/>
                <w:sz w:val="20"/>
                <w:szCs w:val="20"/>
              </w:rPr>
              <w:t xml:space="preserve">- Há ligações clandestinas de esgotos na rede de águas pluviais. </w:t>
            </w:r>
          </w:p>
          <w:p w:rsidR="00646530" w:rsidRPr="007F35D1" w:rsidRDefault="00646530" w:rsidP="00B94A15">
            <w:pPr>
              <w:autoSpaceDE w:val="0"/>
              <w:autoSpaceDN w:val="0"/>
              <w:adjustRightInd w:val="0"/>
              <w:spacing w:line="240" w:lineRule="auto"/>
              <w:contextualSpacing/>
              <w:jc w:val="left"/>
              <w:rPr>
                <w:rFonts w:cs="Arial"/>
                <w:sz w:val="20"/>
                <w:szCs w:val="20"/>
              </w:rPr>
            </w:pPr>
            <w:r w:rsidRPr="007F35D1">
              <w:rPr>
                <w:rFonts w:cs="Arial"/>
                <w:sz w:val="20"/>
                <w:szCs w:val="20"/>
              </w:rPr>
              <w:t>- Não há tratamento de esgotos na área urbana do município.</w:t>
            </w:r>
          </w:p>
          <w:p w:rsidR="00646530" w:rsidRPr="007F35D1" w:rsidRDefault="00646530" w:rsidP="00B94A15">
            <w:pPr>
              <w:autoSpaceDE w:val="0"/>
              <w:autoSpaceDN w:val="0"/>
              <w:adjustRightInd w:val="0"/>
              <w:spacing w:line="240" w:lineRule="auto"/>
              <w:contextualSpacing/>
              <w:jc w:val="left"/>
              <w:rPr>
                <w:rFonts w:cs="Arial"/>
                <w:sz w:val="20"/>
                <w:szCs w:val="20"/>
              </w:rPr>
            </w:pPr>
            <w:r w:rsidRPr="007F35D1">
              <w:rPr>
                <w:rFonts w:cs="Arial"/>
                <w:sz w:val="20"/>
                <w:szCs w:val="20"/>
              </w:rPr>
              <w:t>- Não possui política tarifária para o serviço de esgotamento sanitário.</w:t>
            </w:r>
          </w:p>
          <w:p w:rsidR="00646530" w:rsidRPr="007F35D1" w:rsidRDefault="00646530" w:rsidP="00B94A15">
            <w:pPr>
              <w:autoSpaceDE w:val="0"/>
              <w:autoSpaceDN w:val="0"/>
              <w:adjustRightInd w:val="0"/>
              <w:spacing w:line="240" w:lineRule="auto"/>
              <w:contextualSpacing/>
              <w:jc w:val="left"/>
              <w:rPr>
                <w:rFonts w:cs="Arial"/>
                <w:sz w:val="20"/>
                <w:szCs w:val="20"/>
              </w:rPr>
            </w:pPr>
            <w:r w:rsidRPr="007F35D1">
              <w:rPr>
                <w:rFonts w:cs="Arial"/>
                <w:sz w:val="20"/>
                <w:szCs w:val="20"/>
              </w:rPr>
              <w:t>- Não há um programa de conscientização e de educação sanitária no município.</w:t>
            </w:r>
          </w:p>
          <w:p w:rsidR="00646530" w:rsidRPr="007F35D1" w:rsidRDefault="00646530" w:rsidP="00B94A15">
            <w:pPr>
              <w:autoSpaceDE w:val="0"/>
              <w:autoSpaceDN w:val="0"/>
              <w:adjustRightInd w:val="0"/>
              <w:spacing w:line="240" w:lineRule="auto"/>
              <w:contextualSpacing/>
              <w:jc w:val="left"/>
              <w:rPr>
                <w:rFonts w:cs="Arial"/>
                <w:sz w:val="20"/>
                <w:szCs w:val="20"/>
              </w:rPr>
            </w:pPr>
            <w:r w:rsidRPr="007F35D1">
              <w:rPr>
                <w:rFonts w:cs="Arial"/>
                <w:sz w:val="20"/>
                <w:szCs w:val="20"/>
              </w:rPr>
              <w:t>- O projeto da ETE e dos interceptores não foi construído.</w:t>
            </w:r>
          </w:p>
          <w:p w:rsidR="00196026" w:rsidRPr="007F35D1" w:rsidRDefault="00196026" w:rsidP="00196026">
            <w:pPr>
              <w:autoSpaceDE w:val="0"/>
              <w:autoSpaceDN w:val="0"/>
              <w:adjustRightInd w:val="0"/>
              <w:spacing w:line="240" w:lineRule="auto"/>
              <w:contextualSpacing/>
              <w:jc w:val="left"/>
              <w:rPr>
                <w:rFonts w:cs="Arial"/>
                <w:sz w:val="20"/>
                <w:szCs w:val="20"/>
              </w:rPr>
            </w:pPr>
            <w:r w:rsidRPr="007F35D1">
              <w:rPr>
                <w:rFonts w:cs="Arial"/>
                <w:sz w:val="20"/>
                <w:szCs w:val="20"/>
              </w:rPr>
              <w:t>- O município não tem cadastro da rede de coleta de esgotos.</w:t>
            </w:r>
          </w:p>
          <w:p w:rsidR="00646530" w:rsidRDefault="00646530" w:rsidP="00B94A15">
            <w:pPr>
              <w:autoSpaceDE w:val="0"/>
              <w:autoSpaceDN w:val="0"/>
              <w:adjustRightInd w:val="0"/>
              <w:spacing w:line="240" w:lineRule="auto"/>
              <w:jc w:val="left"/>
              <w:rPr>
                <w:rFonts w:cs="Arial"/>
                <w:b/>
                <w:sz w:val="20"/>
                <w:szCs w:val="20"/>
              </w:rPr>
            </w:pPr>
          </w:p>
          <w:p w:rsidR="00196026" w:rsidRPr="007F35D1" w:rsidRDefault="00196026" w:rsidP="00196026">
            <w:pPr>
              <w:autoSpaceDE w:val="0"/>
              <w:autoSpaceDN w:val="0"/>
              <w:adjustRightInd w:val="0"/>
              <w:spacing w:line="240" w:lineRule="auto"/>
              <w:jc w:val="left"/>
              <w:rPr>
                <w:rFonts w:cs="Arial"/>
                <w:b/>
                <w:sz w:val="20"/>
                <w:szCs w:val="20"/>
              </w:rPr>
            </w:pPr>
            <w:r w:rsidRPr="007F35D1">
              <w:rPr>
                <w:rFonts w:cs="Arial"/>
                <w:b/>
                <w:sz w:val="20"/>
                <w:szCs w:val="20"/>
              </w:rPr>
              <w:t>4. Sistema de Informações</w:t>
            </w:r>
          </w:p>
          <w:p w:rsidR="00196026" w:rsidRPr="007F35D1" w:rsidRDefault="00196026" w:rsidP="00196026">
            <w:pPr>
              <w:autoSpaceDE w:val="0"/>
              <w:autoSpaceDN w:val="0"/>
              <w:adjustRightInd w:val="0"/>
              <w:spacing w:line="240" w:lineRule="auto"/>
              <w:jc w:val="left"/>
              <w:rPr>
                <w:rFonts w:cs="Arial"/>
                <w:sz w:val="20"/>
                <w:szCs w:val="20"/>
              </w:rPr>
            </w:pPr>
            <w:r w:rsidRPr="007F35D1">
              <w:rPr>
                <w:rFonts w:cs="Arial"/>
                <w:sz w:val="20"/>
                <w:szCs w:val="20"/>
              </w:rPr>
              <w:t>- Ausência de sistematização para a coleta, armazenamento e recuperação de dados administrativos e operacionais.</w:t>
            </w:r>
          </w:p>
          <w:p w:rsidR="00646530" w:rsidRDefault="00646530" w:rsidP="00B94A15">
            <w:pPr>
              <w:autoSpaceDE w:val="0"/>
              <w:autoSpaceDN w:val="0"/>
              <w:adjustRightInd w:val="0"/>
              <w:spacing w:line="240" w:lineRule="auto"/>
              <w:jc w:val="left"/>
              <w:rPr>
                <w:rFonts w:cs="Arial"/>
                <w:b/>
                <w:sz w:val="20"/>
                <w:szCs w:val="20"/>
              </w:rPr>
            </w:pPr>
          </w:p>
          <w:p w:rsidR="00646530" w:rsidRDefault="00646530" w:rsidP="00B94A15">
            <w:pPr>
              <w:autoSpaceDE w:val="0"/>
              <w:autoSpaceDN w:val="0"/>
              <w:adjustRightInd w:val="0"/>
              <w:spacing w:line="240" w:lineRule="auto"/>
              <w:jc w:val="left"/>
              <w:rPr>
                <w:rFonts w:cs="Arial"/>
                <w:b/>
                <w:sz w:val="20"/>
                <w:szCs w:val="20"/>
              </w:rPr>
            </w:pPr>
          </w:p>
          <w:p w:rsidR="00646530" w:rsidRDefault="00646530" w:rsidP="00B94A15">
            <w:pPr>
              <w:autoSpaceDE w:val="0"/>
              <w:autoSpaceDN w:val="0"/>
              <w:adjustRightInd w:val="0"/>
              <w:spacing w:line="240" w:lineRule="auto"/>
              <w:jc w:val="left"/>
              <w:rPr>
                <w:rFonts w:cs="Arial"/>
                <w:b/>
                <w:sz w:val="20"/>
                <w:szCs w:val="20"/>
              </w:rPr>
            </w:pPr>
          </w:p>
          <w:p w:rsidR="00646530" w:rsidRPr="007F35D1" w:rsidRDefault="00646530" w:rsidP="00B94A15">
            <w:pPr>
              <w:autoSpaceDE w:val="0"/>
              <w:autoSpaceDN w:val="0"/>
              <w:adjustRightInd w:val="0"/>
              <w:spacing w:line="240" w:lineRule="auto"/>
              <w:jc w:val="left"/>
              <w:rPr>
                <w:rFonts w:cs="Arial"/>
                <w:b/>
                <w:sz w:val="20"/>
                <w:szCs w:val="20"/>
              </w:rPr>
            </w:pPr>
          </w:p>
          <w:p w:rsidR="00646530" w:rsidRPr="007F35D1" w:rsidRDefault="00646530" w:rsidP="00B94A15">
            <w:pPr>
              <w:autoSpaceDE w:val="0"/>
              <w:autoSpaceDN w:val="0"/>
              <w:adjustRightInd w:val="0"/>
              <w:spacing w:line="240" w:lineRule="auto"/>
              <w:jc w:val="left"/>
              <w:rPr>
                <w:rFonts w:cs="Arial"/>
                <w:b/>
                <w:sz w:val="20"/>
                <w:szCs w:val="20"/>
              </w:rPr>
            </w:pPr>
            <w:r w:rsidRPr="007F35D1">
              <w:rPr>
                <w:rFonts w:cs="Arial"/>
                <w:b/>
                <w:sz w:val="20"/>
                <w:szCs w:val="20"/>
              </w:rPr>
              <w:t>5. Legislação e normatização do setor</w:t>
            </w:r>
          </w:p>
          <w:p w:rsidR="00646530" w:rsidRPr="007F35D1" w:rsidRDefault="00646530" w:rsidP="00B94A15">
            <w:pPr>
              <w:autoSpaceDE w:val="0"/>
              <w:autoSpaceDN w:val="0"/>
              <w:adjustRightInd w:val="0"/>
              <w:spacing w:line="240" w:lineRule="auto"/>
              <w:contextualSpacing/>
              <w:jc w:val="left"/>
              <w:rPr>
                <w:rFonts w:cs="Arial"/>
                <w:sz w:val="20"/>
                <w:szCs w:val="20"/>
              </w:rPr>
            </w:pPr>
            <w:r w:rsidRPr="007F35D1">
              <w:rPr>
                <w:rFonts w:cs="Arial"/>
                <w:sz w:val="20"/>
                <w:szCs w:val="20"/>
              </w:rPr>
              <w:t>- O município não possui um Plano Diretor.</w:t>
            </w:r>
          </w:p>
          <w:p w:rsidR="00646530" w:rsidRPr="007F35D1" w:rsidRDefault="00646530" w:rsidP="00B94A15">
            <w:pPr>
              <w:autoSpaceDE w:val="0"/>
              <w:autoSpaceDN w:val="0"/>
              <w:adjustRightInd w:val="0"/>
              <w:spacing w:line="240" w:lineRule="auto"/>
              <w:contextualSpacing/>
              <w:jc w:val="left"/>
              <w:rPr>
                <w:rFonts w:cs="Arial"/>
                <w:sz w:val="20"/>
                <w:szCs w:val="20"/>
              </w:rPr>
            </w:pPr>
            <w:r w:rsidRPr="007F35D1">
              <w:rPr>
                <w:rFonts w:cs="Arial"/>
                <w:sz w:val="20"/>
                <w:szCs w:val="20"/>
              </w:rPr>
              <w:t>- O município apresenta uma potencial contaminação das águas subterrâneas.</w:t>
            </w:r>
          </w:p>
          <w:p w:rsidR="00646530" w:rsidRPr="007F35D1" w:rsidRDefault="00646530" w:rsidP="00B94A15">
            <w:pPr>
              <w:autoSpaceDE w:val="0"/>
              <w:autoSpaceDN w:val="0"/>
              <w:adjustRightInd w:val="0"/>
              <w:spacing w:line="240" w:lineRule="auto"/>
              <w:contextualSpacing/>
              <w:jc w:val="left"/>
              <w:rPr>
                <w:rFonts w:cs="Arial"/>
                <w:sz w:val="20"/>
                <w:szCs w:val="20"/>
              </w:rPr>
            </w:pPr>
            <w:r w:rsidRPr="007F35D1">
              <w:rPr>
                <w:rFonts w:cs="Arial"/>
                <w:sz w:val="20"/>
                <w:szCs w:val="20"/>
              </w:rPr>
              <w:t>- Risco de multas ambientais pela contaminação das águas superficiais.</w:t>
            </w:r>
          </w:p>
          <w:p w:rsidR="00196026" w:rsidRPr="007F35D1" w:rsidRDefault="00196026" w:rsidP="00196026">
            <w:pPr>
              <w:autoSpaceDE w:val="0"/>
              <w:autoSpaceDN w:val="0"/>
              <w:adjustRightInd w:val="0"/>
              <w:spacing w:line="240" w:lineRule="auto"/>
              <w:contextualSpacing/>
              <w:jc w:val="left"/>
              <w:rPr>
                <w:rFonts w:cs="Arial"/>
                <w:sz w:val="20"/>
                <w:szCs w:val="20"/>
              </w:rPr>
            </w:pPr>
            <w:r w:rsidRPr="007F35D1">
              <w:rPr>
                <w:rFonts w:cs="Arial"/>
                <w:sz w:val="20"/>
                <w:szCs w:val="20"/>
              </w:rPr>
              <w:t>- Não há monitoramento da quantidade e qualidade dos efluentes lançados nos cursos hídricos.</w:t>
            </w:r>
          </w:p>
          <w:p w:rsidR="00646530" w:rsidRPr="007F35D1" w:rsidRDefault="00646530" w:rsidP="00B94A15">
            <w:pPr>
              <w:autoSpaceDE w:val="0"/>
              <w:autoSpaceDN w:val="0"/>
              <w:adjustRightInd w:val="0"/>
              <w:spacing w:line="240" w:lineRule="auto"/>
              <w:contextualSpacing/>
              <w:jc w:val="left"/>
              <w:rPr>
                <w:rFonts w:cs="Arial"/>
                <w:sz w:val="20"/>
                <w:szCs w:val="20"/>
              </w:rPr>
            </w:pPr>
          </w:p>
          <w:p w:rsidR="00646530" w:rsidRPr="007F35D1" w:rsidRDefault="00646530" w:rsidP="00B94A15">
            <w:pPr>
              <w:autoSpaceDE w:val="0"/>
              <w:autoSpaceDN w:val="0"/>
              <w:adjustRightInd w:val="0"/>
              <w:spacing w:line="240" w:lineRule="auto"/>
              <w:jc w:val="left"/>
              <w:rPr>
                <w:rFonts w:cs="Arial"/>
                <w:b/>
                <w:sz w:val="20"/>
                <w:szCs w:val="20"/>
              </w:rPr>
            </w:pPr>
            <w:r w:rsidRPr="007F35D1">
              <w:rPr>
                <w:rFonts w:cs="Arial"/>
                <w:b/>
                <w:sz w:val="20"/>
                <w:szCs w:val="20"/>
              </w:rPr>
              <w:t>6. Sustentabilidade econômica</w:t>
            </w:r>
          </w:p>
          <w:p w:rsidR="00646530" w:rsidRPr="007F35D1" w:rsidRDefault="00646530" w:rsidP="00B94A15">
            <w:pPr>
              <w:autoSpaceDE w:val="0"/>
              <w:autoSpaceDN w:val="0"/>
              <w:adjustRightInd w:val="0"/>
              <w:spacing w:line="240" w:lineRule="auto"/>
              <w:jc w:val="left"/>
              <w:rPr>
                <w:rFonts w:cs="Arial"/>
                <w:sz w:val="20"/>
                <w:szCs w:val="20"/>
              </w:rPr>
            </w:pPr>
            <w:r w:rsidRPr="007F35D1">
              <w:rPr>
                <w:rFonts w:cs="Arial"/>
                <w:sz w:val="20"/>
                <w:szCs w:val="20"/>
              </w:rPr>
              <w:t xml:space="preserve">- </w:t>
            </w:r>
            <w:r w:rsidR="00CB56BD">
              <w:rPr>
                <w:rFonts w:cs="Arial"/>
                <w:sz w:val="20"/>
                <w:szCs w:val="20"/>
              </w:rPr>
              <w:t>Não há tarifação dos serviços de esgotos</w:t>
            </w:r>
            <w:r w:rsidRPr="007F35D1">
              <w:rPr>
                <w:rFonts w:cs="Arial"/>
                <w:sz w:val="20"/>
                <w:szCs w:val="20"/>
              </w:rPr>
              <w:t>.</w:t>
            </w:r>
          </w:p>
          <w:p w:rsidR="00646530" w:rsidRPr="007F35D1" w:rsidRDefault="00646530" w:rsidP="00B94A15">
            <w:pPr>
              <w:autoSpaceDE w:val="0"/>
              <w:autoSpaceDN w:val="0"/>
              <w:adjustRightInd w:val="0"/>
              <w:spacing w:line="240" w:lineRule="auto"/>
              <w:jc w:val="left"/>
              <w:rPr>
                <w:rFonts w:cs="Arial"/>
                <w:sz w:val="20"/>
                <w:szCs w:val="20"/>
              </w:rPr>
            </w:pPr>
            <w:r w:rsidRPr="007F35D1">
              <w:rPr>
                <w:rFonts w:cs="Arial"/>
                <w:sz w:val="20"/>
                <w:szCs w:val="20"/>
              </w:rPr>
              <w:t>- Elevado investimento para instalação da nova ETE.</w:t>
            </w:r>
          </w:p>
          <w:p w:rsidR="00646530" w:rsidRPr="007F35D1" w:rsidRDefault="00646530" w:rsidP="00B94A15">
            <w:pPr>
              <w:autoSpaceDE w:val="0"/>
              <w:autoSpaceDN w:val="0"/>
              <w:adjustRightInd w:val="0"/>
              <w:spacing w:line="240" w:lineRule="auto"/>
              <w:contextualSpacing/>
              <w:jc w:val="left"/>
              <w:rPr>
                <w:rFonts w:cs="Arial"/>
                <w:sz w:val="20"/>
                <w:szCs w:val="20"/>
              </w:rPr>
            </w:pPr>
          </w:p>
        </w:tc>
      </w:tr>
      <w:tr w:rsidR="00646530" w:rsidRPr="007F35D1" w:rsidTr="00B94A15">
        <w:trPr>
          <w:trHeight w:val="3012"/>
          <w:jc w:val="center"/>
        </w:trPr>
        <w:tc>
          <w:tcPr>
            <w:tcW w:w="389" w:type="pct"/>
            <w:tcBorders>
              <w:top w:val="single" w:sz="4" w:space="0" w:color="auto"/>
              <w:left w:val="single" w:sz="4" w:space="0" w:color="auto"/>
              <w:bottom w:val="single" w:sz="4" w:space="0" w:color="auto"/>
              <w:right w:val="single" w:sz="4" w:space="0" w:color="auto"/>
            </w:tcBorders>
            <w:shd w:val="clear" w:color="auto" w:fill="365F91"/>
            <w:vAlign w:val="center"/>
            <w:hideMark/>
          </w:tcPr>
          <w:p w:rsidR="00646530" w:rsidRPr="007F35D1" w:rsidRDefault="00646530" w:rsidP="00B94A15">
            <w:pPr>
              <w:autoSpaceDE w:val="0"/>
              <w:autoSpaceDN w:val="0"/>
              <w:adjustRightInd w:val="0"/>
              <w:spacing w:line="240" w:lineRule="auto"/>
              <w:contextualSpacing/>
              <w:jc w:val="center"/>
              <w:rPr>
                <w:rFonts w:cs="Arial"/>
                <w:b/>
                <w:color w:val="FFFFFF" w:themeColor="background1"/>
                <w:sz w:val="20"/>
                <w:szCs w:val="20"/>
              </w:rPr>
            </w:pPr>
            <w:r w:rsidRPr="007F35D1">
              <w:rPr>
                <w:rFonts w:cs="Arial"/>
                <w:b/>
                <w:color w:val="FFFFFF" w:themeColor="background1"/>
                <w:sz w:val="20"/>
                <w:szCs w:val="20"/>
              </w:rPr>
              <w:lastRenderedPageBreak/>
              <w:t>Ambiente Externo</w:t>
            </w:r>
          </w:p>
        </w:tc>
        <w:tc>
          <w:tcPr>
            <w:tcW w:w="1701" w:type="pct"/>
            <w:tcBorders>
              <w:top w:val="single" w:sz="4" w:space="0" w:color="auto"/>
              <w:left w:val="single" w:sz="4" w:space="0" w:color="auto"/>
              <w:bottom w:val="single" w:sz="4" w:space="0" w:color="auto"/>
              <w:right w:val="single" w:sz="4" w:space="0" w:color="auto"/>
            </w:tcBorders>
            <w:shd w:val="clear" w:color="auto" w:fill="B8CCE4" w:themeFill="accent1" w:themeFillTint="66"/>
          </w:tcPr>
          <w:p w:rsidR="00646530" w:rsidRPr="007F35D1" w:rsidRDefault="00646530" w:rsidP="00B94A15">
            <w:pPr>
              <w:autoSpaceDE w:val="0"/>
              <w:autoSpaceDN w:val="0"/>
              <w:adjustRightInd w:val="0"/>
              <w:spacing w:line="240" w:lineRule="auto"/>
              <w:jc w:val="left"/>
              <w:rPr>
                <w:rFonts w:cs="Arial"/>
                <w:b/>
                <w:sz w:val="20"/>
                <w:szCs w:val="20"/>
                <w:u w:val="single"/>
              </w:rPr>
            </w:pPr>
          </w:p>
          <w:p w:rsidR="00646530" w:rsidRDefault="00646530" w:rsidP="00B94A15">
            <w:pPr>
              <w:autoSpaceDE w:val="0"/>
              <w:autoSpaceDN w:val="0"/>
              <w:adjustRightInd w:val="0"/>
              <w:spacing w:line="240" w:lineRule="auto"/>
              <w:jc w:val="center"/>
              <w:rPr>
                <w:rFonts w:cs="Arial"/>
                <w:b/>
                <w:sz w:val="20"/>
                <w:szCs w:val="20"/>
              </w:rPr>
            </w:pPr>
            <w:r w:rsidRPr="007F35D1">
              <w:rPr>
                <w:rFonts w:cs="Arial"/>
                <w:b/>
                <w:sz w:val="20"/>
                <w:szCs w:val="20"/>
              </w:rPr>
              <w:t>OPORTUNIDADES</w:t>
            </w:r>
          </w:p>
          <w:p w:rsidR="00646530" w:rsidRPr="007F35D1" w:rsidRDefault="00646530" w:rsidP="00B94A15">
            <w:pPr>
              <w:autoSpaceDE w:val="0"/>
              <w:autoSpaceDN w:val="0"/>
              <w:adjustRightInd w:val="0"/>
              <w:spacing w:line="240" w:lineRule="auto"/>
              <w:jc w:val="center"/>
              <w:rPr>
                <w:rFonts w:cs="Arial"/>
                <w:b/>
                <w:sz w:val="20"/>
                <w:szCs w:val="20"/>
              </w:rPr>
            </w:pPr>
          </w:p>
          <w:p w:rsidR="00646530" w:rsidRPr="007F35D1" w:rsidRDefault="00646530" w:rsidP="00B94A15">
            <w:pPr>
              <w:autoSpaceDE w:val="0"/>
              <w:autoSpaceDN w:val="0"/>
              <w:adjustRightInd w:val="0"/>
              <w:spacing w:line="240" w:lineRule="auto"/>
              <w:contextualSpacing/>
              <w:jc w:val="left"/>
              <w:rPr>
                <w:rFonts w:cs="Arial"/>
                <w:b/>
                <w:sz w:val="20"/>
                <w:szCs w:val="20"/>
              </w:rPr>
            </w:pPr>
            <w:r w:rsidRPr="007F35D1">
              <w:rPr>
                <w:rFonts w:cs="Arial"/>
                <w:b/>
                <w:sz w:val="20"/>
                <w:szCs w:val="20"/>
              </w:rPr>
              <w:t>5. Legislação e normatização do setor</w:t>
            </w:r>
          </w:p>
          <w:p w:rsidR="00646530" w:rsidRPr="007F35D1" w:rsidRDefault="00646530" w:rsidP="00B94A15">
            <w:pPr>
              <w:autoSpaceDE w:val="0"/>
              <w:autoSpaceDN w:val="0"/>
              <w:adjustRightInd w:val="0"/>
              <w:spacing w:line="240" w:lineRule="auto"/>
              <w:contextualSpacing/>
              <w:jc w:val="left"/>
              <w:rPr>
                <w:rFonts w:cs="Arial"/>
                <w:sz w:val="20"/>
                <w:szCs w:val="20"/>
              </w:rPr>
            </w:pPr>
            <w:r w:rsidRPr="007F35D1">
              <w:rPr>
                <w:rFonts w:cs="Arial"/>
                <w:sz w:val="20"/>
                <w:szCs w:val="20"/>
              </w:rPr>
              <w:t>- Existência do Plano para Incremento do Percentual de Tratamento de Esgotos Sanitários na Bacia do rio Piranga (PITE Piranga).</w:t>
            </w:r>
          </w:p>
          <w:p w:rsidR="00646530" w:rsidRPr="007F35D1" w:rsidRDefault="00646530" w:rsidP="00B94A15">
            <w:pPr>
              <w:autoSpaceDE w:val="0"/>
              <w:autoSpaceDN w:val="0"/>
              <w:adjustRightInd w:val="0"/>
              <w:spacing w:line="240" w:lineRule="auto"/>
              <w:contextualSpacing/>
              <w:jc w:val="left"/>
              <w:rPr>
                <w:rFonts w:cs="Arial"/>
                <w:b/>
                <w:sz w:val="20"/>
                <w:szCs w:val="20"/>
              </w:rPr>
            </w:pPr>
          </w:p>
          <w:p w:rsidR="00646530" w:rsidRPr="007F35D1" w:rsidRDefault="00646530" w:rsidP="00B94A15">
            <w:pPr>
              <w:autoSpaceDE w:val="0"/>
              <w:autoSpaceDN w:val="0"/>
              <w:adjustRightInd w:val="0"/>
              <w:spacing w:line="240" w:lineRule="auto"/>
              <w:contextualSpacing/>
              <w:jc w:val="left"/>
              <w:rPr>
                <w:rFonts w:cs="Arial"/>
                <w:sz w:val="20"/>
                <w:szCs w:val="20"/>
              </w:rPr>
            </w:pPr>
          </w:p>
        </w:tc>
        <w:tc>
          <w:tcPr>
            <w:tcW w:w="1075" w:type="pct"/>
            <w:vMerge/>
            <w:tcBorders>
              <w:left w:val="single" w:sz="4" w:space="0" w:color="auto"/>
              <w:bottom w:val="single" w:sz="4" w:space="0" w:color="auto"/>
              <w:right w:val="single" w:sz="4" w:space="0" w:color="auto"/>
            </w:tcBorders>
            <w:shd w:val="clear" w:color="auto" w:fill="B8CCE4" w:themeFill="accent1" w:themeFillTint="66"/>
            <w:vAlign w:val="center"/>
          </w:tcPr>
          <w:p w:rsidR="00646530" w:rsidRPr="007F35D1" w:rsidRDefault="00646530" w:rsidP="00B94A15">
            <w:pPr>
              <w:autoSpaceDE w:val="0"/>
              <w:autoSpaceDN w:val="0"/>
              <w:adjustRightInd w:val="0"/>
              <w:spacing w:line="240" w:lineRule="auto"/>
              <w:ind w:left="66"/>
              <w:contextualSpacing/>
              <w:jc w:val="center"/>
              <w:rPr>
                <w:rFonts w:cs="Arial"/>
                <w:b/>
                <w:sz w:val="20"/>
                <w:szCs w:val="20"/>
              </w:rPr>
            </w:pPr>
          </w:p>
        </w:tc>
        <w:tc>
          <w:tcPr>
            <w:tcW w:w="1835" w:type="pct"/>
            <w:tcBorders>
              <w:top w:val="single" w:sz="4" w:space="0" w:color="auto"/>
              <w:left w:val="single" w:sz="4" w:space="0" w:color="auto"/>
              <w:bottom w:val="single" w:sz="4" w:space="0" w:color="auto"/>
              <w:right w:val="single" w:sz="4" w:space="0" w:color="auto"/>
            </w:tcBorders>
            <w:shd w:val="clear" w:color="auto" w:fill="B8CCE4" w:themeFill="accent1" w:themeFillTint="66"/>
          </w:tcPr>
          <w:p w:rsidR="00646530" w:rsidRPr="007F35D1" w:rsidRDefault="00646530" w:rsidP="00B94A15">
            <w:pPr>
              <w:autoSpaceDE w:val="0"/>
              <w:autoSpaceDN w:val="0"/>
              <w:adjustRightInd w:val="0"/>
              <w:spacing w:line="240" w:lineRule="auto"/>
              <w:contextualSpacing/>
              <w:jc w:val="left"/>
              <w:rPr>
                <w:rFonts w:cs="Arial"/>
                <w:b/>
                <w:sz w:val="20"/>
                <w:szCs w:val="20"/>
                <w:u w:val="single"/>
              </w:rPr>
            </w:pPr>
          </w:p>
          <w:p w:rsidR="00646530" w:rsidRPr="007F35D1" w:rsidRDefault="00646530" w:rsidP="00B94A15">
            <w:pPr>
              <w:autoSpaceDE w:val="0"/>
              <w:autoSpaceDN w:val="0"/>
              <w:adjustRightInd w:val="0"/>
              <w:spacing w:line="240" w:lineRule="auto"/>
              <w:contextualSpacing/>
              <w:jc w:val="center"/>
              <w:rPr>
                <w:rFonts w:cs="Arial"/>
                <w:b/>
                <w:sz w:val="20"/>
                <w:szCs w:val="20"/>
              </w:rPr>
            </w:pPr>
            <w:r w:rsidRPr="007F35D1">
              <w:rPr>
                <w:rFonts w:cs="Arial"/>
                <w:b/>
                <w:sz w:val="20"/>
                <w:szCs w:val="20"/>
              </w:rPr>
              <w:t>AMEAÇAS</w:t>
            </w:r>
          </w:p>
          <w:p w:rsidR="00646530" w:rsidRPr="007F35D1" w:rsidRDefault="00646530" w:rsidP="00B94A15">
            <w:pPr>
              <w:autoSpaceDE w:val="0"/>
              <w:autoSpaceDN w:val="0"/>
              <w:adjustRightInd w:val="0"/>
              <w:spacing w:line="240" w:lineRule="auto"/>
              <w:contextualSpacing/>
              <w:jc w:val="left"/>
              <w:rPr>
                <w:rFonts w:cs="Arial"/>
                <w:b/>
                <w:sz w:val="20"/>
                <w:szCs w:val="20"/>
                <w:u w:val="single"/>
              </w:rPr>
            </w:pPr>
          </w:p>
          <w:p w:rsidR="00646530" w:rsidRPr="007F35D1" w:rsidRDefault="00646530" w:rsidP="00B94A15">
            <w:pPr>
              <w:autoSpaceDE w:val="0"/>
              <w:autoSpaceDN w:val="0"/>
              <w:adjustRightInd w:val="0"/>
              <w:spacing w:line="240" w:lineRule="auto"/>
              <w:contextualSpacing/>
              <w:jc w:val="left"/>
              <w:rPr>
                <w:rFonts w:cs="Arial"/>
                <w:b/>
                <w:sz w:val="20"/>
                <w:szCs w:val="20"/>
              </w:rPr>
            </w:pPr>
            <w:r w:rsidRPr="007F35D1">
              <w:rPr>
                <w:rFonts w:cs="Arial"/>
                <w:b/>
                <w:sz w:val="20"/>
                <w:szCs w:val="20"/>
              </w:rPr>
              <w:t>6. Sustentabilidade econômica</w:t>
            </w:r>
          </w:p>
          <w:p w:rsidR="00646530" w:rsidRPr="007F35D1" w:rsidRDefault="00646530" w:rsidP="00B94A15">
            <w:pPr>
              <w:autoSpaceDE w:val="0"/>
              <w:autoSpaceDN w:val="0"/>
              <w:adjustRightInd w:val="0"/>
              <w:spacing w:line="240" w:lineRule="auto"/>
              <w:jc w:val="left"/>
              <w:rPr>
                <w:rFonts w:cs="Arial"/>
                <w:sz w:val="20"/>
                <w:szCs w:val="20"/>
              </w:rPr>
            </w:pPr>
            <w:r w:rsidRPr="007F35D1">
              <w:rPr>
                <w:rFonts w:cs="Arial"/>
                <w:sz w:val="20"/>
                <w:szCs w:val="20"/>
              </w:rPr>
              <w:t>- Dificuldade na captação de recursos financeiros devido à inexistência de colaboradores especializados.</w:t>
            </w:r>
          </w:p>
        </w:tc>
      </w:tr>
    </w:tbl>
    <w:p w:rsidR="00646530" w:rsidRDefault="00646530" w:rsidP="00646530">
      <w:pPr>
        <w:pStyle w:val="Fonte"/>
        <w:rPr>
          <w:rFonts w:cs="Arial"/>
          <w:szCs w:val="24"/>
        </w:rPr>
      </w:pPr>
      <w:r w:rsidRPr="00F23897">
        <w:t>Fonte: adaptado por SHS, 2017.</w:t>
      </w:r>
    </w:p>
    <w:p w:rsidR="00646530" w:rsidRPr="005D3214" w:rsidRDefault="00646530" w:rsidP="00646530">
      <w:pPr>
        <w:spacing w:before="120" w:after="120" w:line="346" w:lineRule="auto"/>
        <w:contextualSpacing/>
        <w:rPr>
          <w:rFonts w:cs="Arial"/>
          <w:szCs w:val="24"/>
          <w:lang w:eastAsia="pt-BR"/>
        </w:rPr>
        <w:sectPr w:rsidR="00646530" w:rsidRPr="005D3214" w:rsidSect="00B94A15">
          <w:footerReference w:type="default" r:id="rId67"/>
          <w:pgSz w:w="16838" w:h="11906" w:orient="landscape"/>
          <w:pgMar w:top="1418" w:right="1134" w:bottom="1134" w:left="1134" w:header="709" w:footer="709" w:gutter="0"/>
          <w:cols w:space="708"/>
          <w:docGrid w:linePitch="360"/>
        </w:sectPr>
      </w:pPr>
    </w:p>
    <w:p w:rsidR="00646530" w:rsidRPr="009B6ECA" w:rsidRDefault="00646530" w:rsidP="00646530">
      <w:pPr>
        <w:spacing w:before="120" w:after="120" w:line="346" w:lineRule="auto"/>
        <w:ind w:firstLine="708"/>
        <w:contextualSpacing/>
        <w:rPr>
          <w:rFonts w:cs="Arial"/>
          <w:szCs w:val="24"/>
          <w:lang w:eastAsia="pt-BR"/>
        </w:rPr>
      </w:pPr>
      <w:r w:rsidRPr="005D3214">
        <w:rPr>
          <w:rFonts w:cs="Arial"/>
          <w:szCs w:val="24"/>
          <w:lang w:eastAsia="pt-BR"/>
        </w:rPr>
        <w:lastRenderedPageBreak/>
        <w:t>Considerando</w:t>
      </w:r>
      <w:r>
        <w:rPr>
          <w:rFonts w:cs="Arial"/>
          <w:szCs w:val="24"/>
          <w:lang w:eastAsia="pt-BR"/>
        </w:rPr>
        <w:t xml:space="preserve"> </w:t>
      </w:r>
      <w:r w:rsidRPr="009B6ECA">
        <w:rPr>
          <w:rFonts w:cs="Arial"/>
          <w:szCs w:val="24"/>
          <w:lang w:eastAsia="pt-BR"/>
        </w:rPr>
        <w:t xml:space="preserve">todas essas questões, partiu-se para a construção dos cenários previsível e normativo para o setor de esgotos de Córrego Novo. O resultado está apresentado no </w:t>
      </w:r>
      <w:r w:rsidRPr="009B6ECA">
        <w:rPr>
          <w:rFonts w:cs="Arial"/>
          <w:szCs w:val="24"/>
          <w:lang w:eastAsia="pt-BR"/>
        </w:rPr>
        <w:fldChar w:fldCharType="begin"/>
      </w:r>
      <w:r w:rsidRPr="009B6ECA">
        <w:rPr>
          <w:rFonts w:cs="Arial"/>
          <w:szCs w:val="24"/>
          <w:lang w:eastAsia="pt-BR"/>
        </w:rPr>
        <w:instrText xml:space="preserve"> REF _Ref484156491 \h </w:instrText>
      </w:r>
      <w:r w:rsidRPr="009B6ECA">
        <w:rPr>
          <w:rFonts w:cs="Arial"/>
          <w:szCs w:val="24"/>
          <w:lang w:eastAsia="pt-BR"/>
        </w:rPr>
      </w:r>
      <w:r w:rsidRPr="009B6ECA">
        <w:rPr>
          <w:rFonts w:cs="Arial"/>
          <w:szCs w:val="24"/>
          <w:lang w:eastAsia="pt-BR"/>
        </w:rPr>
        <w:fldChar w:fldCharType="separate"/>
      </w:r>
      <w:r w:rsidR="004D1D76" w:rsidRPr="009B6ECA">
        <w:t xml:space="preserve">Quadro </w:t>
      </w:r>
      <w:r w:rsidR="004D1D76">
        <w:rPr>
          <w:noProof/>
        </w:rPr>
        <w:t>77</w:t>
      </w:r>
      <w:r w:rsidRPr="009B6ECA">
        <w:rPr>
          <w:rFonts w:cs="Arial"/>
          <w:szCs w:val="24"/>
          <w:lang w:eastAsia="pt-BR"/>
        </w:rPr>
        <w:fldChar w:fldCharType="end"/>
      </w:r>
      <w:r w:rsidRPr="009B6ECA">
        <w:rPr>
          <w:rFonts w:cs="Arial"/>
          <w:szCs w:val="24"/>
          <w:lang w:eastAsia="pt-BR"/>
        </w:rPr>
        <w:t>.</w:t>
      </w:r>
    </w:p>
    <w:p w:rsidR="00646530" w:rsidRPr="009B6ECA" w:rsidRDefault="00646530" w:rsidP="00646530">
      <w:pPr>
        <w:pStyle w:val="Legenda"/>
        <w:rPr>
          <w:lang w:val="pt-BR"/>
        </w:rPr>
      </w:pPr>
      <w:bookmarkStart w:id="727" w:name="_Ref484156491"/>
      <w:bookmarkStart w:id="728" w:name="_Toc484423918"/>
      <w:bookmarkStart w:id="729" w:name="_Toc484532480"/>
      <w:bookmarkStart w:id="730" w:name="_Toc497469198"/>
      <w:r w:rsidRPr="009B6ECA">
        <w:t xml:space="preserve">Quadro </w:t>
      </w:r>
      <w:r w:rsidR="00D71C43">
        <w:fldChar w:fldCharType="begin"/>
      </w:r>
      <w:r w:rsidR="00D71C43">
        <w:instrText xml:space="preserve"> SEQ Quadro \* ARABIC </w:instrText>
      </w:r>
      <w:r w:rsidR="00D71C43">
        <w:fldChar w:fldCharType="separate"/>
      </w:r>
      <w:r w:rsidR="004D1D76">
        <w:rPr>
          <w:noProof/>
        </w:rPr>
        <w:t>77</w:t>
      </w:r>
      <w:r w:rsidR="00D71C43">
        <w:rPr>
          <w:noProof/>
        </w:rPr>
        <w:fldChar w:fldCharType="end"/>
      </w:r>
      <w:bookmarkEnd w:id="727"/>
      <w:r w:rsidRPr="009B6ECA">
        <w:t xml:space="preserve"> - Descrição dos cenários previsível e normativo para o </w:t>
      </w:r>
      <w:r w:rsidRPr="009B6ECA">
        <w:rPr>
          <w:lang w:val="pt-BR"/>
        </w:rPr>
        <w:t>Sistema de Esgotamento Sanitário</w:t>
      </w:r>
      <w:r w:rsidRPr="009B6ECA">
        <w:t xml:space="preserve"> </w:t>
      </w:r>
      <w:r w:rsidRPr="009B6ECA">
        <w:rPr>
          <w:lang w:val="pt-BR"/>
        </w:rPr>
        <w:t>(SES)</w:t>
      </w:r>
      <w:bookmarkEnd w:id="728"/>
      <w:bookmarkEnd w:id="729"/>
      <w:bookmarkEnd w:id="730"/>
    </w:p>
    <w:tbl>
      <w:tblPr>
        <w:tblStyle w:val="TabeladeGrade4-nfase11"/>
        <w:tblW w:w="8200" w:type="dxa"/>
        <w:jc w:val="center"/>
        <w:tblLook w:val="04A0" w:firstRow="1" w:lastRow="0" w:firstColumn="1" w:lastColumn="0" w:noHBand="0" w:noVBand="1"/>
      </w:tblPr>
      <w:tblGrid>
        <w:gridCol w:w="4100"/>
        <w:gridCol w:w="4100"/>
      </w:tblGrid>
      <w:tr w:rsidR="00646530" w:rsidRPr="009B6ECA" w:rsidTr="00B94A15">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100" w:type="dxa"/>
            <w:vAlign w:val="center"/>
            <w:hideMark/>
          </w:tcPr>
          <w:p w:rsidR="00646530" w:rsidRPr="009B6ECA" w:rsidRDefault="00646530" w:rsidP="00B94A15">
            <w:pPr>
              <w:spacing w:line="240" w:lineRule="auto"/>
              <w:jc w:val="center"/>
              <w:rPr>
                <w:color w:val="auto"/>
                <w:sz w:val="20"/>
                <w:szCs w:val="20"/>
                <w:lang w:eastAsia="pt-BR"/>
              </w:rPr>
            </w:pPr>
            <w:r w:rsidRPr="009B6ECA">
              <w:rPr>
                <w:color w:val="auto"/>
                <w:sz w:val="20"/>
                <w:szCs w:val="20"/>
                <w:lang w:eastAsia="pt-BR"/>
              </w:rPr>
              <w:t>Cenário Previsível</w:t>
            </w:r>
          </w:p>
        </w:tc>
        <w:tc>
          <w:tcPr>
            <w:tcW w:w="4100" w:type="dxa"/>
            <w:vAlign w:val="center"/>
            <w:hideMark/>
          </w:tcPr>
          <w:p w:rsidR="00646530" w:rsidRPr="009B6ECA" w:rsidRDefault="00646530" w:rsidP="00B94A15">
            <w:pPr>
              <w:spacing w:line="240" w:lineRule="auto"/>
              <w:jc w:val="center"/>
              <w:cnfStyle w:val="100000000000" w:firstRow="1" w:lastRow="0" w:firstColumn="0" w:lastColumn="0" w:oddVBand="0" w:evenVBand="0" w:oddHBand="0" w:evenHBand="0" w:firstRowFirstColumn="0" w:firstRowLastColumn="0" w:lastRowFirstColumn="0" w:lastRowLastColumn="0"/>
              <w:rPr>
                <w:color w:val="auto"/>
                <w:sz w:val="20"/>
                <w:szCs w:val="20"/>
                <w:lang w:eastAsia="pt-BR"/>
              </w:rPr>
            </w:pPr>
            <w:r w:rsidRPr="009B6ECA">
              <w:rPr>
                <w:color w:val="auto"/>
                <w:sz w:val="20"/>
                <w:szCs w:val="20"/>
                <w:lang w:eastAsia="pt-BR"/>
              </w:rPr>
              <w:t>Cenário Normativo</w:t>
            </w:r>
          </w:p>
        </w:tc>
      </w:tr>
      <w:tr w:rsidR="00646530" w:rsidRPr="009B6ECA" w:rsidTr="00B94A15">
        <w:trPr>
          <w:cnfStyle w:val="000000100000" w:firstRow="0" w:lastRow="0" w:firstColumn="0" w:lastColumn="0" w:oddVBand="0" w:evenVBand="0" w:oddHBand="1" w:evenHBand="0" w:firstRowFirstColumn="0" w:firstRowLastColumn="0" w:lastRowFirstColumn="0" w:lastRowLastColumn="0"/>
          <w:trHeight w:val="920"/>
          <w:jc w:val="center"/>
        </w:trPr>
        <w:tc>
          <w:tcPr>
            <w:cnfStyle w:val="001000000000" w:firstRow="0" w:lastRow="0" w:firstColumn="1" w:lastColumn="0" w:oddVBand="0" w:evenVBand="0" w:oddHBand="0" w:evenHBand="0" w:firstRowFirstColumn="0" w:firstRowLastColumn="0" w:lastRowFirstColumn="0" w:lastRowLastColumn="0"/>
            <w:tcW w:w="4100" w:type="dxa"/>
            <w:shd w:val="clear" w:color="auto" w:fill="auto"/>
            <w:vAlign w:val="center"/>
          </w:tcPr>
          <w:p w:rsidR="00646530" w:rsidRPr="009B6ECA" w:rsidRDefault="00646530" w:rsidP="008B7D29">
            <w:pPr>
              <w:spacing w:line="240" w:lineRule="auto"/>
              <w:rPr>
                <w:b w:val="0"/>
                <w:color w:val="auto"/>
                <w:sz w:val="20"/>
                <w:szCs w:val="20"/>
                <w:lang w:eastAsia="pt-BR"/>
              </w:rPr>
            </w:pPr>
            <w:r w:rsidRPr="009B6ECA">
              <w:rPr>
                <w:b w:val="0"/>
                <w:color w:val="auto"/>
                <w:sz w:val="20"/>
                <w:szCs w:val="20"/>
                <w:lang w:eastAsia="pt-BR"/>
              </w:rPr>
              <w:t xml:space="preserve">Apenas </w:t>
            </w:r>
            <w:r w:rsidR="008B7D29">
              <w:rPr>
                <w:b w:val="0"/>
                <w:color w:val="auto"/>
                <w:sz w:val="20"/>
                <w:szCs w:val="20"/>
                <w:lang w:eastAsia="pt-BR"/>
              </w:rPr>
              <w:t>75</w:t>
            </w:r>
            <w:r w:rsidRPr="009B6ECA">
              <w:rPr>
                <w:b w:val="0"/>
                <w:color w:val="auto"/>
                <w:sz w:val="20"/>
                <w:szCs w:val="20"/>
                <w:lang w:eastAsia="pt-BR"/>
              </w:rPr>
              <w:t> % da população urbana é atendida com o sistema de esgotamento sanitário adequado (apenas coleta, sem tratamento de esgotos).</w:t>
            </w:r>
          </w:p>
        </w:tc>
        <w:tc>
          <w:tcPr>
            <w:tcW w:w="4100" w:type="dxa"/>
            <w:shd w:val="clear" w:color="auto" w:fill="auto"/>
            <w:vAlign w:val="center"/>
          </w:tcPr>
          <w:p w:rsidR="00646530" w:rsidRPr="009B6ECA" w:rsidRDefault="00646530" w:rsidP="00B94A15">
            <w:pPr>
              <w:spacing w:line="240" w:lineRule="auto"/>
              <w:cnfStyle w:val="000000100000" w:firstRow="0" w:lastRow="0" w:firstColumn="0" w:lastColumn="0" w:oddVBand="0" w:evenVBand="0" w:oddHBand="1" w:evenHBand="0" w:firstRowFirstColumn="0" w:firstRowLastColumn="0" w:lastRowFirstColumn="0" w:lastRowLastColumn="0"/>
              <w:rPr>
                <w:color w:val="auto"/>
                <w:sz w:val="20"/>
                <w:szCs w:val="20"/>
                <w:lang w:eastAsia="pt-BR"/>
              </w:rPr>
            </w:pPr>
            <w:r w:rsidRPr="009B6ECA">
              <w:rPr>
                <w:color w:val="auto"/>
                <w:sz w:val="20"/>
                <w:szCs w:val="20"/>
                <w:lang w:eastAsia="pt-BR"/>
              </w:rPr>
              <w:t>100 % de cobertura do serviço no município, e 100 % de tratamento dos esgotos sanitários gerados.</w:t>
            </w:r>
          </w:p>
        </w:tc>
      </w:tr>
      <w:tr w:rsidR="00646530" w:rsidRPr="009B6ECA" w:rsidTr="00B94A15">
        <w:trPr>
          <w:trHeight w:val="920"/>
          <w:jc w:val="center"/>
        </w:trPr>
        <w:tc>
          <w:tcPr>
            <w:cnfStyle w:val="001000000000" w:firstRow="0" w:lastRow="0" w:firstColumn="1" w:lastColumn="0" w:oddVBand="0" w:evenVBand="0" w:oddHBand="0" w:evenHBand="0" w:firstRowFirstColumn="0" w:firstRowLastColumn="0" w:lastRowFirstColumn="0" w:lastRowLastColumn="0"/>
            <w:tcW w:w="4100" w:type="dxa"/>
            <w:shd w:val="clear" w:color="auto" w:fill="auto"/>
            <w:vAlign w:val="center"/>
            <w:hideMark/>
          </w:tcPr>
          <w:p w:rsidR="00646530" w:rsidRPr="009B6ECA" w:rsidRDefault="00646530" w:rsidP="00B94A15">
            <w:pPr>
              <w:spacing w:line="240" w:lineRule="auto"/>
              <w:rPr>
                <w:b w:val="0"/>
                <w:color w:val="auto"/>
                <w:sz w:val="20"/>
                <w:szCs w:val="20"/>
                <w:lang w:eastAsia="pt-BR"/>
              </w:rPr>
            </w:pPr>
            <w:r w:rsidRPr="009B6ECA">
              <w:rPr>
                <w:b w:val="0"/>
                <w:color w:val="auto"/>
                <w:sz w:val="20"/>
                <w:szCs w:val="20"/>
                <w:lang w:eastAsia="pt-BR"/>
              </w:rPr>
              <w:t>O município não possui tratamento dos esgotos gerados.</w:t>
            </w:r>
          </w:p>
        </w:tc>
        <w:tc>
          <w:tcPr>
            <w:tcW w:w="4100" w:type="dxa"/>
            <w:shd w:val="clear" w:color="auto" w:fill="auto"/>
            <w:vAlign w:val="center"/>
            <w:hideMark/>
          </w:tcPr>
          <w:p w:rsidR="00646530" w:rsidRPr="009B6ECA" w:rsidRDefault="00646530" w:rsidP="00B94A15">
            <w:pPr>
              <w:spacing w:line="240" w:lineRule="auto"/>
              <w:cnfStyle w:val="000000000000" w:firstRow="0" w:lastRow="0" w:firstColumn="0" w:lastColumn="0" w:oddVBand="0" w:evenVBand="0" w:oddHBand="0" w:evenHBand="0" w:firstRowFirstColumn="0" w:firstRowLastColumn="0" w:lastRowFirstColumn="0" w:lastRowLastColumn="0"/>
              <w:rPr>
                <w:color w:val="auto"/>
                <w:sz w:val="20"/>
                <w:szCs w:val="20"/>
                <w:lang w:eastAsia="pt-BR"/>
              </w:rPr>
            </w:pPr>
            <w:r w:rsidRPr="009B6ECA">
              <w:rPr>
                <w:color w:val="auto"/>
                <w:sz w:val="20"/>
                <w:szCs w:val="20"/>
                <w:lang w:eastAsia="pt-BR"/>
              </w:rPr>
              <w:t>Implantação e operação adequadas de um sistema de tratamento de esgotos adaptado a cada localidade.</w:t>
            </w:r>
          </w:p>
        </w:tc>
      </w:tr>
      <w:tr w:rsidR="00646530" w:rsidRPr="009B6ECA" w:rsidTr="00B94A15">
        <w:trPr>
          <w:cnfStyle w:val="000000100000" w:firstRow="0" w:lastRow="0" w:firstColumn="0" w:lastColumn="0" w:oddVBand="0" w:evenVBand="0" w:oddHBand="1" w:evenHBand="0" w:firstRowFirstColumn="0" w:firstRowLastColumn="0" w:lastRowFirstColumn="0" w:lastRowLastColumn="0"/>
          <w:trHeight w:val="920"/>
          <w:jc w:val="center"/>
        </w:trPr>
        <w:tc>
          <w:tcPr>
            <w:cnfStyle w:val="001000000000" w:firstRow="0" w:lastRow="0" w:firstColumn="1" w:lastColumn="0" w:oddVBand="0" w:evenVBand="0" w:oddHBand="0" w:evenHBand="0" w:firstRowFirstColumn="0" w:firstRowLastColumn="0" w:lastRowFirstColumn="0" w:lastRowLastColumn="0"/>
            <w:tcW w:w="4100" w:type="dxa"/>
            <w:shd w:val="clear" w:color="auto" w:fill="auto"/>
            <w:vAlign w:val="center"/>
            <w:hideMark/>
          </w:tcPr>
          <w:p w:rsidR="00646530" w:rsidRPr="009B6ECA" w:rsidRDefault="00646530" w:rsidP="00B94A15">
            <w:pPr>
              <w:spacing w:line="240" w:lineRule="auto"/>
              <w:rPr>
                <w:b w:val="0"/>
                <w:color w:val="auto"/>
                <w:sz w:val="20"/>
                <w:szCs w:val="20"/>
                <w:lang w:eastAsia="pt-BR"/>
              </w:rPr>
            </w:pPr>
            <w:r w:rsidRPr="009B6ECA">
              <w:rPr>
                <w:b w:val="0"/>
                <w:color w:val="auto"/>
                <w:sz w:val="20"/>
                <w:szCs w:val="20"/>
                <w:lang w:eastAsia="pt-BR"/>
              </w:rPr>
              <w:t>Controle operacional ineficiente, principalmente no que diz respeito à manutenção dos equipamentos disponíveis ao setor, como a rede coletora de esgotos, entre outros.</w:t>
            </w:r>
          </w:p>
        </w:tc>
        <w:tc>
          <w:tcPr>
            <w:tcW w:w="4100" w:type="dxa"/>
            <w:shd w:val="clear" w:color="auto" w:fill="auto"/>
            <w:vAlign w:val="center"/>
            <w:hideMark/>
          </w:tcPr>
          <w:p w:rsidR="00646530" w:rsidRPr="009B6ECA" w:rsidRDefault="00646530" w:rsidP="00B94A15">
            <w:pPr>
              <w:spacing w:line="240" w:lineRule="auto"/>
              <w:cnfStyle w:val="000000100000" w:firstRow="0" w:lastRow="0" w:firstColumn="0" w:lastColumn="0" w:oddVBand="0" w:evenVBand="0" w:oddHBand="1" w:evenHBand="0" w:firstRowFirstColumn="0" w:firstRowLastColumn="0" w:lastRowFirstColumn="0" w:lastRowLastColumn="0"/>
              <w:rPr>
                <w:color w:val="auto"/>
                <w:sz w:val="20"/>
                <w:szCs w:val="20"/>
                <w:lang w:eastAsia="pt-BR"/>
              </w:rPr>
            </w:pPr>
            <w:r w:rsidRPr="009B6ECA">
              <w:rPr>
                <w:color w:val="auto"/>
                <w:sz w:val="20"/>
                <w:szCs w:val="20"/>
                <w:lang w:eastAsia="pt-BR"/>
              </w:rPr>
              <w:t>Programa periódico de manutenções do sistema de tratamento de esgotos visando caráter preventivo.</w:t>
            </w:r>
          </w:p>
        </w:tc>
      </w:tr>
      <w:tr w:rsidR="00646530" w:rsidRPr="009B6ECA" w:rsidTr="00B94A15">
        <w:trPr>
          <w:trHeight w:val="920"/>
          <w:jc w:val="center"/>
        </w:trPr>
        <w:tc>
          <w:tcPr>
            <w:cnfStyle w:val="001000000000" w:firstRow="0" w:lastRow="0" w:firstColumn="1" w:lastColumn="0" w:oddVBand="0" w:evenVBand="0" w:oddHBand="0" w:evenHBand="0" w:firstRowFirstColumn="0" w:firstRowLastColumn="0" w:lastRowFirstColumn="0" w:lastRowLastColumn="0"/>
            <w:tcW w:w="4100" w:type="dxa"/>
            <w:shd w:val="clear" w:color="auto" w:fill="auto"/>
            <w:vAlign w:val="center"/>
          </w:tcPr>
          <w:p w:rsidR="00646530" w:rsidRPr="009B6ECA" w:rsidRDefault="00646530" w:rsidP="00B94A15">
            <w:pPr>
              <w:spacing w:line="240" w:lineRule="auto"/>
              <w:rPr>
                <w:b w:val="0"/>
                <w:color w:val="auto"/>
                <w:sz w:val="20"/>
                <w:szCs w:val="20"/>
                <w:lang w:eastAsia="pt-BR"/>
              </w:rPr>
            </w:pPr>
            <w:r w:rsidRPr="009B6ECA">
              <w:rPr>
                <w:b w:val="0"/>
                <w:color w:val="auto"/>
                <w:sz w:val="20"/>
                <w:szCs w:val="20"/>
                <w:lang w:eastAsia="pt-BR"/>
              </w:rPr>
              <w:t>Áreas rurais, isoladas e comunidades que não são atendidas com 100 % dos serviços de esgotamento sanitário.</w:t>
            </w:r>
          </w:p>
        </w:tc>
        <w:tc>
          <w:tcPr>
            <w:tcW w:w="4100" w:type="dxa"/>
            <w:shd w:val="clear" w:color="auto" w:fill="auto"/>
            <w:vAlign w:val="center"/>
          </w:tcPr>
          <w:p w:rsidR="00646530" w:rsidRPr="009B6ECA" w:rsidRDefault="00646530" w:rsidP="00B94A15">
            <w:pPr>
              <w:spacing w:line="240" w:lineRule="auto"/>
              <w:cnfStyle w:val="000000000000" w:firstRow="0" w:lastRow="0" w:firstColumn="0" w:lastColumn="0" w:oddVBand="0" w:evenVBand="0" w:oddHBand="0" w:evenHBand="0" w:firstRowFirstColumn="0" w:firstRowLastColumn="0" w:lastRowFirstColumn="0" w:lastRowLastColumn="0"/>
              <w:rPr>
                <w:color w:val="auto"/>
                <w:sz w:val="20"/>
                <w:szCs w:val="20"/>
                <w:lang w:eastAsia="pt-BR"/>
              </w:rPr>
            </w:pPr>
            <w:r w:rsidRPr="009B6ECA">
              <w:rPr>
                <w:color w:val="auto"/>
                <w:sz w:val="20"/>
                <w:szCs w:val="20"/>
                <w:lang w:eastAsia="pt-BR"/>
              </w:rPr>
              <w:t>Programa permanente para atendimento individual de áreas rurais e comunidades do município.</w:t>
            </w:r>
          </w:p>
        </w:tc>
      </w:tr>
      <w:tr w:rsidR="00646530" w:rsidRPr="009B6ECA" w:rsidTr="00B94A15">
        <w:trPr>
          <w:cnfStyle w:val="000000100000" w:firstRow="0" w:lastRow="0" w:firstColumn="0" w:lastColumn="0" w:oddVBand="0" w:evenVBand="0" w:oddHBand="1" w:evenHBand="0" w:firstRowFirstColumn="0" w:firstRowLastColumn="0" w:lastRowFirstColumn="0" w:lastRowLastColumn="0"/>
          <w:trHeight w:val="920"/>
          <w:jc w:val="center"/>
        </w:trPr>
        <w:tc>
          <w:tcPr>
            <w:cnfStyle w:val="001000000000" w:firstRow="0" w:lastRow="0" w:firstColumn="1" w:lastColumn="0" w:oddVBand="0" w:evenVBand="0" w:oddHBand="0" w:evenHBand="0" w:firstRowFirstColumn="0" w:firstRowLastColumn="0" w:lastRowFirstColumn="0" w:lastRowLastColumn="0"/>
            <w:tcW w:w="4100" w:type="dxa"/>
            <w:shd w:val="clear" w:color="auto" w:fill="auto"/>
            <w:vAlign w:val="center"/>
            <w:hideMark/>
          </w:tcPr>
          <w:p w:rsidR="00646530" w:rsidRPr="009B6ECA" w:rsidRDefault="00646530" w:rsidP="00B94A15">
            <w:pPr>
              <w:spacing w:line="240" w:lineRule="auto"/>
              <w:rPr>
                <w:b w:val="0"/>
                <w:color w:val="auto"/>
                <w:sz w:val="20"/>
                <w:szCs w:val="20"/>
                <w:lang w:eastAsia="pt-BR"/>
              </w:rPr>
            </w:pPr>
            <w:r w:rsidRPr="009B6ECA">
              <w:rPr>
                <w:b w:val="0"/>
                <w:color w:val="auto"/>
                <w:sz w:val="20"/>
                <w:szCs w:val="20"/>
                <w:lang w:eastAsia="pt-BR"/>
              </w:rPr>
              <w:t>Ausência de um sistema de informações sobre o sistema de esgotamento sanitário.</w:t>
            </w:r>
          </w:p>
        </w:tc>
        <w:tc>
          <w:tcPr>
            <w:tcW w:w="4100" w:type="dxa"/>
            <w:shd w:val="clear" w:color="auto" w:fill="auto"/>
            <w:vAlign w:val="center"/>
            <w:hideMark/>
          </w:tcPr>
          <w:p w:rsidR="00646530" w:rsidRPr="009B6ECA" w:rsidRDefault="00646530" w:rsidP="00B94A15">
            <w:pPr>
              <w:spacing w:line="240" w:lineRule="auto"/>
              <w:cnfStyle w:val="000000100000" w:firstRow="0" w:lastRow="0" w:firstColumn="0" w:lastColumn="0" w:oddVBand="0" w:evenVBand="0" w:oddHBand="1" w:evenHBand="0" w:firstRowFirstColumn="0" w:firstRowLastColumn="0" w:lastRowFirstColumn="0" w:lastRowLastColumn="0"/>
              <w:rPr>
                <w:color w:val="auto"/>
                <w:sz w:val="20"/>
                <w:szCs w:val="20"/>
                <w:lang w:eastAsia="pt-BR"/>
              </w:rPr>
            </w:pPr>
            <w:r w:rsidRPr="009B6ECA">
              <w:rPr>
                <w:color w:val="auto"/>
                <w:sz w:val="20"/>
                <w:szCs w:val="20"/>
                <w:lang w:eastAsia="pt-BR"/>
              </w:rPr>
              <w:t>Sistema de informações sobre o sistema de esgotamento sanitário implantado, com dados atualizados semestralmente.</w:t>
            </w:r>
          </w:p>
        </w:tc>
      </w:tr>
      <w:tr w:rsidR="00646530" w:rsidRPr="009B6ECA" w:rsidTr="00B94A15">
        <w:trPr>
          <w:trHeight w:val="920"/>
          <w:jc w:val="center"/>
        </w:trPr>
        <w:tc>
          <w:tcPr>
            <w:cnfStyle w:val="001000000000" w:firstRow="0" w:lastRow="0" w:firstColumn="1" w:lastColumn="0" w:oddVBand="0" w:evenVBand="0" w:oddHBand="0" w:evenHBand="0" w:firstRowFirstColumn="0" w:firstRowLastColumn="0" w:lastRowFirstColumn="0" w:lastRowLastColumn="0"/>
            <w:tcW w:w="4100" w:type="dxa"/>
            <w:shd w:val="clear" w:color="auto" w:fill="auto"/>
            <w:vAlign w:val="center"/>
            <w:hideMark/>
          </w:tcPr>
          <w:p w:rsidR="00646530" w:rsidRPr="009B6ECA" w:rsidRDefault="00646530" w:rsidP="00B94A15">
            <w:pPr>
              <w:spacing w:line="240" w:lineRule="auto"/>
              <w:rPr>
                <w:b w:val="0"/>
                <w:color w:val="auto"/>
                <w:sz w:val="20"/>
                <w:szCs w:val="20"/>
                <w:lang w:eastAsia="pt-BR"/>
              </w:rPr>
            </w:pPr>
            <w:r w:rsidRPr="009B6ECA">
              <w:rPr>
                <w:b w:val="0"/>
                <w:color w:val="auto"/>
                <w:sz w:val="20"/>
                <w:szCs w:val="20"/>
                <w:lang w:eastAsia="pt-BR"/>
              </w:rPr>
              <w:t>Fiscalização ineficiente do sistema de esgotamento sanitário.</w:t>
            </w:r>
          </w:p>
        </w:tc>
        <w:tc>
          <w:tcPr>
            <w:tcW w:w="4100" w:type="dxa"/>
            <w:shd w:val="clear" w:color="auto" w:fill="auto"/>
            <w:vAlign w:val="center"/>
            <w:hideMark/>
          </w:tcPr>
          <w:p w:rsidR="00646530" w:rsidRPr="009B6ECA" w:rsidRDefault="00646530" w:rsidP="00B94A15">
            <w:pPr>
              <w:spacing w:line="240" w:lineRule="auto"/>
              <w:cnfStyle w:val="000000000000" w:firstRow="0" w:lastRow="0" w:firstColumn="0" w:lastColumn="0" w:oddVBand="0" w:evenVBand="0" w:oddHBand="0" w:evenHBand="0" w:firstRowFirstColumn="0" w:firstRowLastColumn="0" w:lastRowFirstColumn="0" w:lastRowLastColumn="0"/>
              <w:rPr>
                <w:color w:val="auto"/>
                <w:sz w:val="20"/>
                <w:szCs w:val="20"/>
                <w:lang w:eastAsia="pt-BR"/>
              </w:rPr>
            </w:pPr>
            <w:r w:rsidRPr="009B6ECA">
              <w:rPr>
                <w:color w:val="auto"/>
                <w:sz w:val="20"/>
                <w:szCs w:val="20"/>
                <w:lang w:eastAsia="pt-BR"/>
              </w:rPr>
              <w:t>Processos de fiscalização estruturados e planejados, atendendo a toda a área do município, com definição das responsabilidades e competências.</w:t>
            </w:r>
          </w:p>
        </w:tc>
      </w:tr>
      <w:tr w:rsidR="00646530" w:rsidRPr="009B6ECA" w:rsidTr="00B94A15">
        <w:trPr>
          <w:cnfStyle w:val="000000100000" w:firstRow="0" w:lastRow="0" w:firstColumn="0" w:lastColumn="0" w:oddVBand="0" w:evenVBand="0" w:oddHBand="1" w:evenHBand="0" w:firstRowFirstColumn="0" w:firstRowLastColumn="0" w:lastRowFirstColumn="0" w:lastRowLastColumn="0"/>
          <w:trHeight w:val="920"/>
          <w:jc w:val="center"/>
        </w:trPr>
        <w:tc>
          <w:tcPr>
            <w:cnfStyle w:val="001000000000" w:firstRow="0" w:lastRow="0" w:firstColumn="1" w:lastColumn="0" w:oddVBand="0" w:evenVBand="0" w:oddHBand="0" w:evenHBand="0" w:firstRowFirstColumn="0" w:firstRowLastColumn="0" w:lastRowFirstColumn="0" w:lastRowLastColumn="0"/>
            <w:tcW w:w="4100" w:type="dxa"/>
            <w:vMerge w:val="restart"/>
            <w:shd w:val="clear" w:color="auto" w:fill="auto"/>
            <w:vAlign w:val="center"/>
            <w:hideMark/>
          </w:tcPr>
          <w:p w:rsidR="00646530" w:rsidRPr="009B6ECA" w:rsidRDefault="00646530" w:rsidP="00B94A15">
            <w:pPr>
              <w:spacing w:line="240" w:lineRule="auto"/>
              <w:rPr>
                <w:b w:val="0"/>
                <w:color w:val="auto"/>
                <w:sz w:val="20"/>
                <w:szCs w:val="20"/>
                <w:lang w:eastAsia="pt-BR"/>
              </w:rPr>
            </w:pPr>
            <w:r w:rsidRPr="009B6ECA">
              <w:rPr>
                <w:b w:val="0"/>
                <w:color w:val="auto"/>
                <w:sz w:val="20"/>
                <w:szCs w:val="20"/>
                <w:lang w:eastAsia="pt-BR"/>
              </w:rPr>
              <w:t>Aumento da necessidade de investimento para aquisição de projetos, equipamentos, infraestruturas e disponibilidade em quantidade adequada de pessoal especializado.</w:t>
            </w:r>
          </w:p>
        </w:tc>
        <w:tc>
          <w:tcPr>
            <w:tcW w:w="4100" w:type="dxa"/>
            <w:shd w:val="clear" w:color="auto" w:fill="auto"/>
            <w:vAlign w:val="center"/>
            <w:hideMark/>
          </w:tcPr>
          <w:p w:rsidR="00646530" w:rsidRPr="009B6ECA" w:rsidRDefault="00646530" w:rsidP="00B94A15">
            <w:pPr>
              <w:spacing w:line="240" w:lineRule="auto"/>
              <w:cnfStyle w:val="000000100000" w:firstRow="0" w:lastRow="0" w:firstColumn="0" w:lastColumn="0" w:oddVBand="0" w:evenVBand="0" w:oddHBand="1" w:evenHBand="0" w:firstRowFirstColumn="0" w:firstRowLastColumn="0" w:lastRowFirstColumn="0" w:lastRowLastColumn="0"/>
              <w:rPr>
                <w:color w:val="auto"/>
                <w:sz w:val="20"/>
                <w:szCs w:val="20"/>
                <w:lang w:eastAsia="pt-BR"/>
              </w:rPr>
            </w:pPr>
            <w:r w:rsidRPr="009B6ECA">
              <w:rPr>
                <w:color w:val="auto"/>
                <w:sz w:val="20"/>
                <w:szCs w:val="20"/>
                <w:lang w:eastAsia="pt-BR"/>
              </w:rPr>
              <w:t>Elaboração de projetos para captação de recursos, provenientes de programas federais e estaduais.</w:t>
            </w:r>
          </w:p>
        </w:tc>
      </w:tr>
      <w:tr w:rsidR="00646530" w:rsidRPr="009B6ECA" w:rsidTr="00B94A15">
        <w:trPr>
          <w:trHeight w:val="920"/>
          <w:jc w:val="center"/>
        </w:trPr>
        <w:tc>
          <w:tcPr>
            <w:cnfStyle w:val="001000000000" w:firstRow="0" w:lastRow="0" w:firstColumn="1" w:lastColumn="0" w:oddVBand="0" w:evenVBand="0" w:oddHBand="0" w:evenHBand="0" w:firstRowFirstColumn="0" w:firstRowLastColumn="0" w:lastRowFirstColumn="0" w:lastRowLastColumn="0"/>
            <w:tcW w:w="4100" w:type="dxa"/>
            <w:vMerge/>
            <w:shd w:val="clear" w:color="auto" w:fill="auto"/>
            <w:vAlign w:val="center"/>
            <w:hideMark/>
          </w:tcPr>
          <w:p w:rsidR="00646530" w:rsidRPr="009B6ECA" w:rsidRDefault="00646530" w:rsidP="00B94A15">
            <w:pPr>
              <w:spacing w:line="240" w:lineRule="auto"/>
              <w:rPr>
                <w:b w:val="0"/>
                <w:color w:val="auto"/>
                <w:sz w:val="20"/>
                <w:szCs w:val="20"/>
                <w:lang w:eastAsia="pt-BR"/>
              </w:rPr>
            </w:pPr>
          </w:p>
        </w:tc>
        <w:tc>
          <w:tcPr>
            <w:tcW w:w="4100" w:type="dxa"/>
            <w:shd w:val="clear" w:color="auto" w:fill="auto"/>
            <w:vAlign w:val="center"/>
            <w:hideMark/>
          </w:tcPr>
          <w:p w:rsidR="00646530" w:rsidRPr="009B6ECA" w:rsidRDefault="00646530" w:rsidP="00B94A15">
            <w:pPr>
              <w:spacing w:line="240" w:lineRule="auto"/>
              <w:cnfStyle w:val="000000000000" w:firstRow="0" w:lastRow="0" w:firstColumn="0" w:lastColumn="0" w:oddVBand="0" w:evenVBand="0" w:oddHBand="0" w:evenHBand="0" w:firstRowFirstColumn="0" w:firstRowLastColumn="0" w:lastRowFirstColumn="0" w:lastRowLastColumn="0"/>
              <w:rPr>
                <w:color w:val="auto"/>
                <w:sz w:val="20"/>
                <w:szCs w:val="20"/>
                <w:lang w:eastAsia="pt-BR"/>
              </w:rPr>
            </w:pPr>
            <w:r w:rsidRPr="009B6ECA">
              <w:rPr>
                <w:color w:val="auto"/>
                <w:sz w:val="20"/>
                <w:szCs w:val="20"/>
                <w:lang w:eastAsia="pt-BR"/>
              </w:rPr>
              <w:t>Aumento de investimentos na infraestrutura de coleta, afastamento e tratamento dos esgotos.</w:t>
            </w:r>
          </w:p>
        </w:tc>
      </w:tr>
      <w:tr w:rsidR="00646530" w:rsidRPr="009B6ECA" w:rsidTr="00B94A15">
        <w:trPr>
          <w:cnfStyle w:val="000000100000" w:firstRow="0" w:lastRow="0" w:firstColumn="0" w:lastColumn="0" w:oddVBand="0" w:evenVBand="0" w:oddHBand="1" w:evenHBand="0" w:firstRowFirstColumn="0" w:firstRowLastColumn="0" w:lastRowFirstColumn="0" w:lastRowLastColumn="0"/>
          <w:trHeight w:val="920"/>
          <w:jc w:val="center"/>
        </w:trPr>
        <w:tc>
          <w:tcPr>
            <w:cnfStyle w:val="001000000000" w:firstRow="0" w:lastRow="0" w:firstColumn="1" w:lastColumn="0" w:oddVBand="0" w:evenVBand="0" w:oddHBand="0" w:evenHBand="0" w:firstRowFirstColumn="0" w:firstRowLastColumn="0" w:lastRowFirstColumn="0" w:lastRowLastColumn="0"/>
            <w:tcW w:w="4100" w:type="dxa"/>
            <w:shd w:val="clear" w:color="auto" w:fill="auto"/>
            <w:vAlign w:val="center"/>
            <w:hideMark/>
          </w:tcPr>
          <w:p w:rsidR="00646530" w:rsidRPr="009B6ECA" w:rsidRDefault="00646530" w:rsidP="00B94A15">
            <w:pPr>
              <w:spacing w:line="240" w:lineRule="auto"/>
              <w:rPr>
                <w:b w:val="0"/>
                <w:color w:val="auto"/>
                <w:sz w:val="20"/>
                <w:szCs w:val="20"/>
                <w:lang w:eastAsia="pt-BR"/>
              </w:rPr>
            </w:pPr>
            <w:r w:rsidRPr="009B6ECA">
              <w:rPr>
                <w:b w:val="0"/>
                <w:color w:val="auto"/>
                <w:sz w:val="20"/>
                <w:szCs w:val="20"/>
                <w:lang w:eastAsia="pt-BR"/>
              </w:rPr>
              <w:t>Programas de educação ambiental realizados de forma desvinculada entre os quatro setores do saneamento, de forma descontínua e não planejada.</w:t>
            </w:r>
          </w:p>
        </w:tc>
        <w:tc>
          <w:tcPr>
            <w:tcW w:w="4100" w:type="dxa"/>
            <w:shd w:val="clear" w:color="auto" w:fill="auto"/>
            <w:vAlign w:val="center"/>
            <w:hideMark/>
          </w:tcPr>
          <w:p w:rsidR="00646530" w:rsidRPr="009B6ECA" w:rsidRDefault="00646530" w:rsidP="00B94A15">
            <w:pPr>
              <w:spacing w:line="240" w:lineRule="auto"/>
              <w:cnfStyle w:val="000000100000" w:firstRow="0" w:lastRow="0" w:firstColumn="0" w:lastColumn="0" w:oddVBand="0" w:evenVBand="0" w:oddHBand="1" w:evenHBand="0" w:firstRowFirstColumn="0" w:firstRowLastColumn="0" w:lastRowFirstColumn="0" w:lastRowLastColumn="0"/>
              <w:rPr>
                <w:color w:val="auto"/>
                <w:sz w:val="20"/>
                <w:szCs w:val="20"/>
                <w:lang w:eastAsia="pt-BR"/>
              </w:rPr>
            </w:pPr>
            <w:r w:rsidRPr="009B6ECA">
              <w:rPr>
                <w:color w:val="auto"/>
                <w:sz w:val="20"/>
                <w:szCs w:val="20"/>
                <w:lang w:eastAsia="pt-BR"/>
              </w:rPr>
              <w:t>Programas de educação ambiental realizados periodicamente, de forma sistemática e integrando os quatro setores do saneamento.</w:t>
            </w:r>
          </w:p>
        </w:tc>
      </w:tr>
    </w:tbl>
    <w:p w:rsidR="00646530" w:rsidRPr="009B6ECA" w:rsidRDefault="00646530" w:rsidP="00646530">
      <w:pPr>
        <w:pStyle w:val="Fonte"/>
      </w:pPr>
    </w:p>
    <w:p w:rsidR="00646530" w:rsidRDefault="00646530" w:rsidP="002828C8">
      <w:pPr>
        <w:pStyle w:val="Ttulo3"/>
      </w:pPr>
      <w:bookmarkStart w:id="731" w:name="_Toc363720119"/>
      <w:bookmarkStart w:id="732" w:name="_Toc484422555"/>
      <w:bookmarkStart w:id="733" w:name="_Toc484532468"/>
      <w:bookmarkStart w:id="734" w:name="_Toc497469087"/>
      <w:bookmarkEnd w:id="731"/>
      <w:r w:rsidRPr="008044FA">
        <w:t>Objetivos e metas</w:t>
      </w:r>
      <w:bookmarkEnd w:id="732"/>
      <w:bookmarkEnd w:id="733"/>
      <w:bookmarkEnd w:id="734"/>
    </w:p>
    <w:p w:rsidR="00646530" w:rsidRPr="00454789" w:rsidRDefault="00646530" w:rsidP="00646530">
      <w:pPr>
        <w:spacing w:after="120"/>
        <w:ind w:firstLine="708"/>
        <w:contextualSpacing/>
        <w:rPr>
          <w:rFonts w:cs="Arial"/>
          <w:szCs w:val="24"/>
          <w:lang w:eastAsia="pt-BR"/>
        </w:rPr>
      </w:pPr>
      <w:r w:rsidRPr="005D3214">
        <w:rPr>
          <w:rFonts w:cs="Arial"/>
          <w:szCs w:val="24"/>
          <w:lang w:eastAsia="pt-BR"/>
        </w:rPr>
        <w:t xml:space="preserve">Para o sistema de esgotamento sanitário foram propostos cinco objetivos específicos, de acordo com os </w:t>
      </w:r>
      <w:r w:rsidRPr="00454789">
        <w:rPr>
          <w:rFonts w:cs="Arial"/>
          <w:szCs w:val="24"/>
          <w:lang w:eastAsia="pt-BR"/>
        </w:rPr>
        <w:t xml:space="preserve">aspectos do SES, com as características de Córrego Novo levantadas na etapa do diagnóstico técnico-participativo e com o cenário </w:t>
      </w:r>
      <w:r w:rsidRPr="00454789">
        <w:rPr>
          <w:rFonts w:cs="Arial"/>
          <w:szCs w:val="24"/>
          <w:lang w:eastAsia="pt-BR"/>
        </w:rPr>
        <w:lastRenderedPageBreak/>
        <w:t xml:space="preserve">normativo como </w:t>
      </w:r>
      <w:r w:rsidRPr="00454789">
        <w:rPr>
          <w:rFonts w:cs="Arial"/>
          <w:szCs w:val="24"/>
        </w:rPr>
        <w:t>elemento norteador para o alcance das metas</w:t>
      </w:r>
      <w:r w:rsidRPr="00454789">
        <w:rPr>
          <w:rFonts w:cs="Arial"/>
          <w:szCs w:val="24"/>
          <w:lang w:eastAsia="pt-BR"/>
        </w:rPr>
        <w:t>. Esses objetivos são descritos a seguir.</w:t>
      </w:r>
    </w:p>
    <w:p w:rsidR="00646530" w:rsidRPr="00454789" w:rsidRDefault="00646530" w:rsidP="00A87269">
      <w:pPr>
        <w:numPr>
          <w:ilvl w:val="0"/>
          <w:numId w:val="31"/>
        </w:numPr>
        <w:ind w:left="2127" w:hanging="1560"/>
        <w:contextualSpacing/>
        <w:rPr>
          <w:rFonts w:eastAsia="Times New Roman" w:cs="Arial"/>
          <w:b/>
          <w:bCs/>
          <w:szCs w:val="24"/>
          <w:lang w:eastAsia="pt-BR"/>
        </w:rPr>
      </w:pPr>
      <w:r w:rsidRPr="00454789">
        <w:rPr>
          <w:rFonts w:eastAsia="Times New Roman" w:cs="Arial"/>
          <w:b/>
          <w:bCs/>
          <w:szCs w:val="24"/>
          <w:lang w:eastAsia="pt-BR"/>
        </w:rPr>
        <w:t>Atender com serviços de coleta, afastamento e tratamento a 100% dos esgotos produzidos nas áreas urbanizadas</w:t>
      </w:r>
      <w:r w:rsidR="00920093">
        <w:rPr>
          <w:rFonts w:eastAsia="Times New Roman" w:cs="Arial"/>
          <w:b/>
          <w:bCs/>
          <w:szCs w:val="24"/>
          <w:lang w:eastAsia="pt-BR"/>
        </w:rPr>
        <w:t>, rurais e aglomerados</w:t>
      </w:r>
      <w:r w:rsidRPr="00454789">
        <w:rPr>
          <w:rFonts w:eastAsia="Times New Roman" w:cs="Arial"/>
          <w:b/>
          <w:bCs/>
          <w:szCs w:val="24"/>
          <w:lang w:eastAsia="pt-BR"/>
        </w:rPr>
        <w:t xml:space="preserve"> do município de Córrego Novo.</w:t>
      </w:r>
    </w:p>
    <w:p w:rsidR="00646530" w:rsidRPr="003F14FA" w:rsidRDefault="00646530" w:rsidP="00A87269">
      <w:pPr>
        <w:numPr>
          <w:ilvl w:val="0"/>
          <w:numId w:val="31"/>
        </w:numPr>
        <w:ind w:left="2127" w:hanging="1560"/>
        <w:contextualSpacing/>
        <w:rPr>
          <w:rFonts w:eastAsia="Times New Roman" w:cs="Arial"/>
          <w:b/>
          <w:bCs/>
          <w:szCs w:val="24"/>
          <w:lang w:eastAsia="pt-BR"/>
        </w:rPr>
      </w:pPr>
      <w:r w:rsidRPr="003F14FA">
        <w:rPr>
          <w:rFonts w:eastAsia="Times New Roman" w:cs="Arial"/>
          <w:b/>
          <w:bCs/>
          <w:szCs w:val="24"/>
          <w:lang w:eastAsia="pt-BR"/>
        </w:rPr>
        <w:t>Erradicar sistemas de tratamento de esgotos inadequados e implantar dispositivos de saneamento rural.</w:t>
      </w:r>
    </w:p>
    <w:p w:rsidR="00646530" w:rsidRPr="00454789" w:rsidRDefault="00646530" w:rsidP="00A87269">
      <w:pPr>
        <w:numPr>
          <w:ilvl w:val="0"/>
          <w:numId w:val="31"/>
        </w:numPr>
        <w:ind w:left="2127" w:hanging="1560"/>
        <w:contextualSpacing/>
        <w:rPr>
          <w:rFonts w:eastAsia="Times New Roman" w:cs="Arial"/>
          <w:b/>
          <w:bCs/>
          <w:szCs w:val="24"/>
          <w:lang w:eastAsia="pt-BR"/>
        </w:rPr>
      </w:pPr>
      <w:r w:rsidRPr="00454789">
        <w:rPr>
          <w:rFonts w:eastAsia="Times New Roman" w:cs="Arial"/>
          <w:b/>
          <w:bCs/>
          <w:szCs w:val="24"/>
          <w:lang w:eastAsia="pt-BR"/>
        </w:rPr>
        <w:t xml:space="preserve">Implementar, para o SES, uma gestão eficiente no que se refere aos aspectos </w:t>
      </w:r>
      <w:r w:rsidR="008F5429">
        <w:rPr>
          <w:b/>
          <w:bCs/>
          <w:szCs w:val="24"/>
        </w:rPr>
        <w:t xml:space="preserve">administrativos, operacionais, financeiros, de planejamento estratégico e de sustentabilidade, </w:t>
      </w:r>
      <w:r w:rsidRPr="00454789">
        <w:rPr>
          <w:rFonts w:eastAsia="Times New Roman" w:cs="Arial"/>
          <w:b/>
          <w:bCs/>
          <w:szCs w:val="24"/>
          <w:lang w:eastAsia="pt-BR"/>
        </w:rPr>
        <w:t>além de definir instrumentos legais que garantam a regulação do mesmo e a observação das diretrizes aprovadas no presente PMSB.</w:t>
      </w:r>
    </w:p>
    <w:p w:rsidR="00646530" w:rsidRPr="00454789" w:rsidRDefault="00646530" w:rsidP="00A87269">
      <w:pPr>
        <w:numPr>
          <w:ilvl w:val="0"/>
          <w:numId w:val="31"/>
        </w:numPr>
        <w:ind w:left="2127" w:hanging="1560"/>
        <w:contextualSpacing/>
        <w:rPr>
          <w:rFonts w:eastAsia="Times New Roman" w:cs="Arial"/>
          <w:b/>
          <w:bCs/>
          <w:szCs w:val="24"/>
          <w:lang w:eastAsia="pt-BR"/>
        </w:rPr>
      </w:pPr>
      <w:r w:rsidRPr="00454789">
        <w:rPr>
          <w:rFonts w:eastAsia="Times New Roman" w:cs="Arial"/>
          <w:b/>
          <w:bCs/>
          <w:szCs w:val="24"/>
          <w:lang w:eastAsia="pt-BR"/>
        </w:rPr>
        <w:t xml:space="preserve">Adequar todo o sistema de esgotamento sanitário de Córrego Novo de forma a atender </w:t>
      </w:r>
      <w:r>
        <w:rPr>
          <w:rFonts w:eastAsia="Times New Roman" w:cs="Arial"/>
          <w:b/>
          <w:bCs/>
          <w:szCs w:val="24"/>
          <w:lang w:eastAsia="pt-BR"/>
        </w:rPr>
        <w:t>à</w:t>
      </w:r>
      <w:r w:rsidRPr="00454789">
        <w:rPr>
          <w:rFonts w:eastAsia="Times New Roman" w:cs="Arial"/>
          <w:b/>
          <w:bCs/>
          <w:szCs w:val="24"/>
          <w:lang w:eastAsia="pt-BR"/>
        </w:rPr>
        <w:t xml:space="preserve"> legislação ambiental vigente.</w:t>
      </w:r>
    </w:p>
    <w:p w:rsidR="00646530" w:rsidRPr="00454789" w:rsidRDefault="00646530" w:rsidP="00A87269">
      <w:pPr>
        <w:numPr>
          <w:ilvl w:val="0"/>
          <w:numId w:val="31"/>
        </w:numPr>
        <w:ind w:left="2127" w:hanging="1560"/>
        <w:contextualSpacing/>
        <w:rPr>
          <w:rFonts w:eastAsia="Times New Roman" w:cs="Arial"/>
          <w:b/>
          <w:bCs/>
          <w:szCs w:val="24"/>
          <w:lang w:eastAsia="pt-BR"/>
        </w:rPr>
      </w:pPr>
      <w:r w:rsidRPr="00454789">
        <w:rPr>
          <w:rFonts w:eastAsia="Times New Roman" w:cs="Arial"/>
          <w:b/>
          <w:bCs/>
          <w:szCs w:val="24"/>
          <w:lang w:eastAsia="pt-BR"/>
        </w:rPr>
        <w:t>Instituir canais de comunicação e participação com a sociedade e promover ações continuadas em educação ambiental.</w:t>
      </w:r>
    </w:p>
    <w:p w:rsidR="00646530" w:rsidRPr="005D3214" w:rsidRDefault="00646530" w:rsidP="00646530">
      <w:pPr>
        <w:spacing w:before="120" w:after="120"/>
        <w:ind w:firstLine="567"/>
        <w:contextualSpacing/>
        <w:rPr>
          <w:rFonts w:cs="Arial"/>
          <w:szCs w:val="24"/>
          <w:lang w:eastAsia="pt-BR"/>
        </w:rPr>
      </w:pPr>
      <w:r w:rsidRPr="00454789">
        <w:rPr>
          <w:rFonts w:cs="Arial"/>
          <w:szCs w:val="24"/>
          <w:lang w:eastAsia="pt-BR"/>
        </w:rPr>
        <w:t xml:space="preserve">Na </w:t>
      </w:r>
      <w:r w:rsidRPr="00454789">
        <w:rPr>
          <w:rFonts w:cs="Arial"/>
          <w:szCs w:val="24"/>
          <w:lang w:eastAsia="pt-BR"/>
        </w:rPr>
        <w:fldChar w:fldCharType="begin"/>
      </w:r>
      <w:r w:rsidRPr="00454789">
        <w:rPr>
          <w:rFonts w:cs="Arial"/>
          <w:szCs w:val="24"/>
          <w:lang w:eastAsia="pt-BR"/>
        </w:rPr>
        <w:instrText xml:space="preserve"> REF _Ref484420688 \h </w:instrText>
      </w:r>
      <w:r w:rsidRPr="00454789">
        <w:rPr>
          <w:rFonts w:cs="Arial"/>
          <w:szCs w:val="24"/>
          <w:lang w:eastAsia="pt-BR"/>
        </w:rPr>
      </w:r>
      <w:r w:rsidRPr="00454789">
        <w:rPr>
          <w:rFonts w:cs="Arial"/>
          <w:szCs w:val="24"/>
          <w:lang w:eastAsia="pt-BR"/>
        </w:rPr>
        <w:fldChar w:fldCharType="separate"/>
      </w:r>
      <w:r w:rsidR="004D1D76" w:rsidRPr="005D3214">
        <w:t xml:space="preserve">Tabela </w:t>
      </w:r>
      <w:r w:rsidR="004D1D76">
        <w:rPr>
          <w:noProof/>
        </w:rPr>
        <w:t>14</w:t>
      </w:r>
      <w:r w:rsidRPr="00454789">
        <w:rPr>
          <w:rFonts w:cs="Arial"/>
          <w:szCs w:val="24"/>
          <w:lang w:eastAsia="pt-BR"/>
        </w:rPr>
        <w:fldChar w:fldCharType="end"/>
      </w:r>
      <w:r w:rsidRPr="00454789">
        <w:rPr>
          <w:rFonts w:cs="Arial"/>
          <w:szCs w:val="24"/>
          <w:lang w:eastAsia="pt-BR"/>
        </w:rPr>
        <w:t xml:space="preserve"> estão apresentados os objetivos </w:t>
      </w:r>
      <w:r w:rsidRPr="005D3214">
        <w:rPr>
          <w:rFonts w:cs="Arial"/>
          <w:szCs w:val="24"/>
          <w:lang w:eastAsia="pt-BR"/>
        </w:rPr>
        <w:t>e as respectivas metas de forma sistematizada, além dos prazos para cada meta.</w:t>
      </w:r>
    </w:p>
    <w:p w:rsidR="00646530" w:rsidRPr="005D3214" w:rsidRDefault="00646530" w:rsidP="00646530">
      <w:pPr>
        <w:keepNext/>
        <w:numPr>
          <w:ilvl w:val="0"/>
          <w:numId w:val="1"/>
        </w:numPr>
        <w:spacing w:before="120" w:after="120" w:line="240" w:lineRule="auto"/>
        <w:ind w:left="0" w:firstLine="0"/>
        <w:jc w:val="center"/>
        <w:rPr>
          <w:rFonts w:eastAsia="Times New Roman" w:cs="Arial"/>
          <w:b/>
          <w:bCs/>
          <w:sz w:val="20"/>
          <w:szCs w:val="24"/>
          <w:lang w:val="x-none" w:eastAsia="x-none"/>
        </w:rPr>
        <w:sectPr w:rsidR="00646530" w:rsidRPr="005D3214" w:rsidSect="00B94A15">
          <w:footerReference w:type="default" r:id="rId68"/>
          <w:pgSz w:w="11906" w:h="16838"/>
          <w:pgMar w:top="1134" w:right="1134" w:bottom="1134" w:left="1418" w:header="708" w:footer="708" w:gutter="0"/>
          <w:cols w:space="708"/>
          <w:docGrid w:linePitch="360"/>
        </w:sectPr>
      </w:pPr>
    </w:p>
    <w:p w:rsidR="00646530" w:rsidRPr="005D3214" w:rsidRDefault="00646530" w:rsidP="00646530">
      <w:pPr>
        <w:pStyle w:val="Legenda"/>
      </w:pPr>
      <w:bookmarkStart w:id="735" w:name="_Ref484420688"/>
      <w:bookmarkStart w:id="736" w:name="_Toc484422574"/>
      <w:bookmarkStart w:id="737" w:name="_Toc484532487"/>
      <w:bookmarkStart w:id="738" w:name="_Toc497469216"/>
      <w:r w:rsidRPr="005D3214">
        <w:lastRenderedPageBreak/>
        <w:t xml:space="preserve">Tabela </w:t>
      </w:r>
      <w:r w:rsidR="00D71C43">
        <w:fldChar w:fldCharType="begin"/>
      </w:r>
      <w:r w:rsidR="00D71C43">
        <w:instrText xml:space="preserve"> SEQ Tabela \* ARABIC </w:instrText>
      </w:r>
      <w:r w:rsidR="00D71C43">
        <w:fldChar w:fldCharType="separate"/>
      </w:r>
      <w:r w:rsidR="004D1D76">
        <w:rPr>
          <w:noProof/>
        </w:rPr>
        <w:t>14</w:t>
      </w:r>
      <w:r w:rsidR="00D71C43">
        <w:rPr>
          <w:noProof/>
        </w:rPr>
        <w:fldChar w:fldCharType="end"/>
      </w:r>
      <w:bookmarkEnd w:id="735"/>
      <w:r w:rsidRPr="005D3214">
        <w:t xml:space="preserve"> - Objetivos e metas do Sistema de Esgotamento Sanitário </w:t>
      </w:r>
      <w:r>
        <w:rPr>
          <w:lang w:val="pt-BR"/>
        </w:rPr>
        <w:t>(SES)</w:t>
      </w:r>
      <w:bookmarkEnd w:id="736"/>
      <w:bookmarkEnd w:id="737"/>
      <w:bookmarkEnd w:id="738"/>
    </w:p>
    <w:tbl>
      <w:tblPr>
        <w:tblW w:w="15023" w:type="dxa"/>
        <w:jc w:val="center"/>
        <w:tblBorders>
          <w:top w:val="single" w:sz="8" w:space="0" w:color="4F81BD"/>
          <w:bottom w:val="single" w:sz="8" w:space="0" w:color="4F81BD"/>
        </w:tblBorders>
        <w:tblLook w:val="04A0" w:firstRow="1" w:lastRow="0" w:firstColumn="1" w:lastColumn="0" w:noHBand="0" w:noVBand="1"/>
      </w:tblPr>
      <w:tblGrid>
        <w:gridCol w:w="4219"/>
        <w:gridCol w:w="9636"/>
        <w:gridCol w:w="1168"/>
      </w:tblGrid>
      <w:tr w:rsidR="002E4058" w:rsidRPr="0066526D" w:rsidTr="004D1D76">
        <w:trPr>
          <w:cantSplit/>
          <w:trHeight w:val="20"/>
          <w:tblHeader/>
          <w:jc w:val="center"/>
        </w:trPr>
        <w:tc>
          <w:tcPr>
            <w:tcW w:w="4219" w:type="dxa"/>
            <w:tcBorders>
              <w:top w:val="single" w:sz="8" w:space="0" w:color="4F81BD"/>
              <w:left w:val="nil"/>
              <w:bottom w:val="single" w:sz="8" w:space="0" w:color="4F81BD"/>
              <w:right w:val="single" w:sz="4" w:space="0" w:color="1F497D"/>
            </w:tcBorders>
            <w:shd w:val="clear" w:color="auto" w:fill="4F81BD"/>
            <w:vAlign w:val="center"/>
          </w:tcPr>
          <w:p w:rsidR="002E4058" w:rsidRPr="0066526D" w:rsidRDefault="002E4058" w:rsidP="00095090">
            <w:pPr>
              <w:autoSpaceDE w:val="0"/>
              <w:autoSpaceDN w:val="0"/>
              <w:adjustRightInd w:val="0"/>
              <w:spacing w:before="20" w:after="20" w:line="240" w:lineRule="auto"/>
              <w:jc w:val="center"/>
              <w:rPr>
                <w:rFonts w:eastAsia="Times New Roman" w:cs="Arial"/>
                <w:b/>
                <w:bCs/>
                <w:color w:val="FFFFFF" w:themeColor="background1"/>
                <w:sz w:val="20"/>
                <w:szCs w:val="20"/>
              </w:rPr>
            </w:pPr>
            <w:r w:rsidRPr="0066526D">
              <w:rPr>
                <w:rFonts w:eastAsia="Times New Roman" w:cs="Arial"/>
                <w:b/>
                <w:bCs/>
                <w:color w:val="FFFFFF" w:themeColor="background1"/>
                <w:sz w:val="20"/>
                <w:szCs w:val="20"/>
              </w:rPr>
              <w:t>Objetivo</w:t>
            </w:r>
          </w:p>
        </w:tc>
        <w:tc>
          <w:tcPr>
            <w:tcW w:w="9636" w:type="dxa"/>
            <w:tcBorders>
              <w:top w:val="single" w:sz="8" w:space="0" w:color="4F81BD"/>
              <w:left w:val="single" w:sz="4" w:space="0" w:color="1F497D"/>
              <w:bottom w:val="single" w:sz="8" w:space="0" w:color="4F81BD"/>
              <w:right w:val="single" w:sz="4" w:space="0" w:color="1F497D"/>
            </w:tcBorders>
            <w:shd w:val="clear" w:color="auto" w:fill="4F81BD"/>
            <w:vAlign w:val="center"/>
          </w:tcPr>
          <w:p w:rsidR="002E4058" w:rsidRPr="0066526D" w:rsidRDefault="002E4058" w:rsidP="00095090">
            <w:pPr>
              <w:autoSpaceDE w:val="0"/>
              <w:autoSpaceDN w:val="0"/>
              <w:adjustRightInd w:val="0"/>
              <w:spacing w:before="20" w:after="20" w:line="240" w:lineRule="auto"/>
              <w:jc w:val="center"/>
              <w:rPr>
                <w:rFonts w:eastAsia="Times New Roman" w:cs="Arial"/>
                <w:b/>
                <w:bCs/>
                <w:color w:val="FFFFFF" w:themeColor="background1"/>
                <w:sz w:val="20"/>
                <w:szCs w:val="20"/>
              </w:rPr>
            </w:pPr>
            <w:r w:rsidRPr="0066526D">
              <w:rPr>
                <w:rFonts w:eastAsia="Times New Roman" w:cs="Arial"/>
                <w:b/>
                <w:bCs/>
                <w:color w:val="FFFFFF" w:themeColor="background1"/>
                <w:sz w:val="20"/>
                <w:szCs w:val="20"/>
              </w:rPr>
              <w:t>Metas</w:t>
            </w:r>
          </w:p>
        </w:tc>
        <w:tc>
          <w:tcPr>
            <w:tcW w:w="0" w:type="auto"/>
            <w:tcBorders>
              <w:top w:val="single" w:sz="8" w:space="0" w:color="4F81BD"/>
              <w:left w:val="single" w:sz="4" w:space="0" w:color="1F497D"/>
              <w:bottom w:val="single" w:sz="8" w:space="0" w:color="4F81BD"/>
              <w:right w:val="nil"/>
            </w:tcBorders>
            <w:shd w:val="clear" w:color="auto" w:fill="4F81BD"/>
            <w:vAlign w:val="center"/>
          </w:tcPr>
          <w:p w:rsidR="002E4058" w:rsidRPr="0066526D" w:rsidRDefault="002E4058" w:rsidP="00095090">
            <w:pPr>
              <w:autoSpaceDE w:val="0"/>
              <w:autoSpaceDN w:val="0"/>
              <w:adjustRightInd w:val="0"/>
              <w:spacing w:before="20" w:after="20" w:line="240" w:lineRule="auto"/>
              <w:jc w:val="center"/>
              <w:rPr>
                <w:rFonts w:eastAsia="Times New Roman" w:cs="Arial"/>
                <w:b/>
                <w:bCs/>
                <w:color w:val="FFFFFF" w:themeColor="background1"/>
                <w:sz w:val="20"/>
                <w:szCs w:val="20"/>
              </w:rPr>
            </w:pPr>
            <w:r w:rsidRPr="0066526D">
              <w:rPr>
                <w:rFonts w:eastAsia="Times New Roman" w:cs="Arial"/>
                <w:b/>
                <w:bCs/>
                <w:color w:val="FFFFFF" w:themeColor="background1"/>
                <w:sz w:val="20"/>
                <w:szCs w:val="20"/>
              </w:rPr>
              <w:t>Prazo de entrega</w:t>
            </w:r>
          </w:p>
        </w:tc>
      </w:tr>
      <w:tr w:rsidR="002E4058" w:rsidRPr="0066526D" w:rsidTr="004D1D76">
        <w:trPr>
          <w:cantSplit/>
          <w:trHeight w:val="20"/>
          <w:jc w:val="center"/>
        </w:trPr>
        <w:tc>
          <w:tcPr>
            <w:tcW w:w="4219" w:type="dxa"/>
            <w:vMerge w:val="restart"/>
            <w:tcBorders>
              <w:left w:val="nil"/>
              <w:right w:val="single" w:sz="4" w:space="0" w:color="1F497D"/>
            </w:tcBorders>
            <w:shd w:val="clear" w:color="auto" w:fill="auto"/>
            <w:vAlign w:val="center"/>
          </w:tcPr>
          <w:p w:rsidR="002E4058" w:rsidRPr="0066526D" w:rsidRDefault="002E4058" w:rsidP="00A87269">
            <w:pPr>
              <w:numPr>
                <w:ilvl w:val="0"/>
                <w:numId w:val="30"/>
              </w:numPr>
              <w:spacing w:before="20" w:after="20" w:line="240" w:lineRule="auto"/>
              <w:ind w:left="260" w:hanging="260"/>
              <w:jc w:val="left"/>
              <w:rPr>
                <w:rFonts w:eastAsia="Times New Roman" w:cs="Arial"/>
                <w:bCs/>
                <w:sz w:val="20"/>
                <w:szCs w:val="20"/>
                <w:lang w:eastAsia="pt-BR"/>
              </w:rPr>
            </w:pPr>
            <w:r w:rsidRPr="0066526D">
              <w:rPr>
                <w:rFonts w:eastAsia="Times New Roman" w:cs="Arial"/>
                <w:bCs/>
                <w:sz w:val="20"/>
                <w:szCs w:val="20"/>
                <w:lang w:eastAsia="pt-BR"/>
              </w:rPr>
              <w:t>Atender com serviços de coleta, afastamento e tratamento a 100% dos esgotos produzidos nas áreas urbanizadas</w:t>
            </w:r>
            <w:r w:rsidR="00920093" w:rsidRPr="0066526D">
              <w:rPr>
                <w:rFonts w:eastAsia="Times New Roman" w:cs="Arial"/>
                <w:bCs/>
                <w:sz w:val="20"/>
                <w:szCs w:val="20"/>
                <w:lang w:eastAsia="pt-BR"/>
              </w:rPr>
              <w:t>, rurais e aglomerados</w:t>
            </w:r>
            <w:r w:rsidRPr="0066526D">
              <w:rPr>
                <w:rFonts w:eastAsia="Times New Roman" w:cs="Arial"/>
                <w:bCs/>
                <w:sz w:val="20"/>
                <w:szCs w:val="20"/>
                <w:lang w:eastAsia="pt-BR"/>
              </w:rPr>
              <w:t xml:space="preserve"> do município de Córrego Novo.</w:t>
            </w:r>
          </w:p>
        </w:tc>
        <w:tc>
          <w:tcPr>
            <w:tcW w:w="9636" w:type="dxa"/>
            <w:tcBorders>
              <w:top w:val="single" w:sz="8" w:space="0" w:color="4F81BD"/>
              <w:left w:val="single" w:sz="4" w:space="0" w:color="1F497D"/>
              <w:bottom w:val="dashed" w:sz="4" w:space="0" w:color="auto"/>
              <w:right w:val="single" w:sz="4" w:space="0" w:color="1F497D"/>
            </w:tcBorders>
            <w:shd w:val="clear" w:color="auto" w:fill="auto"/>
            <w:vAlign w:val="center"/>
          </w:tcPr>
          <w:p w:rsidR="002E4058" w:rsidRPr="0066526D" w:rsidRDefault="002E4058" w:rsidP="00095090">
            <w:pPr>
              <w:spacing w:before="20" w:after="20" w:line="240" w:lineRule="auto"/>
              <w:rPr>
                <w:rFonts w:eastAsia="Times New Roman" w:cs="Arial"/>
                <w:bCs/>
                <w:sz w:val="20"/>
                <w:szCs w:val="20"/>
              </w:rPr>
            </w:pPr>
            <w:r w:rsidRPr="0066526D">
              <w:rPr>
                <w:rFonts w:eastAsia="Times New Roman" w:cs="Arial"/>
                <w:sz w:val="20"/>
                <w:szCs w:val="20"/>
              </w:rPr>
              <w:t>1.1. Aumentar o índice de cobertura de coleta e afastamento dos esgotos para 100 % na área urbana.</w:t>
            </w:r>
          </w:p>
        </w:tc>
        <w:tc>
          <w:tcPr>
            <w:tcW w:w="0" w:type="auto"/>
            <w:tcBorders>
              <w:top w:val="single" w:sz="8" w:space="0" w:color="4F81BD"/>
              <w:left w:val="single" w:sz="4" w:space="0" w:color="1F497D"/>
              <w:bottom w:val="dashed" w:sz="4" w:space="0" w:color="auto"/>
              <w:right w:val="nil"/>
            </w:tcBorders>
            <w:shd w:val="clear" w:color="auto" w:fill="auto"/>
            <w:vAlign w:val="center"/>
          </w:tcPr>
          <w:p w:rsidR="002E4058" w:rsidRPr="0066526D" w:rsidRDefault="00C67DEA" w:rsidP="00095090">
            <w:pPr>
              <w:spacing w:before="20" w:after="20" w:line="240" w:lineRule="auto"/>
              <w:jc w:val="center"/>
              <w:rPr>
                <w:rFonts w:eastAsia="Times New Roman" w:cs="Arial"/>
                <w:bCs/>
                <w:sz w:val="20"/>
                <w:szCs w:val="20"/>
              </w:rPr>
            </w:pPr>
            <w:r w:rsidRPr="0066526D">
              <w:rPr>
                <w:rFonts w:eastAsia="Times New Roman" w:cs="Arial"/>
                <w:bCs/>
                <w:sz w:val="20"/>
                <w:szCs w:val="20"/>
              </w:rPr>
              <w:t>Curto</w:t>
            </w:r>
          </w:p>
        </w:tc>
      </w:tr>
      <w:tr w:rsidR="002E4058" w:rsidRPr="0066526D" w:rsidTr="004D1D76">
        <w:trPr>
          <w:cantSplit/>
          <w:trHeight w:val="20"/>
          <w:jc w:val="center"/>
        </w:trPr>
        <w:tc>
          <w:tcPr>
            <w:tcW w:w="4219" w:type="dxa"/>
            <w:vMerge/>
            <w:tcBorders>
              <w:left w:val="nil"/>
              <w:right w:val="single" w:sz="4" w:space="0" w:color="1F497D"/>
            </w:tcBorders>
            <w:shd w:val="clear" w:color="auto" w:fill="auto"/>
            <w:vAlign w:val="center"/>
          </w:tcPr>
          <w:p w:rsidR="002E4058" w:rsidRPr="0066526D" w:rsidRDefault="002E4058" w:rsidP="00095090">
            <w:pPr>
              <w:spacing w:before="20" w:after="20" w:line="240" w:lineRule="auto"/>
              <w:jc w:val="left"/>
              <w:rPr>
                <w:rFonts w:cs="Arial"/>
                <w:bCs/>
                <w:sz w:val="20"/>
                <w:szCs w:val="20"/>
              </w:rPr>
            </w:pPr>
          </w:p>
        </w:tc>
        <w:tc>
          <w:tcPr>
            <w:tcW w:w="9636" w:type="dxa"/>
            <w:tcBorders>
              <w:top w:val="dashed" w:sz="4" w:space="0" w:color="auto"/>
              <w:left w:val="single" w:sz="4" w:space="0" w:color="1F497D"/>
              <w:bottom w:val="single" w:sz="4" w:space="0" w:color="1F497D"/>
              <w:right w:val="single" w:sz="4" w:space="0" w:color="1F497D"/>
            </w:tcBorders>
            <w:shd w:val="clear" w:color="auto" w:fill="auto"/>
            <w:vAlign w:val="center"/>
          </w:tcPr>
          <w:p w:rsidR="002E4058" w:rsidRPr="0066526D" w:rsidRDefault="002E4058" w:rsidP="00095090">
            <w:pPr>
              <w:spacing w:before="20" w:after="20" w:line="240" w:lineRule="auto"/>
              <w:rPr>
                <w:rFonts w:eastAsia="Times New Roman" w:cs="Arial"/>
                <w:sz w:val="20"/>
                <w:szCs w:val="20"/>
              </w:rPr>
            </w:pPr>
            <w:r w:rsidRPr="0066526D">
              <w:rPr>
                <w:rFonts w:eastAsia="Times New Roman" w:cs="Arial"/>
                <w:sz w:val="20"/>
                <w:szCs w:val="20"/>
              </w:rPr>
              <w:t>1.2. Atingir 100 % de tratam</w:t>
            </w:r>
            <w:r w:rsidR="00AB0289" w:rsidRPr="0066526D">
              <w:rPr>
                <w:rFonts w:eastAsia="Times New Roman" w:cs="Arial"/>
                <w:sz w:val="20"/>
                <w:szCs w:val="20"/>
              </w:rPr>
              <w:t>ento dos esgotos na área urbana e rural.</w:t>
            </w:r>
          </w:p>
        </w:tc>
        <w:tc>
          <w:tcPr>
            <w:tcW w:w="0" w:type="auto"/>
            <w:tcBorders>
              <w:top w:val="dashed" w:sz="4" w:space="0" w:color="auto"/>
              <w:left w:val="single" w:sz="4" w:space="0" w:color="1F497D"/>
              <w:bottom w:val="single" w:sz="4" w:space="0" w:color="1F497D"/>
              <w:right w:val="nil"/>
            </w:tcBorders>
            <w:shd w:val="clear" w:color="auto" w:fill="auto"/>
            <w:vAlign w:val="center"/>
          </w:tcPr>
          <w:p w:rsidR="002E4058" w:rsidRPr="0066526D" w:rsidRDefault="002E4058" w:rsidP="00095090">
            <w:pPr>
              <w:spacing w:before="20" w:after="20" w:line="240" w:lineRule="auto"/>
              <w:jc w:val="center"/>
              <w:rPr>
                <w:rFonts w:eastAsia="Times New Roman" w:cs="Arial"/>
                <w:bCs/>
                <w:sz w:val="20"/>
                <w:szCs w:val="20"/>
              </w:rPr>
            </w:pPr>
            <w:r w:rsidRPr="0066526D">
              <w:rPr>
                <w:rFonts w:eastAsia="Times New Roman" w:cs="Arial"/>
                <w:bCs/>
                <w:sz w:val="20"/>
                <w:szCs w:val="20"/>
              </w:rPr>
              <w:t>Curto</w:t>
            </w:r>
          </w:p>
        </w:tc>
      </w:tr>
      <w:tr w:rsidR="002E4058" w:rsidRPr="0066526D" w:rsidTr="004D1D76">
        <w:trPr>
          <w:cantSplit/>
          <w:trHeight w:val="20"/>
          <w:jc w:val="center"/>
        </w:trPr>
        <w:tc>
          <w:tcPr>
            <w:tcW w:w="4219" w:type="dxa"/>
            <w:vMerge w:val="restart"/>
            <w:tcBorders>
              <w:top w:val="single" w:sz="4" w:space="0" w:color="1F497D"/>
              <w:left w:val="nil"/>
              <w:right w:val="single" w:sz="4" w:space="0" w:color="1F497D"/>
            </w:tcBorders>
            <w:shd w:val="clear" w:color="auto" w:fill="auto"/>
            <w:vAlign w:val="center"/>
          </w:tcPr>
          <w:p w:rsidR="002E4058" w:rsidRPr="0066526D" w:rsidRDefault="002E4058" w:rsidP="00A87269">
            <w:pPr>
              <w:numPr>
                <w:ilvl w:val="0"/>
                <w:numId w:val="30"/>
              </w:numPr>
              <w:spacing w:before="20" w:after="20" w:line="240" w:lineRule="auto"/>
              <w:ind w:left="260" w:hanging="260"/>
              <w:jc w:val="left"/>
              <w:rPr>
                <w:rFonts w:eastAsia="Times New Roman" w:cs="Arial"/>
                <w:bCs/>
                <w:sz w:val="20"/>
                <w:szCs w:val="20"/>
                <w:lang w:eastAsia="pt-BR"/>
              </w:rPr>
            </w:pPr>
            <w:r w:rsidRPr="0066526D">
              <w:rPr>
                <w:rFonts w:eastAsia="Times New Roman" w:cs="Arial"/>
                <w:bCs/>
                <w:sz w:val="20"/>
                <w:szCs w:val="20"/>
                <w:lang w:eastAsia="pt-BR"/>
              </w:rPr>
              <w:t>Erradicar sistemas de tratamento de esgotos inadequados e implantar dispositivos de saneamento rural.</w:t>
            </w:r>
          </w:p>
        </w:tc>
        <w:tc>
          <w:tcPr>
            <w:tcW w:w="9636" w:type="dxa"/>
            <w:tcBorders>
              <w:top w:val="single" w:sz="4" w:space="0" w:color="1F497D"/>
              <w:left w:val="single" w:sz="4" w:space="0" w:color="1F497D"/>
              <w:bottom w:val="dashed" w:sz="4" w:space="0" w:color="auto"/>
              <w:right w:val="single" w:sz="4" w:space="0" w:color="1F497D"/>
            </w:tcBorders>
            <w:shd w:val="clear" w:color="auto" w:fill="auto"/>
            <w:vAlign w:val="center"/>
          </w:tcPr>
          <w:p w:rsidR="002E4058" w:rsidRPr="0066526D" w:rsidRDefault="002E4058" w:rsidP="00095090">
            <w:pPr>
              <w:spacing w:before="20" w:after="20" w:line="240" w:lineRule="auto"/>
              <w:rPr>
                <w:rFonts w:cs="Arial"/>
                <w:sz w:val="20"/>
                <w:szCs w:val="20"/>
              </w:rPr>
            </w:pPr>
            <w:r w:rsidRPr="0066526D">
              <w:rPr>
                <w:rFonts w:eastAsia="Times New Roman" w:cs="Arial"/>
                <w:bCs/>
                <w:sz w:val="20"/>
                <w:szCs w:val="20"/>
              </w:rPr>
              <w:t>2.1. Cadastrar todas as fossas (rudimentares e sépticas) existentes no município.</w:t>
            </w:r>
          </w:p>
        </w:tc>
        <w:tc>
          <w:tcPr>
            <w:tcW w:w="0" w:type="auto"/>
            <w:tcBorders>
              <w:top w:val="single" w:sz="4" w:space="0" w:color="1F497D"/>
              <w:left w:val="single" w:sz="4" w:space="0" w:color="1F497D"/>
              <w:bottom w:val="dashed" w:sz="4" w:space="0" w:color="auto"/>
              <w:right w:val="nil"/>
            </w:tcBorders>
            <w:shd w:val="clear" w:color="auto" w:fill="auto"/>
            <w:vAlign w:val="center"/>
          </w:tcPr>
          <w:p w:rsidR="002E4058" w:rsidRPr="0066526D" w:rsidRDefault="002E4058" w:rsidP="00095090">
            <w:pPr>
              <w:spacing w:before="20" w:after="20" w:line="240" w:lineRule="auto"/>
              <w:jc w:val="center"/>
              <w:rPr>
                <w:rFonts w:cs="Arial"/>
                <w:bCs/>
                <w:sz w:val="20"/>
                <w:szCs w:val="20"/>
              </w:rPr>
            </w:pPr>
            <w:r w:rsidRPr="0066526D">
              <w:rPr>
                <w:rFonts w:eastAsia="Times New Roman" w:cs="Arial"/>
                <w:bCs/>
                <w:sz w:val="20"/>
                <w:szCs w:val="20"/>
              </w:rPr>
              <w:t>Imediato</w:t>
            </w:r>
          </w:p>
        </w:tc>
      </w:tr>
      <w:tr w:rsidR="002E4058" w:rsidRPr="0066526D" w:rsidTr="004D1D76">
        <w:trPr>
          <w:cantSplit/>
          <w:trHeight w:val="20"/>
          <w:jc w:val="center"/>
        </w:trPr>
        <w:tc>
          <w:tcPr>
            <w:tcW w:w="4219" w:type="dxa"/>
            <w:vMerge/>
            <w:tcBorders>
              <w:top w:val="single" w:sz="4" w:space="0" w:color="1F497D"/>
              <w:left w:val="nil"/>
              <w:right w:val="single" w:sz="4" w:space="0" w:color="1F497D"/>
            </w:tcBorders>
            <w:shd w:val="clear" w:color="auto" w:fill="auto"/>
            <w:vAlign w:val="center"/>
          </w:tcPr>
          <w:p w:rsidR="002E4058" w:rsidRPr="0066526D" w:rsidRDefault="002E4058" w:rsidP="00A87269">
            <w:pPr>
              <w:numPr>
                <w:ilvl w:val="0"/>
                <w:numId w:val="30"/>
              </w:numPr>
              <w:spacing w:before="20" w:after="20" w:line="240" w:lineRule="auto"/>
              <w:ind w:left="260" w:hanging="260"/>
              <w:jc w:val="left"/>
              <w:rPr>
                <w:rFonts w:eastAsia="Times New Roman" w:cs="Arial"/>
                <w:bCs/>
                <w:sz w:val="20"/>
                <w:szCs w:val="20"/>
                <w:lang w:eastAsia="pt-BR"/>
              </w:rPr>
            </w:pPr>
          </w:p>
        </w:tc>
        <w:tc>
          <w:tcPr>
            <w:tcW w:w="9636" w:type="dxa"/>
            <w:tcBorders>
              <w:top w:val="dashed" w:sz="4" w:space="0" w:color="auto"/>
              <w:left w:val="single" w:sz="4" w:space="0" w:color="1F497D"/>
              <w:bottom w:val="dashed" w:sz="4" w:space="0" w:color="auto"/>
              <w:right w:val="single" w:sz="4" w:space="0" w:color="1F497D"/>
            </w:tcBorders>
            <w:shd w:val="clear" w:color="auto" w:fill="auto"/>
            <w:vAlign w:val="center"/>
          </w:tcPr>
          <w:p w:rsidR="002E4058" w:rsidRPr="0066526D" w:rsidRDefault="002E4058" w:rsidP="00095090">
            <w:pPr>
              <w:spacing w:before="20" w:after="20" w:line="240" w:lineRule="auto"/>
              <w:rPr>
                <w:rFonts w:cs="Arial"/>
                <w:bCs/>
                <w:sz w:val="20"/>
                <w:szCs w:val="20"/>
              </w:rPr>
            </w:pPr>
            <w:r w:rsidRPr="0066526D">
              <w:rPr>
                <w:rFonts w:eastAsia="Times New Roman" w:cs="Arial"/>
                <w:bCs/>
                <w:sz w:val="20"/>
                <w:szCs w:val="20"/>
              </w:rPr>
              <w:t xml:space="preserve">2.2. Desativar os sistemas de tratamento de esgotos rurais inadequados e lançamentos </w:t>
            </w:r>
            <w:r w:rsidRPr="0066526D">
              <w:rPr>
                <w:rFonts w:eastAsia="Times New Roman" w:cs="Arial"/>
                <w:bCs/>
                <w:i/>
                <w:sz w:val="20"/>
                <w:szCs w:val="20"/>
              </w:rPr>
              <w:t>in natura</w:t>
            </w:r>
            <w:r w:rsidRPr="0066526D">
              <w:rPr>
                <w:rFonts w:eastAsia="Times New Roman" w:cs="Arial"/>
                <w:bCs/>
                <w:sz w:val="20"/>
                <w:szCs w:val="20"/>
              </w:rPr>
              <w:t xml:space="preserve"> dos esgotos.</w:t>
            </w:r>
          </w:p>
        </w:tc>
        <w:tc>
          <w:tcPr>
            <w:tcW w:w="0" w:type="auto"/>
            <w:tcBorders>
              <w:top w:val="dashed" w:sz="4" w:space="0" w:color="auto"/>
              <w:left w:val="single" w:sz="4" w:space="0" w:color="1F497D"/>
              <w:bottom w:val="dashed" w:sz="4" w:space="0" w:color="auto"/>
              <w:right w:val="nil"/>
            </w:tcBorders>
            <w:shd w:val="clear" w:color="auto" w:fill="auto"/>
            <w:vAlign w:val="center"/>
          </w:tcPr>
          <w:p w:rsidR="002E4058" w:rsidRPr="0066526D" w:rsidRDefault="00C67DEA" w:rsidP="00095090">
            <w:pPr>
              <w:spacing w:before="20" w:after="20" w:line="240" w:lineRule="auto"/>
              <w:jc w:val="center"/>
              <w:rPr>
                <w:rFonts w:cs="Arial"/>
                <w:bCs/>
                <w:sz w:val="20"/>
                <w:szCs w:val="20"/>
              </w:rPr>
            </w:pPr>
            <w:r w:rsidRPr="0066526D">
              <w:rPr>
                <w:rFonts w:eastAsia="Times New Roman" w:cs="Arial"/>
                <w:bCs/>
                <w:sz w:val="20"/>
                <w:szCs w:val="20"/>
              </w:rPr>
              <w:t>Médio</w:t>
            </w:r>
          </w:p>
        </w:tc>
      </w:tr>
      <w:tr w:rsidR="002E4058" w:rsidRPr="0066526D" w:rsidTr="004D1D76">
        <w:trPr>
          <w:cantSplit/>
          <w:trHeight w:val="20"/>
          <w:jc w:val="center"/>
        </w:trPr>
        <w:tc>
          <w:tcPr>
            <w:tcW w:w="4219" w:type="dxa"/>
            <w:vMerge/>
            <w:tcBorders>
              <w:left w:val="nil"/>
              <w:right w:val="single" w:sz="4" w:space="0" w:color="1F497D"/>
            </w:tcBorders>
            <w:shd w:val="clear" w:color="auto" w:fill="auto"/>
            <w:vAlign w:val="center"/>
          </w:tcPr>
          <w:p w:rsidR="002E4058" w:rsidRPr="0066526D" w:rsidRDefault="002E4058" w:rsidP="00A87269">
            <w:pPr>
              <w:numPr>
                <w:ilvl w:val="0"/>
                <w:numId w:val="30"/>
              </w:numPr>
              <w:spacing w:before="20" w:after="20" w:line="240" w:lineRule="auto"/>
              <w:ind w:left="260" w:hanging="260"/>
              <w:jc w:val="left"/>
              <w:rPr>
                <w:rFonts w:eastAsia="Times New Roman" w:cs="Arial"/>
                <w:bCs/>
                <w:sz w:val="20"/>
                <w:szCs w:val="20"/>
                <w:lang w:eastAsia="pt-BR"/>
              </w:rPr>
            </w:pPr>
          </w:p>
        </w:tc>
        <w:tc>
          <w:tcPr>
            <w:tcW w:w="9636" w:type="dxa"/>
            <w:tcBorders>
              <w:top w:val="dashed" w:sz="4" w:space="0" w:color="auto"/>
              <w:left w:val="single" w:sz="4" w:space="0" w:color="1F497D"/>
              <w:bottom w:val="dashed" w:sz="4" w:space="0" w:color="1F497D"/>
              <w:right w:val="single" w:sz="4" w:space="0" w:color="1F497D"/>
            </w:tcBorders>
            <w:shd w:val="clear" w:color="auto" w:fill="auto"/>
            <w:vAlign w:val="center"/>
          </w:tcPr>
          <w:p w:rsidR="002E4058" w:rsidRPr="0066526D" w:rsidRDefault="002E4058" w:rsidP="00095090">
            <w:pPr>
              <w:spacing w:before="20" w:after="20" w:line="240" w:lineRule="auto"/>
              <w:rPr>
                <w:rFonts w:cs="Arial"/>
                <w:sz w:val="20"/>
                <w:szCs w:val="20"/>
              </w:rPr>
            </w:pPr>
            <w:r w:rsidRPr="0066526D">
              <w:rPr>
                <w:rFonts w:eastAsia="Times New Roman" w:cs="Arial"/>
                <w:bCs/>
                <w:sz w:val="20"/>
                <w:szCs w:val="20"/>
              </w:rPr>
              <w:t>2.3. Implantar sistemas de tratamento adequados para atender às comunidades rurais.</w:t>
            </w:r>
          </w:p>
        </w:tc>
        <w:tc>
          <w:tcPr>
            <w:tcW w:w="0" w:type="auto"/>
            <w:tcBorders>
              <w:top w:val="dashed" w:sz="4" w:space="0" w:color="auto"/>
              <w:left w:val="single" w:sz="4" w:space="0" w:color="1F497D"/>
              <w:bottom w:val="dashed" w:sz="4" w:space="0" w:color="1F497D"/>
              <w:right w:val="nil"/>
            </w:tcBorders>
            <w:shd w:val="clear" w:color="auto" w:fill="auto"/>
            <w:vAlign w:val="center"/>
          </w:tcPr>
          <w:p w:rsidR="002E4058" w:rsidRPr="0066526D" w:rsidRDefault="00C67DEA" w:rsidP="00095090">
            <w:pPr>
              <w:spacing w:before="20" w:after="20" w:line="240" w:lineRule="auto"/>
              <w:jc w:val="center"/>
              <w:rPr>
                <w:rFonts w:cs="Arial"/>
                <w:bCs/>
                <w:sz w:val="20"/>
                <w:szCs w:val="20"/>
              </w:rPr>
            </w:pPr>
            <w:r w:rsidRPr="0066526D">
              <w:rPr>
                <w:rFonts w:eastAsia="Times New Roman" w:cs="Arial"/>
                <w:bCs/>
                <w:sz w:val="20"/>
                <w:szCs w:val="20"/>
              </w:rPr>
              <w:t>Médio</w:t>
            </w:r>
          </w:p>
        </w:tc>
      </w:tr>
      <w:tr w:rsidR="002E4058" w:rsidRPr="0066526D" w:rsidTr="004D1D76">
        <w:trPr>
          <w:cantSplit/>
          <w:trHeight w:val="20"/>
          <w:jc w:val="center"/>
        </w:trPr>
        <w:tc>
          <w:tcPr>
            <w:tcW w:w="4219" w:type="dxa"/>
            <w:vMerge w:val="restart"/>
            <w:tcBorders>
              <w:top w:val="single" w:sz="4" w:space="0" w:color="1F497D"/>
              <w:left w:val="nil"/>
              <w:right w:val="single" w:sz="4" w:space="0" w:color="1F497D"/>
            </w:tcBorders>
            <w:shd w:val="clear" w:color="auto" w:fill="auto"/>
            <w:vAlign w:val="center"/>
          </w:tcPr>
          <w:p w:rsidR="002E4058" w:rsidRPr="0066526D" w:rsidRDefault="002E4058" w:rsidP="00A87269">
            <w:pPr>
              <w:numPr>
                <w:ilvl w:val="0"/>
                <w:numId w:val="30"/>
              </w:numPr>
              <w:spacing w:before="20" w:after="20" w:line="240" w:lineRule="auto"/>
              <w:jc w:val="left"/>
              <w:rPr>
                <w:rFonts w:eastAsia="Times New Roman" w:cs="Arial"/>
                <w:bCs/>
                <w:sz w:val="20"/>
                <w:szCs w:val="20"/>
                <w:lang w:eastAsia="pt-BR"/>
              </w:rPr>
            </w:pPr>
            <w:r w:rsidRPr="0066526D">
              <w:rPr>
                <w:rFonts w:eastAsia="Times New Roman" w:cs="Arial"/>
                <w:bCs/>
                <w:sz w:val="20"/>
                <w:szCs w:val="20"/>
                <w:lang w:eastAsia="pt-BR"/>
              </w:rPr>
              <w:t>Implementar, para o SES, uma gestão eficiente no que se refere aos aspectos administrativos, operacionais, financeiros, de planejamento estratégico e de sustentabilidade, além de definir instrumentos legais que garantam a regulação do mesmo e a observação das diretrizes aprovadas no presente PMSB.</w:t>
            </w:r>
          </w:p>
        </w:tc>
        <w:tc>
          <w:tcPr>
            <w:tcW w:w="9636" w:type="dxa"/>
            <w:tcBorders>
              <w:top w:val="single" w:sz="4" w:space="0" w:color="1F497D"/>
              <w:left w:val="single" w:sz="4" w:space="0" w:color="1F497D"/>
              <w:bottom w:val="dashed" w:sz="4" w:space="0" w:color="auto"/>
              <w:right w:val="single" w:sz="4" w:space="0" w:color="1F497D"/>
            </w:tcBorders>
            <w:shd w:val="clear" w:color="auto" w:fill="auto"/>
            <w:vAlign w:val="center"/>
          </w:tcPr>
          <w:p w:rsidR="002E4058" w:rsidRPr="0066526D" w:rsidRDefault="002E4058" w:rsidP="00095090">
            <w:pPr>
              <w:spacing w:before="20" w:after="20" w:line="240" w:lineRule="auto"/>
              <w:rPr>
                <w:rFonts w:cs="Arial"/>
                <w:b/>
                <w:bCs/>
                <w:sz w:val="20"/>
                <w:szCs w:val="20"/>
              </w:rPr>
            </w:pPr>
            <w:r w:rsidRPr="0066526D">
              <w:rPr>
                <w:rFonts w:eastAsia="Times New Roman" w:cs="Arial"/>
                <w:sz w:val="20"/>
                <w:szCs w:val="20"/>
                <w:lang w:eastAsia="pt-BR"/>
              </w:rPr>
              <w:t>3.1. Fazer a adequação do sistema gerencial do SES por meio do planejamento estratégico e da sistematização e interação das atividades de operação, ampliação e modernização da infraestrutura e da gestão político-institucional e financeira do setor.</w:t>
            </w:r>
          </w:p>
        </w:tc>
        <w:tc>
          <w:tcPr>
            <w:tcW w:w="0" w:type="auto"/>
            <w:tcBorders>
              <w:top w:val="single" w:sz="4" w:space="0" w:color="1F497D"/>
              <w:left w:val="single" w:sz="4" w:space="0" w:color="1F497D"/>
              <w:bottom w:val="dashed" w:sz="4" w:space="0" w:color="auto"/>
              <w:right w:val="nil"/>
            </w:tcBorders>
            <w:shd w:val="clear" w:color="auto" w:fill="auto"/>
            <w:vAlign w:val="center"/>
          </w:tcPr>
          <w:p w:rsidR="002E4058" w:rsidRPr="0066526D" w:rsidRDefault="002E4058" w:rsidP="00095090">
            <w:pPr>
              <w:spacing w:before="20" w:after="20" w:line="240" w:lineRule="auto"/>
              <w:jc w:val="center"/>
              <w:rPr>
                <w:rFonts w:cs="Arial"/>
                <w:b/>
                <w:bCs/>
                <w:sz w:val="20"/>
                <w:szCs w:val="20"/>
              </w:rPr>
            </w:pPr>
            <w:r w:rsidRPr="0066526D">
              <w:rPr>
                <w:rFonts w:cs="Arial"/>
                <w:sz w:val="20"/>
                <w:szCs w:val="20"/>
              </w:rPr>
              <w:t>Imediato</w:t>
            </w:r>
          </w:p>
        </w:tc>
      </w:tr>
      <w:tr w:rsidR="002E4058" w:rsidRPr="0066526D" w:rsidTr="004D1D76">
        <w:trPr>
          <w:cantSplit/>
          <w:trHeight w:val="20"/>
          <w:jc w:val="center"/>
        </w:trPr>
        <w:tc>
          <w:tcPr>
            <w:tcW w:w="4219" w:type="dxa"/>
            <w:vMerge/>
            <w:tcBorders>
              <w:left w:val="nil"/>
              <w:right w:val="single" w:sz="4" w:space="0" w:color="1F497D"/>
            </w:tcBorders>
            <w:shd w:val="clear" w:color="auto" w:fill="auto"/>
            <w:vAlign w:val="center"/>
          </w:tcPr>
          <w:p w:rsidR="002E4058" w:rsidRPr="0066526D" w:rsidRDefault="002E4058" w:rsidP="00A87269">
            <w:pPr>
              <w:numPr>
                <w:ilvl w:val="0"/>
                <w:numId w:val="32"/>
              </w:numPr>
              <w:spacing w:before="20" w:after="20" w:line="240" w:lineRule="auto"/>
              <w:ind w:left="260" w:hanging="260"/>
              <w:jc w:val="left"/>
              <w:rPr>
                <w:rFonts w:eastAsia="Times New Roman" w:cs="Arial"/>
                <w:bCs/>
                <w:sz w:val="20"/>
                <w:szCs w:val="20"/>
                <w:lang w:eastAsia="pt-BR"/>
              </w:rPr>
            </w:pPr>
          </w:p>
        </w:tc>
        <w:tc>
          <w:tcPr>
            <w:tcW w:w="9636" w:type="dxa"/>
            <w:tcBorders>
              <w:top w:val="dashed" w:sz="4" w:space="0" w:color="auto"/>
              <w:left w:val="single" w:sz="4" w:space="0" w:color="1F497D"/>
              <w:bottom w:val="dashed" w:sz="4" w:space="0" w:color="auto"/>
              <w:right w:val="single" w:sz="4" w:space="0" w:color="1F497D"/>
            </w:tcBorders>
            <w:shd w:val="clear" w:color="auto" w:fill="auto"/>
            <w:vAlign w:val="center"/>
          </w:tcPr>
          <w:p w:rsidR="002E4058" w:rsidRPr="0066526D" w:rsidRDefault="002E4058" w:rsidP="00AB0289">
            <w:pPr>
              <w:spacing w:before="20" w:after="20" w:line="240" w:lineRule="auto"/>
              <w:rPr>
                <w:rFonts w:cs="Arial"/>
                <w:sz w:val="20"/>
                <w:szCs w:val="20"/>
              </w:rPr>
            </w:pPr>
            <w:r w:rsidRPr="0066526D">
              <w:rPr>
                <w:rFonts w:eastAsia="Times New Roman" w:cs="Arial"/>
                <w:sz w:val="20"/>
                <w:szCs w:val="20"/>
                <w:lang w:eastAsia="pt-BR"/>
              </w:rPr>
              <w:t>3.2. Implantar a ETE com instruções em manuais de operação e operá-las adequadamente para que atendam às legislações ambientais vigentes.</w:t>
            </w:r>
          </w:p>
        </w:tc>
        <w:tc>
          <w:tcPr>
            <w:tcW w:w="0" w:type="auto"/>
            <w:tcBorders>
              <w:top w:val="dashed" w:sz="4" w:space="0" w:color="auto"/>
              <w:left w:val="single" w:sz="4" w:space="0" w:color="1F497D"/>
              <w:bottom w:val="dashed" w:sz="4" w:space="0" w:color="auto"/>
              <w:right w:val="nil"/>
            </w:tcBorders>
            <w:shd w:val="clear" w:color="auto" w:fill="auto"/>
            <w:vAlign w:val="center"/>
          </w:tcPr>
          <w:p w:rsidR="002E4058" w:rsidRPr="0066526D" w:rsidRDefault="00C67DEA" w:rsidP="00095090">
            <w:pPr>
              <w:spacing w:before="20" w:after="20" w:line="240" w:lineRule="auto"/>
              <w:jc w:val="center"/>
              <w:rPr>
                <w:rFonts w:cs="Arial"/>
                <w:bCs/>
                <w:sz w:val="20"/>
                <w:szCs w:val="20"/>
              </w:rPr>
            </w:pPr>
            <w:r w:rsidRPr="0066526D">
              <w:rPr>
                <w:rFonts w:eastAsia="Times New Roman" w:cs="Arial"/>
                <w:bCs/>
                <w:sz w:val="20"/>
                <w:szCs w:val="20"/>
              </w:rPr>
              <w:t>Curto</w:t>
            </w:r>
          </w:p>
        </w:tc>
      </w:tr>
      <w:tr w:rsidR="002E4058" w:rsidRPr="0066526D" w:rsidTr="004D1D76">
        <w:trPr>
          <w:cantSplit/>
          <w:trHeight w:val="20"/>
          <w:jc w:val="center"/>
        </w:trPr>
        <w:tc>
          <w:tcPr>
            <w:tcW w:w="4219" w:type="dxa"/>
            <w:vMerge/>
            <w:tcBorders>
              <w:left w:val="nil"/>
              <w:right w:val="single" w:sz="4" w:space="0" w:color="1F497D"/>
            </w:tcBorders>
            <w:shd w:val="clear" w:color="auto" w:fill="auto"/>
            <w:vAlign w:val="center"/>
          </w:tcPr>
          <w:p w:rsidR="002E4058" w:rsidRPr="0066526D" w:rsidRDefault="002E4058" w:rsidP="00A87269">
            <w:pPr>
              <w:numPr>
                <w:ilvl w:val="0"/>
                <w:numId w:val="32"/>
              </w:numPr>
              <w:spacing w:before="20" w:after="20" w:line="240" w:lineRule="auto"/>
              <w:ind w:left="260" w:hanging="260"/>
              <w:jc w:val="left"/>
              <w:rPr>
                <w:rFonts w:eastAsia="Times New Roman" w:cs="Arial"/>
                <w:bCs/>
                <w:sz w:val="20"/>
                <w:szCs w:val="20"/>
                <w:lang w:eastAsia="pt-BR"/>
              </w:rPr>
            </w:pPr>
          </w:p>
        </w:tc>
        <w:tc>
          <w:tcPr>
            <w:tcW w:w="9636" w:type="dxa"/>
            <w:tcBorders>
              <w:top w:val="dashed" w:sz="4" w:space="0" w:color="auto"/>
              <w:left w:val="single" w:sz="4" w:space="0" w:color="1F497D"/>
              <w:bottom w:val="dashed" w:sz="4" w:space="0" w:color="1F497D"/>
              <w:right w:val="single" w:sz="4" w:space="0" w:color="1F497D"/>
            </w:tcBorders>
            <w:shd w:val="clear" w:color="auto" w:fill="auto"/>
            <w:vAlign w:val="center"/>
          </w:tcPr>
          <w:p w:rsidR="002E4058" w:rsidRPr="0066526D" w:rsidRDefault="002E4058" w:rsidP="00095090">
            <w:pPr>
              <w:spacing w:before="20" w:after="20" w:line="240" w:lineRule="auto"/>
              <w:rPr>
                <w:rFonts w:cs="Arial"/>
                <w:bCs/>
                <w:sz w:val="20"/>
                <w:szCs w:val="20"/>
              </w:rPr>
            </w:pPr>
            <w:r w:rsidRPr="0066526D">
              <w:rPr>
                <w:rFonts w:eastAsia="Times New Roman" w:cs="Arial"/>
                <w:sz w:val="20"/>
                <w:szCs w:val="20"/>
                <w:lang w:eastAsia="pt-BR"/>
              </w:rPr>
              <w:t>3.3. Alcançar um desempenho financeiro satisfatório.</w:t>
            </w:r>
          </w:p>
        </w:tc>
        <w:tc>
          <w:tcPr>
            <w:tcW w:w="0" w:type="auto"/>
            <w:tcBorders>
              <w:top w:val="dashed" w:sz="4" w:space="0" w:color="auto"/>
              <w:left w:val="single" w:sz="4" w:space="0" w:color="1F497D"/>
              <w:bottom w:val="dashed" w:sz="4" w:space="0" w:color="1F497D"/>
              <w:right w:val="nil"/>
            </w:tcBorders>
            <w:shd w:val="clear" w:color="auto" w:fill="auto"/>
            <w:vAlign w:val="center"/>
          </w:tcPr>
          <w:p w:rsidR="002E4058" w:rsidRPr="0066526D" w:rsidRDefault="002E4058" w:rsidP="00095090">
            <w:pPr>
              <w:spacing w:before="20" w:after="20" w:line="240" w:lineRule="auto"/>
              <w:jc w:val="center"/>
              <w:rPr>
                <w:rFonts w:cs="Arial"/>
                <w:bCs/>
                <w:sz w:val="20"/>
                <w:szCs w:val="20"/>
              </w:rPr>
            </w:pPr>
            <w:r w:rsidRPr="0066526D">
              <w:rPr>
                <w:rFonts w:eastAsia="Times New Roman" w:cs="Arial"/>
                <w:bCs/>
                <w:sz w:val="20"/>
                <w:szCs w:val="20"/>
              </w:rPr>
              <w:t>Longo</w:t>
            </w:r>
          </w:p>
        </w:tc>
      </w:tr>
      <w:tr w:rsidR="002E4058" w:rsidRPr="0066526D" w:rsidTr="004D1D76">
        <w:trPr>
          <w:cantSplit/>
          <w:trHeight w:val="20"/>
          <w:jc w:val="center"/>
        </w:trPr>
        <w:tc>
          <w:tcPr>
            <w:tcW w:w="4219" w:type="dxa"/>
            <w:vMerge/>
            <w:tcBorders>
              <w:left w:val="nil"/>
              <w:right w:val="single" w:sz="4" w:space="0" w:color="1F497D"/>
            </w:tcBorders>
            <w:shd w:val="clear" w:color="auto" w:fill="auto"/>
            <w:vAlign w:val="center"/>
          </w:tcPr>
          <w:p w:rsidR="002E4058" w:rsidRPr="0066526D" w:rsidRDefault="002E4058" w:rsidP="00A87269">
            <w:pPr>
              <w:numPr>
                <w:ilvl w:val="0"/>
                <w:numId w:val="32"/>
              </w:numPr>
              <w:spacing w:before="20" w:after="20" w:line="240" w:lineRule="auto"/>
              <w:ind w:left="260" w:hanging="260"/>
              <w:jc w:val="left"/>
              <w:rPr>
                <w:rFonts w:eastAsia="Times New Roman" w:cs="Arial"/>
                <w:bCs/>
                <w:sz w:val="20"/>
                <w:szCs w:val="20"/>
                <w:lang w:eastAsia="pt-BR"/>
              </w:rPr>
            </w:pPr>
          </w:p>
        </w:tc>
        <w:tc>
          <w:tcPr>
            <w:tcW w:w="9636" w:type="dxa"/>
            <w:tcBorders>
              <w:top w:val="dashed" w:sz="4" w:space="0" w:color="auto"/>
              <w:left w:val="single" w:sz="4" w:space="0" w:color="1F497D"/>
              <w:bottom w:val="single" w:sz="4" w:space="0" w:color="1F497D"/>
              <w:right w:val="single" w:sz="4" w:space="0" w:color="1F497D"/>
            </w:tcBorders>
            <w:shd w:val="clear" w:color="auto" w:fill="auto"/>
            <w:vAlign w:val="center"/>
          </w:tcPr>
          <w:p w:rsidR="002E4058" w:rsidRPr="0066526D" w:rsidRDefault="002E4058" w:rsidP="00095090">
            <w:pPr>
              <w:spacing w:before="20" w:after="20" w:line="240" w:lineRule="auto"/>
              <w:rPr>
                <w:rFonts w:cs="Arial"/>
                <w:sz w:val="20"/>
                <w:szCs w:val="20"/>
              </w:rPr>
            </w:pPr>
            <w:r w:rsidRPr="0066526D">
              <w:rPr>
                <w:rFonts w:eastAsia="Times New Roman" w:cs="Arial"/>
                <w:sz w:val="20"/>
                <w:szCs w:val="20"/>
                <w:lang w:eastAsia="pt-BR"/>
              </w:rPr>
              <w:t>3.4. Ter um sistema de informações sobre o SES sempre atualizado.</w:t>
            </w:r>
          </w:p>
        </w:tc>
        <w:tc>
          <w:tcPr>
            <w:tcW w:w="0" w:type="auto"/>
            <w:tcBorders>
              <w:top w:val="dashed" w:sz="4" w:space="0" w:color="auto"/>
              <w:left w:val="single" w:sz="4" w:space="0" w:color="1F497D"/>
              <w:bottom w:val="single" w:sz="4" w:space="0" w:color="1F497D"/>
              <w:right w:val="nil"/>
            </w:tcBorders>
            <w:shd w:val="clear" w:color="auto" w:fill="auto"/>
            <w:vAlign w:val="center"/>
          </w:tcPr>
          <w:p w:rsidR="002E4058" w:rsidRPr="0066526D" w:rsidRDefault="002E4058" w:rsidP="00095090">
            <w:pPr>
              <w:spacing w:before="20" w:after="20" w:line="240" w:lineRule="auto"/>
              <w:jc w:val="center"/>
              <w:rPr>
                <w:rFonts w:cs="Arial"/>
                <w:bCs/>
                <w:sz w:val="20"/>
                <w:szCs w:val="20"/>
              </w:rPr>
            </w:pPr>
            <w:r w:rsidRPr="0066526D">
              <w:rPr>
                <w:rFonts w:eastAsia="Times New Roman" w:cs="Arial"/>
                <w:bCs/>
                <w:sz w:val="20"/>
                <w:szCs w:val="20"/>
              </w:rPr>
              <w:t>Longo</w:t>
            </w:r>
          </w:p>
        </w:tc>
      </w:tr>
      <w:tr w:rsidR="00BB3C0A" w:rsidRPr="0066526D" w:rsidTr="004D1D76">
        <w:trPr>
          <w:cantSplit/>
          <w:trHeight w:val="20"/>
          <w:jc w:val="center"/>
        </w:trPr>
        <w:tc>
          <w:tcPr>
            <w:tcW w:w="4219" w:type="dxa"/>
            <w:vMerge w:val="restart"/>
            <w:tcBorders>
              <w:top w:val="single" w:sz="4" w:space="0" w:color="1F497D"/>
              <w:left w:val="nil"/>
              <w:right w:val="single" w:sz="4" w:space="0" w:color="1F497D"/>
            </w:tcBorders>
            <w:shd w:val="clear" w:color="auto" w:fill="auto"/>
            <w:vAlign w:val="center"/>
          </w:tcPr>
          <w:p w:rsidR="00BB3C0A" w:rsidRPr="0066526D" w:rsidRDefault="00BB3C0A" w:rsidP="00A87269">
            <w:pPr>
              <w:numPr>
                <w:ilvl w:val="0"/>
                <w:numId w:val="30"/>
              </w:numPr>
              <w:spacing w:before="20" w:after="20" w:line="240" w:lineRule="auto"/>
              <w:ind w:left="260" w:hanging="260"/>
              <w:jc w:val="left"/>
              <w:rPr>
                <w:rFonts w:eastAsia="Times New Roman" w:cs="Arial"/>
                <w:bCs/>
                <w:sz w:val="20"/>
                <w:szCs w:val="20"/>
                <w:lang w:eastAsia="pt-BR"/>
              </w:rPr>
            </w:pPr>
            <w:r w:rsidRPr="0066526D">
              <w:rPr>
                <w:rFonts w:eastAsia="Times New Roman" w:cs="Arial"/>
                <w:bCs/>
                <w:sz w:val="20"/>
                <w:szCs w:val="20"/>
                <w:lang w:eastAsia="pt-BR"/>
              </w:rPr>
              <w:t>Adequar todo o sistema de esgotamento sanitário de Córrego Novo de forma a atender à legislação ambiental vigente.</w:t>
            </w:r>
          </w:p>
        </w:tc>
        <w:tc>
          <w:tcPr>
            <w:tcW w:w="9636" w:type="dxa"/>
            <w:tcBorders>
              <w:top w:val="single" w:sz="4" w:space="0" w:color="1F497D"/>
              <w:left w:val="single" w:sz="4" w:space="0" w:color="1F497D"/>
              <w:bottom w:val="dashSmallGap" w:sz="4" w:space="0" w:color="1F497D" w:themeColor="text2"/>
              <w:right w:val="single" w:sz="4" w:space="0" w:color="1F497D"/>
            </w:tcBorders>
            <w:shd w:val="clear" w:color="auto" w:fill="auto"/>
            <w:vAlign w:val="center"/>
          </w:tcPr>
          <w:p w:rsidR="00BB3C0A" w:rsidRPr="0066526D" w:rsidRDefault="00BB3C0A" w:rsidP="00095090">
            <w:pPr>
              <w:spacing w:before="20" w:after="20" w:line="240" w:lineRule="auto"/>
              <w:rPr>
                <w:rFonts w:eastAsia="Times New Roman" w:cs="Arial"/>
                <w:sz w:val="20"/>
                <w:szCs w:val="20"/>
              </w:rPr>
            </w:pPr>
            <w:r w:rsidRPr="0066526D">
              <w:rPr>
                <w:rFonts w:eastAsia="Times New Roman" w:cs="Arial"/>
                <w:sz w:val="20"/>
                <w:szCs w:val="20"/>
                <w:lang w:eastAsia="pt-BR"/>
              </w:rPr>
              <w:t>4.1. Ter todas as outorgas e licenças ambientais da infraestrutura existente relacionadas ao esgotamento sanitário regularizadas.</w:t>
            </w:r>
          </w:p>
        </w:tc>
        <w:tc>
          <w:tcPr>
            <w:tcW w:w="0" w:type="auto"/>
            <w:tcBorders>
              <w:top w:val="single" w:sz="4" w:space="0" w:color="1F497D"/>
              <w:left w:val="single" w:sz="4" w:space="0" w:color="1F497D"/>
              <w:bottom w:val="dashSmallGap" w:sz="4" w:space="0" w:color="1F497D" w:themeColor="text2"/>
              <w:right w:val="nil"/>
            </w:tcBorders>
            <w:shd w:val="clear" w:color="auto" w:fill="auto"/>
            <w:vAlign w:val="center"/>
          </w:tcPr>
          <w:p w:rsidR="00BB3C0A" w:rsidRPr="0066526D" w:rsidRDefault="00BB3C0A" w:rsidP="00095090">
            <w:pPr>
              <w:spacing w:before="20" w:after="20" w:line="240" w:lineRule="auto"/>
              <w:jc w:val="center"/>
              <w:rPr>
                <w:rFonts w:eastAsia="Times New Roman" w:cs="Arial"/>
                <w:bCs/>
                <w:sz w:val="20"/>
                <w:szCs w:val="20"/>
              </w:rPr>
            </w:pPr>
            <w:r w:rsidRPr="0066526D">
              <w:rPr>
                <w:rFonts w:eastAsia="Times New Roman" w:cs="Arial"/>
                <w:bCs/>
                <w:sz w:val="20"/>
                <w:szCs w:val="20"/>
              </w:rPr>
              <w:t>Curto</w:t>
            </w:r>
          </w:p>
        </w:tc>
      </w:tr>
      <w:tr w:rsidR="00BB3C0A" w:rsidRPr="0066526D" w:rsidTr="004D1D76">
        <w:trPr>
          <w:cantSplit/>
          <w:trHeight w:val="20"/>
          <w:jc w:val="center"/>
        </w:trPr>
        <w:tc>
          <w:tcPr>
            <w:tcW w:w="4219" w:type="dxa"/>
            <w:vMerge/>
            <w:tcBorders>
              <w:left w:val="nil"/>
              <w:right w:val="single" w:sz="4" w:space="0" w:color="1F497D"/>
            </w:tcBorders>
            <w:shd w:val="clear" w:color="auto" w:fill="auto"/>
            <w:vAlign w:val="center"/>
          </w:tcPr>
          <w:p w:rsidR="00BB3C0A" w:rsidRPr="0066526D" w:rsidRDefault="00BB3C0A" w:rsidP="00A87269">
            <w:pPr>
              <w:numPr>
                <w:ilvl w:val="0"/>
                <w:numId w:val="32"/>
              </w:numPr>
              <w:spacing w:before="20" w:after="20" w:line="240" w:lineRule="auto"/>
              <w:ind w:left="260" w:hanging="260"/>
              <w:jc w:val="left"/>
              <w:rPr>
                <w:rFonts w:eastAsia="Times New Roman" w:cs="Arial"/>
                <w:bCs/>
                <w:sz w:val="20"/>
                <w:szCs w:val="20"/>
                <w:lang w:eastAsia="pt-BR"/>
              </w:rPr>
            </w:pPr>
          </w:p>
        </w:tc>
        <w:tc>
          <w:tcPr>
            <w:tcW w:w="9636" w:type="dxa"/>
            <w:tcBorders>
              <w:top w:val="dashSmallGap" w:sz="4" w:space="0" w:color="1F497D" w:themeColor="text2"/>
              <w:left w:val="single" w:sz="4" w:space="0" w:color="1F497D"/>
              <w:bottom w:val="single" w:sz="4" w:space="0" w:color="1F497D"/>
              <w:right w:val="single" w:sz="4" w:space="0" w:color="1F497D"/>
            </w:tcBorders>
            <w:shd w:val="clear" w:color="auto" w:fill="auto"/>
            <w:vAlign w:val="center"/>
          </w:tcPr>
          <w:p w:rsidR="00BB3C0A" w:rsidRPr="0066526D" w:rsidRDefault="00BB3C0A" w:rsidP="00095090">
            <w:pPr>
              <w:spacing w:before="20" w:after="20" w:line="240" w:lineRule="auto"/>
              <w:rPr>
                <w:rFonts w:eastAsia="Times New Roman" w:cs="Arial"/>
                <w:sz w:val="20"/>
                <w:szCs w:val="20"/>
              </w:rPr>
            </w:pPr>
            <w:r w:rsidRPr="0066526D">
              <w:rPr>
                <w:rFonts w:eastAsia="Times New Roman" w:cs="Arial"/>
                <w:sz w:val="20"/>
                <w:szCs w:val="20"/>
              </w:rPr>
              <w:t xml:space="preserve">4.2. </w:t>
            </w:r>
            <w:r w:rsidRPr="0066526D">
              <w:rPr>
                <w:rFonts w:eastAsia="Times New Roman" w:cs="Arial"/>
                <w:sz w:val="20"/>
                <w:szCs w:val="20"/>
                <w:lang w:eastAsia="pt-BR"/>
              </w:rPr>
              <w:t>Ter todas as unidades passíveis de licenciamento e outorgas regularizadas e com acompanhamento do prazo de validade das licenças.</w:t>
            </w:r>
          </w:p>
        </w:tc>
        <w:tc>
          <w:tcPr>
            <w:tcW w:w="0" w:type="auto"/>
            <w:tcBorders>
              <w:top w:val="dashSmallGap" w:sz="4" w:space="0" w:color="1F497D" w:themeColor="text2"/>
              <w:left w:val="single" w:sz="4" w:space="0" w:color="1F497D"/>
              <w:bottom w:val="single" w:sz="4" w:space="0" w:color="1F497D"/>
              <w:right w:val="nil"/>
            </w:tcBorders>
            <w:shd w:val="clear" w:color="auto" w:fill="auto"/>
            <w:vAlign w:val="center"/>
          </w:tcPr>
          <w:p w:rsidR="00BB3C0A" w:rsidRPr="0066526D" w:rsidRDefault="00BB3C0A" w:rsidP="00095090">
            <w:pPr>
              <w:spacing w:before="20" w:after="20" w:line="240" w:lineRule="auto"/>
              <w:jc w:val="center"/>
              <w:rPr>
                <w:rFonts w:eastAsia="Times New Roman" w:cs="Arial"/>
                <w:bCs/>
                <w:sz w:val="20"/>
                <w:szCs w:val="20"/>
              </w:rPr>
            </w:pPr>
            <w:r w:rsidRPr="0066526D">
              <w:rPr>
                <w:rFonts w:eastAsia="Times New Roman" w:cs="Arial"/>
                <w:bCs/>
                <w:sz w:val="20"/>
                <w:szCs w:val="20"/>
              </w:rPr>
              <w:t>Curto</w:t>
            </w:r>
          </w:p>
        </w:tc>
      </w:tr>
      <w:tr w:rsidR="00BB3C0A" w:rsidRPr="0066526D" w:rsidTr="004D1D76">
        <w:trPr>
          <w:cantSplit/>
          <w:trHeight w:val="20"/>
          <w:jc w:val="center"/>
        </w:trPr>
        <w:tc>
          <w:tcPr>
            <w:tcW w:w="4219" w:type="dxa"/>
            <w:vMerge/>
            <w:tcBorders>
              <w:left w:val="nil"/>
              <w:right w:val="single" w:sz="4" w:space="0" w:color="1F497D"/>
            </w:tcBorders>
            <w:shd w:val="clear" w:color="auto" w:fill="auto"/>
            <w:vAlign w:val="center"/>
          </w:tcPr>
          <w:p w:rsidR="00BB3C0A" w:rsidRPr="0066526D" w:rsidRDefault="00BB3C0A" w:rsidP="00BB3C0A">
            <w:pPr>
              <w:spacing w:before="20" w:after="20" w:line="240" w:lineRule="auto"/>
              <w:ind w:left="260"/>
              <w:jc w:val="left"/>
              <w:rPr>
                <w:rFonts w:eastAsia="Times New Roman" w:cs="Arial"/>
                <w:bCs/>
                <w:sz w:val="20"/>
                <w:szCs w:val="20"/>
                <w:lang w:eastAsia="pt-BR"/>
              </w:rPr>
            </w:pPr>
          </w:p>
        </w:tc>
        <w:tc>
          <w:tcPr>
            <w:tcW w:w="9636" w:type="dxa"/>
            <w:tcBorders>
              <w:top w:val="dashSmallGap" w:sz="4" w:space="0" w:color="1F497D" w:themeColor="text2"/>
              <w:left w:val="single" w:sz="4" w:space="0" w:color="1F497D"/>
              <w:bottom w:val="single" w:sz="4" w:space="0" w:color="1F497D"/>
              <w:right w:val="single" w:sz="4" w:space="0" w:color="1F497D"/>
            </w:tcBorders>
            <w:shd w:val="clear" w:color="auto" w:fill="auto"/>
            <w:vAlign w:val="center"/>
          </w:tcPr>
          <w:p w:rsidR="00BB3C0A" w:rsidRPr="0066526D" w:rsidRDefault="00BB3C0A" w:rsidP="00095090">
            <w:pPr>
              <w:spacing w:before="20" w:after="20" w:line="240" w:lineRule="auto"/>
              <w:rPr>
                <w:rFonts w:eastAsia="Times New Roman" w:cs="Arial"/>
                <w:sz w:val="20"/>
                <w:szCs w:val="20"/>
              </w:rPr>
            </w:pPr>
            <w:r w:rsidRPr="0066526D">
              <w:rPr>
                <w:rFonts w:cs="Arial"/>
                <w:sz w:val="20"/>
                <w:szCs w:val="20"/>
                <w:lang w:eastAsia="pt-BR"/>
              </w:rPr>
              <w:t>4.3 Ter a garantia do acompanhamento do prazo de validade das licenças.</w:t>
            </w:r>
          </w:p>
        </w:tc>
        <w:tc>
          <w:tcPr>
            <w:tcW w:w="0" w:type="auto"/>
            <w:tcBorders>
              <w:top w:val="dashSmallGap" w:sz="4" w:space="0" w:color="1F497D" w:themeColor="text2"/>
              <w:left w:val="single" w:sz="4" w:space="0" w:color="1F497D"/>
              <w:bottom w:val="single" w:sz="4" w:space="0" w:color="1F497D"/>
              <w:right w:val="nil"/>
            </w:tcBorders>
            <w:shd w:val="clear" w:color="auto" w:fill="auto"/>
            <w:vAlign w:val="center"/>
          </w:tcPr>
          <w:p w:rsidR="00BB3C0A" w:rsidRPr="0066526D" w:rsidRDefault="00BB3C0A" w:rsidP="00095090">
            <w:pPr>
              <w:spacing w:before="20" w:after="20" w:line="240" w:lineRule="auto"/>
              <w:jc w:val="center"/>
              <w:rPr>
                <w:rFonts w:eastAsia="Times New Roman" w:cs="Arial"/>
                <w:bCs/>
                <w:sz w:val="20"/>
                <w:szCs w:val="20"/>
              </w:rPr>
            </w:pPr>
            <w:r w:rsidRPr="0066526D">
              <w:rPr>
                <w:rFonts w:eastAsia="Times New Roman" w:cs="Arial"/>
                <w:bCs/>
                <w:sz w:val="20"/>
                <w:szCs w:val="20"/>
              </w:rPr>
              <w:t>Longo</w:t>
            </w:r>
          </w:p>
        </w:tc>
      </w:tr>
      <w:tr w:rsidR="002E4058" w:rsidRPr="0066526D" w:rsidTr="004D1D76">
        <w:trPr>
          <w:cantSplit/>
          <w:trHeight w:val="20"/>
          <w:jc w:val="center"/>
        </w:trPr>
        <w:tc>
          <w:tcPr>
            <w:tcW w:w="4219" w:type="dxa"/>
            <w:vMerge w:val="restart"/>
            <w:tcBorders>
              <w:top w:val="single" w:sz="4" w:space="0" w:color="1F497D"/>
              <w:left w:val="nil"/>
              <w:right w:val="single" w:sz="4" w:space="0" w:color="1F497D"/>
            </w:tcBorders>
            <w:shd w:val="clear" w:color="auto" w:fill="auto"/>
            <w:vAlign w:val="center"/>
          </w:tcPr>
          <w:p w:rsidR="002E4058" w:rsidRPr="0066526D" w:rsidRDefault="002E4058" w:rsidP="00A87269">
            <w:pPr>
              <w:numPr>
                <w:ilvl w:val="0"/>
                <w:numId w:val="30"/>
              </w:numPr>
              <w:spacing w:before="20" w:after="20" w:line="240" w:lineRule="auto"/>
              <w:ind w:left="260" w:hanging="260"/>
              <w:jc w:val="left"/>
              <w:rPr>
                <w:rFonts w:eastAsia="Times New Roman" w:cs="Arial"/>
                <w:bCs/>
                <w:sz w:val="20"/>
                <w:szCs w:val="20"/>
                <w:lang w:eastAsia="pt-BR"/>
              </w:rPr>
            </w:pPr>
            <w:r w:rsidRPr="0066526D">
              <w:rPr>
                <w:rFonts w:eastAsia="Times New Roman" w:cs="Arial"/>
                <w:bCs/>
                <w:sz w:val="20"/>
                <w:szCs w:val="20"/>
                <w:lang w:eastAsia="pt-BR"/>
              </w:rPr>
              <w:t>Instituir canais de comunicação e participação com a sociedade e promover ações continuadas em educação ambiental.</w:t>
            </w:r>
          </w:p>
        </w:tc>
        <w:tc>
          <w:tcPr>
            <w:tcW w:w="9636" w:type="dxa"/>
            <w:tcBorders>
              <w:top w:val="single" w:sz="4" w:space="0" w:color="1F497D"/>
              <w:left w:val="single" w:sz="4" w:space="0" w:color="1F497D"/>
              <w:bottom w:val="dashed" w:sz="4" w:space="0" w:color="auto"/>
              <w:right w:val="single" w:sz="4" w:space="0" w:color="1F497D"/>
            </w:tcBorders>
            <w:shd w:val="clear" w:color="auto" w:fill="auto"/>
          </w:tcPr>
          <w:p w:rsidR="002E4058" w:rsidRPr="0066526D" w:rsidRDefault="002E4058" w:rsidP="00095090">
            <w:pPr>
              <w:spacing w:before="20" w:after="20" w:line="240" w:lineRule="auto"/>
              <w:rPr>
                <w:rFonts w:eastAsia="Times New Roman" w:cs="Arial"/>
                <w:sz w:val="20"/>
                <w:szCs w:val="20"/>
              </w:rPr>
            </w:pPr>
            <w:r w:rsidRPr="0066526D">
              <w:rPr>
                <w:rFonts w:eastAsia="Times New Roman" w:cs="Arial"/>
                <w:sz w:val="20"/>
                <w:szCs w:val="20"/>
                <w:lang w:eastAsia="pt-BR"/>
              </w:rPr>
              <w:t>5.1. Elaborar um programa de incentivo à participação ativa da população na gestão do SES e nos processos de tomadas de decisão.</w:t>
            </w:r>
          </w:p>
        </w:tc>
        <w:tc>
          <w:tcPr>
            <w:tcW w:w="0" w:type="auto"/>
            <w:tcBorders>
              <w:top w:val="single" w:sz="4" w:space="0" w:color="1F497D"/>
              <w:left w:val="single" w:sz="4" w:space="0" w:color="1F497D"/>
              <w:bottom w:val="dashed" w:sz="4" w:space="0" w:color="auto"/>
              <w:right w:val="nil"/>
            </w:tcBorders>
            <w:shd w:val="clear" w:color="auto" w:fill="auto"/>
            <w:vAlign w:val="center"/>
          </w:tcPr>
          <w:p w:rsidR="002E4058" w:rsidRPr="0066526D" w:rsidRDefault="002E4058" w:rsidP="00095090">
            <w:pPr>
              <w:spacing w:before="20" w:after="20" w:line="240" w:lineRule="auto"/>
              <w:jc w:val="center"/>
              <w:rPr>
                <w:rFonts w:eastAsia="Times New Roman" w:cs="Arial"/>
                <w:bCs/>
                <w:sz w:val="20"/>
                <w:szCs w:val="20"/>
              </w:rPr>
            </w:pPr>
            <w:r w:rsidRPr="0066526D">
              <w:rPr>
                <w:rFonts w:eastAsia="Times New Roman" w:cs="Arial"/>
                <w:bCs/>
                <w:sz w:val="20"/>
                <w:szCs w:val="20"/>
              </w:rPr>
              <w:t>Longo</w:t>
            </w:r>
          </w:p>
        </w:tc>
      </w:tr>
      <w:tr w:rsidR="002E4058" w:rsidRPr="0066526D" w:rsidTr="004D1D76">
        <w:trPr>
          <w:cantSplit/>
          <w:trHeight w:val="20"/>
          <w:jc w:val="center"/>
        </w:trPr>
        <w:tc>
          <w:tcPr>
            <w:tcW w:w="4219" w:type="dxa"/>
            <w:vMerge/>
            <w:tcBorders>
              <w:left w:val="nil"/>
              <w:right w:val="single" w:sz="4" w:space="0" w:color="1F497D"/>
            </w:tcBorders>
            <w:shd w:val="clear" w:color="auto" w:fill="auto"/>
            <w:vAlign w:val="center"/>
          </w:tcPr>
          <w:p w:rsidR="002E4058" w:rsidRPr="0066526D" w:rsidRDefault="002E4058" w:rsidP="00A87269">
            <w:pPr>
              <w:numPr>
                <w:ilvl w:val="0"/>
                <w:numId w:val="32"/>
              </w:numPr>
              <w:spacing w:before="20" w:after="20" w:line="240" w:lineRule="auto"/>
              <w:ind w:left="0" w:firstLine="0"/>
              <w:jc w:val="left"/>
              <w:rPr>
                <w:rFonts w:eastAsia="Times New Roman" w:cs="Arial"/>
                <w:bCs/>
                <w:sz w:val="20"/>
                <w:szCs w:val="20"/>
                <w:lang w:eastAsia="pt-BR"/>
              </w:rPr>
            </w:pPr>
          </w:p>
        </w:tc>
        <w:tc>
          <w:tcPr>
            <w:tcW w:w="9636" w:type="dxa"/>
            <w:tcBorders>
              <w:top w:val="dashed" w:sz="4" w:space="0" w:color="auto"/>
              <w:left w:val="single" w:sz="4" w:space="0" w:color="1F497D"/>
              <w:bottom w:val="dashed" w:sz="4" w:space="0" w:color="auto"/>
              <w:right w:val="single" w:sz="4" w:space="0" w:color="1F497D"/>
            </w:tcBorders>
            <w:shd w:val="clear" w:color="auto" w:fill="auto"/>
            <w:vAlign w:val="center"/>
          </w:tcPr>
          <w:p w:rsidR="002E4058" w:rsidRPr="0066526D" w:rsidRDefault="002E4058" w:rsidP="00095090">
            <w:pPr>
              <w:spacing w:before="20" w:after="20" w:line="240" w:lineRule="auto"/>
              <w:jc w:val="left"/>
              <w:rPr>
                <w:rFonts w:eastAsia="Times New Roman" w:cs="Arial"/>
                <w:sz w:val="20"/>
                <w:szCs w:val="20"/>
              </w:rPr>
            </w:pPr>
            <w:r w:rsidRPr="0066526D">
              <w:rPr>
                <w:rFonts w:eastAsia="Times New Roman" w:cs="Arial"/>
                <w:sz w:val="20"/>
                <w:szCs w:val="20"/>
                <w:lang w:eastAsia="pt-BR"/>
              </w:rPr>
              <w:t>5.2. Sensibilizar a população sobre questões de escassez de água.</w:t>
            </w:r>
          </w:p>
        </w:tc>
        <w:tc>
          <w:tcPr>
            <w:tcW w:w="0" w:type="auto"/>
            <w:tcBorders>
              <w:top w:val="dashed" w:sz="4" w:space="0" w:color="auto"/>
              <w:left w:val="single" w:sz="4" w:space="0" w:color="1F497D"/>
              <w:bottom w:val="dashed" w:sz="4" w:space="0" w:color="auto"/>
              <w:right w:val="nil"/>
            </w:tcBorders>
            <w:shd w:val="clear" w:color="auto" w:fill="auto"/>
            <w:vAlign w:val="center"/>
          </w:tcPr>
          <w:p w:rsidR="002E4058" w:rsidRPr="0066526D" w:rsidRDefault="002E4058" w:rsidP="00095090">
            <w:pPr>
              <w:spacing w:before="20" w:after="20" w:line="240" w:lineRule="auto"/>
              <w:jc w:val="center"/>
              <w:rPr>
                <w:rFonts w:eastAsia="Times New Roman" w:cs="Arial"/>
                <w:bCs/>
                <w:sz w:val="20"/>
                <w:szCs w:val="20"/>
              </w:rPr>
            </w:pPr>
            <w:r w:rsidRPr="0066526D">
              <w:rPr>
                <w:rFonts w:eastAsia="Times New Roman" w:cs="Arial"/>
                <w:bCs/>
                <w:sz w:val="20"/>
                <w:szCs w:val="20"/>
              </w:rPr>
              <w:t>Longo</w:t>
            </w:r>
          </w:p>
        </w:tc>
      </w:tr>
      <w:tr w:rsidR="002E4058" w:rsidRPr="0066526D" w:rsidTr="004D1D76">
        <w:trPr>
          <w:cantSplit/>
          <w:trHeight w:val="20"/>
          <w:jc w:val="center"/>
        </w:trPr>
        <w:tc>
          <w:tcPr>
            <w:tcW w:w="4219" w:type="dxa"/>
            <w:vMerge/>
            <w:tcBorders>
              <w:left w:val="nil"/>
              <w:right w:val="single" w:sz="4" w:space="0" w:color="1F497D"/>
            </w:tcBorders>
            <w:shd w:val="clear" w:color="auto" w:fill="auto"/>
            <w:vAlign w:val="center"/>
          </w:tcPr>
          <w:p w:rsidR="002E4058" w:rsidRPr="0066526D" w:rsidRDefault="002E4058" w:rsidP="00095090">
            <w:pPr>
              <w:spacing w:before="20" w:after="20" w:line="240" w:lineRule="auto"/>
              <w:jc w:val="left"/>
              <w:rPr>
                <w:rFonts w:eastAsia="Times New Roman" w:cs="Arial"/>
                <w:bCs/>
                <w:sz w:val="20"/>
                <w:szCs w:val="20"/>
                <w:lang w:eastAsia="pt-BR"/>
              </w:rPr>
            </w:pPr>
          </w:p>
        </w:tc>
        <w:tc>
          <w:tcPr>
            <w:tcW w:w="9636" w:type="dxa"/>
            <w:tcBorders>
              <w:top w:val="dashed" w:sz="4" w:space="0" w:color="auto"/>
              <w:left w:val="single" w:sz="4" w:space="0" w:color="1F497D"/>
              <w:bottom w:val="dashed" w:sz="4" w:space="0" w:color="auto"/>
              <w:right w:val="single" w:sz="4" w:space="0" w:color="1F497D"/>
            </w:tcBorders>
            <w:shd w:val="clear" w:color="auto" w:fill="auto"/>
          </w:tcPr>
          <w:p w:rsidR="002E4058" w:rsidRPr="0066526D" w:rsidRDefault="002E4058" w:rsidP="00095090">
            <w:pPr>
              <w:spacing w:before="20" w:after="20" w:line="240" w:lineRule="auto"/>
              <w:rPr>
                <w:rFonts w:eastAsia="Times New Roman" w:cs="Arial"/>
                <w:sz w:val="20"/>
                <w:szCs w:val="20"/>
              </w:rPr>
            </w:pPr>
            <w:r w:rsidRPr="0066526D">
              <w:rPr>
                <w:rFonts w:eastAsia="Times New Roman" w:cs="Arial"/>
                <w:sz w:val="20"/>
                <w:szCs w:val="20"/>
                <w:lang w:eastAsia="pt-BR"/>
              </w:rPr>
              <w:t>5.3. Promover canais de comunicação com a população.</w:t>
            </w:r>
          </w:p>
        </w:tc>
        <w:tc>
          <w:tcPr>
            <w:tcW w:w="0" w:type="auto"/>
            <w:tcBorders>
              <w:top w:val="dashed" w:sz="4" w:space="0" w:color="auto"/>
              <w:left w:val="single" w:sz="4" w:space="0" w:color="1F497D"/>
              <w:bottom w:val="dashed" w:sz="4" w:space="0" w:color="auto"/>
              <w:right w:val="nil"/>
            </w:tcBorders>
            <w:shd w:val="clear" w:color="auto" w:fill="auto"/>
            <w:vAlign w:val="center"/>
          </w:tcPr>
          <w:p w:rsidR="002E4058" w:rsidRPr="0066526D" w:rsidRDefault="002E4058" w:rsidP="00095090">
            <w:pPr>
              <w:spacing w:before="20" w:after="20" w:line="240" w:lineRule="auto"/>
              <w:jc w:val="center"/>
              <w:rPr>
                <w:rFonts w:eastAsia="Times New Roman" w:cs="Arial"/>
                <w:bCs/>
                <w:sz w:val="20"/>
                <w:szCs w:val="20"/>
              </w:rPr>
            </w:pPr>
            <w:r w:rsidRPr="0066526D">
              <w:rPr>
                <w:rFonts w:eastAsia="Times New Roman" w:cs="Arial"/>
                <w:bCs/>
                <w:sz w:val="20"/>
                <w:szCs w:val="20"/>
              </w:rPr>
              <w:t>Longo</w:t>
            </w:r>
          </w:p>
        </w:tc>
      </w:tr>
      <w:tr w:rsidR="002E4058" w:rsidRPr="00495782" w:rsidTr="004D1D76">
        <w:trPr>
          <w:cantSplit/>
          <w:trHeight w:val="20"/>
          <w:jc w:val="center"/>
        </w:trPr>
        <w:tc>
          <w:tcPr>
            <w:tcW w:w="4219" w:type="dxa"/>
            <w:vMerge/>
            <w:tcBorders>
              <w:left w:val="nil"/>
              <w:bottom w:val="single" w:sz="4" w:space="0" w:color="1F497D"/>
              <w:right w:val="single" w:sz="4" w:space="0" w:color="1F497D"/>
            </w:tcBorders>
            <w:shd w:val="clear" w:color="auto" w:fill="auto"/>
            <w:vAlign w:val="center"/>
          </w:tcPr>
          <w:p w:rsidR="002E4058" w:rsidRPr="0066526D" w:rsidRDefault="002E4058" w:rsidP="00095090">
            <w:pPr>
              <w:spacing w:before="20" w:after="20" w:line="240" w:lineRule="auto"/>
              <w:jc w:val="left"/>
              <w:rPr>
                <w:rFonts w:eastAsia="Times New Roman" w:cs="Arial"/>
                <w:bCs/>
                <w:sz w:val="20"/>
                <w:szCs w:val="20"/>
                <w:lang w:eastAsia="pt-BR"/>
              </w:rPr>
            </w:pPr>
          </w:p>
        </w:tc>
        <w:tc>
          <w:tcPr>
            <w:tcW w:w="9636" w:type="dxa"/>
            <w:tcBorders>
              <w:top w:val="dashed" w:sz="4" w:space="0" w:color="auto"/>
              <w:left w:val="single" w:sz="4" w:space="0" w:color="1F497D"/>
              <w:bottom w:val="single" w:sz="4" w:space="0" w:color="1F497D"/>
              <w:right w:val="single" w:sz="4" w:space="0" w:color="1F497D"/>
            </w:tcBorders>
            <w:shd w:val="clear" w:color="auto" w:fill="auto"/>
          </w:tcPr>
          <w:p w:rsidR="002E4058" w:rsidRPr="0066526D" w:rsidRDefault="002E4058" w:rsidP="00081C9C">
            <w:pPr>
              <w:spacing w:before="20" w:after="20" w:line="240" w:lineRule="auto"/>
              <w:rPr>
                <w:rFonts w:cs="Arial"/>
                <w:sz w:val="20"/>
                <w:szCs w:val="20"/>
              </w:rPr>
            </w:pPr>
            <w:r w:rsidRPr="0066526D">
              <w:rPr>
                <w:rFonts w:eastAsia="Times New Roman" w:cs="Arial"/>
                <w:sz w:val="20"/>
                <w:szCs w:val="20"/>
                <w:lang w:eastAsia="pt-BR"/>
              </w:rPr>
              <w:t>5.4. Obter um índice de respostas satisfatórias</w:t>
            </w:r>
            <w:r w:rsidR="00382CEE" w:rsidRPr="0066526D">
              <w:rPr>
                <w:rFonts w:eastAsia="Times New Roman" w:cs="Arial"/>
                <w:sz w:val="20"/>
                <w:szCs w:val="20"/>
                <w:lang w:eastAsia="pt-BR"/>
              </w:rPr>
              <w:t xml:space="preserve"> </w:t>
            </w:r>
            <w:r w:rsidR="00081C9C" w:rsidRPr="0066526D">
              <w:rPr>
                <w:rFonts w:eastAsia="Times New Roman" w:cs="Arial"/>
                <w:sz w:val="20"/>
                <w:szCs w:val="20"/>
                <w:lang w:eastAsia="pt-BR"/>
              </w:rPr>
              <w:t>à</w:t>
            </w:r>
            <w:r w:rsidR="00382CEE" w:rsidRPr="0066526D">
              <w:rPr>
                <w:rFonts w:eastAsia="Times New Roman" w:cs="Arial"/>
                <w:sz w:val="20"/>
                <w:szCs w:val="20"/>
                <w:lang w:eastAsia="pt-BR"/>
              </w:rPr>
              <w:t>s reclamações dos munícipes (30% no prazo imediato, 40</w:t>
            </w:r>
            <w:r w:rsidRPr="0066526D">
              <w:rPr>
                <w:rFonts w:eastAsia="Times New Roman" w:cs="Arial"/>
                <w:sz w:val="20"/>
                <w:szCs w:val="20"/>
                <w:lang w:eastAsia="pt-BR"/>
              </w:rPr>
              <w:t xml:space="preserve">% a curto prazo, </w:t>
            </w:r>
            <w:r w:rsidR="00382CEE" w:rsidRPr="0066526D">
              <w:rPr>
                <w:rFonts w:eastAsia="Times New Roman" w:cs="Arial"/>
                <w:sz w:val="20"/>
                <w:szCs w:val="20"/>
                <w:lang w:eastAsia="pt-BR"/>
              </w:rPr>
              <w:t>6</w:t>
            </w:r>
            <w:r w:rsidRPr="0066526D">
              <w:rPr>
                <w:rFonts w:eastAsia="Times New Roman" w:cs="Arial"/>
                <w:sz w:val="20"/>
                <w:szCs w:val="20"/>
                <w:lang w:eastAsia="pt-BR"/>
              </w:rPr>
              <w:t>0% a médio prazo e 100% a longo prazo).</w:t>
            </w:r>
          </w:p>
        </w:tc>
        <w:tc>
          <w:tcPr>
            <w:tcW w:w="0" w:type="auto"/>
            <w:tcBorders>
              <w:top w:val="dashed" w:sz="4" w:space="0" w:color="auto"/>
              <w:left w:val="single" w:sz="4" w:space="0" w:color="1F497D"/>
              <w:bottom w:val="single" w:sz="4" w:space="0" w:color="1F497D"/>
              <w:right w:val="nil"/>
            </w:tcBorders>
            <w:shd w:val="clear" w:color="auto" w:fill="auto"/>
            <w:vAlign w:val="center"/>
          </w:tcPr>
          <w:p w:rsidR="002E4058" w:rsidRPr="00495782" w:rsidRDefault="002E4058" w:rsidP="00095090">
            <w:pPr>
              <w:spacing w:before="20" w:after="20" w:line="240" w:lineRule="auto"/>
              <w:jc w:val="center"/>
              <w:rPr>
                <w:rFonts w:eastAsia="Times New Roman" w:cs="Arial"/>
                <w:bCs/>
                <w:sz w:val="20"/>
                <w:szCs w:val="20"/>
              </w:rPr>
            </w:pPr>
            <w:r w:rsidRPr="0066526D">
              <w:rPr>
                <w:rFonts w:eastAsia="Times New Roman" w:cs="Arial"/>
                <w:bCs/>
                <w:sz w:val="20"/>
                <w:szCs w:val="20"/>
              </w:rPr>
              <w:t>Longo</w:t>
            </w:r>
          </w:p>
        </w:tc>
      </w:tr>
    </w:tbl>
    <w:p w:rsidR="002E4058" w:rsidRPr="00E643C7" w:rsidRDefault="002E4058" w:rsidP="00646530">
      <w:pPr>
        <w:rPr>
          <w:lang w:eastAsia="pt-BR"/>
        </w:rPr>
        <w:sectPr w:rsidR="002E4058" w:rsidRPr="00E643C7" w:rsidSect="00B94A15">
          <w:footerReference w:type="default" r:id="rId69"/>
          <w:pgSz w:w="16839" w:h="11907" w:orient="landscape" w:code="9"/>
          <w:pgMar w:top="1418" w:right="1134" w:bottom="1134" w:left="1134" w:header="709" w:footer="709" w:gutter="0"/>
          <w:cols w:space="708"/>
          <w:docGrid w:linePitch="360"/>
        </w:sectPr>
      </w:pPr>
    </w:p>
    <w:p w:rsidR="00646530" w:rsidRPr="008044FA" w:rsidRDefault="00646530" w:rsidP="002828C8">
      <w:pPr>
        <w:pStyle w:val="SHS-Ttulo02"/>
      </w:pPr>
      <w:bookmarkStart w:id="739" w:name="_Toc497469088"/>
      <w:r w:rsidRPr="008044FA">
        <w:lastRenderedPageBreak/>
        <w:t xml:space="preserve">Sistema de Drenagem </w:t>
      </w:r>
      <w:r>
        <w:t>Urbana e Manejo d</w:t>
      </w:r>
      <w:r w:rsidRPr="008044FA">
        <w:t>e Águas Pluviais</w:t>
      </w:r>
      <w:bookmarkEnd w:id="717"/>
      <w:bookmarkEnd w:id="718"/>
      <w:bookmarkEnd w:id="739"/>
    </w:p>
    <w:p w:rsidR="00646530" w:rsidRDefault="00646530" w:rsidP="002828C8">
      <w:pPr>
        <w:pStyle w:val="Ttulo3"/>
      </w:pPr>
      <w:bookmarkStart w:id="740" w:name="_Toc484422557"/>
      <w:bookmarkStart w:id="741" w:name="_Toc484532470"/>
      <w:bookmarkStart w:id="742" w:name="_Toc497469089"/>
      <w:r w:rsidRPr="008044FA">
        <w:t>Proposição de cenários</w:t>
      </w:r>
      <w:bookmarkEnd w:id="740"/>
      <w:bookmarkEnd w:id="741"/>
      <w:bookmarkEnd w:id="742"/>
    </w:p>
    <w:p w:rsidR="00646530" w:rsidRPr="005D3214" w:rsidRDefault="00646530" w:rsidP="00646530">
      <w:pPr>
        <w:spacing w:before="120" w:after="120"/>
        <w:ind w:firstLine="708"/>
        <w:contextualSpacing/>
        <w:rPr>
          <w:rFonts w:cs="Arial"/>
          <w:szCs w:val="24"/>
          <w:lang w:eastAsia="pt-BR"/>
        </w:rPr>
      </w:pPr>
      <w:r w:rsidRPr="005D3214">
        <w:rPr>
          <w:rFonts w:cs="Arial"/>
          <w:szCs w:val="24"/>
          <w:lang w:eastAsia="pt-BR"/>
        </w:rPr>
        <w:t xml:space="preserve">O setor de drenagem urbana também foi analisado pela metodologia SWOT que subsidiou a configuração </w:t>
      </w:r>
      <w:r w:rsidRPr="002F554A">
        <w:rPr>
          <w:rFonts w:cs="Arial"/>
          <w:szCs w:val="24"/>
          <w:lang w:eastAsia="pt-BR"/>
        </w:rPr>
        <w:t>dos cenários previsível e normativo para</w:t>
      </w:r>
      <w:r w:rsidRPr="005D3214">
        <w:rPr>
          <w:rFonts w:cs="Arial"/>
          <w:szCs w:val="24"/>
          <w:lang w:eastAsia="pt-BR"/>
        </w:rPr>
        <w:t xml:space="preserve"> este eixo, adotando-se </w:t>
      </w:r>
      <w:r w:rsidRPr="002F554A">
        <w:rPr>
          <w:rFonts w:cs="Arial"/>
          <w:szCs w:val="24"/>
          <w:lang w:eastAsia="pt-BR"/>
        </w:rPr>
        <w:t>o cenário normativo para a proposição</w:t>
      </w:r>
      <w:r w:rsidRPr="005D3214">
        <w:rPr>
          <w:rFonts w:cs="Arial"/>
          <w:szCs w:val="24"/>
          <w:lang w:eastAsia="pt-BR"/>
        </w:rPr>
        <w:t xml:space="preserve"> de objetivos, metas. O </w:t>
      </w:r>
      <w:r>
        <w:rPr>
          <w:rFonts w:cs="Arial"/>
          <w:szCs w:val="24"/>
          <w:lang w:eastAsia="pt-BR"/>
        </w:rPr>
        <w:fldChar w:fldCharType="begin"/>
      </w:r>
      <w:r>
        <w:rPr>
          <w:rFonts w:cs="Arial"/>
          <w:szCs w:val="24"/>
          <w:lang w:eastAsia="pt-BR"/>
        </w:rPr>
        <w:instrText xml:space="preserve"> REF _Ref484156750 \h </w:instrText>
      </w:r>
      <w:r>
        <w:rPr>
          <w:rFonts w:cs="Arial"/>
          <w:szCs w:val="24"/>
          <w:lang w:eastAsia="pt-BR"/>
        </w:rPr>
      </w:r>
      <w:r>
        <w:rPr>
          <w:rFonts w:cs="Arial"/>
          <w:szCs w:val="24"/>
          <w:lang w:eastAsia="pt-BR"/>
        </w:rPr>
        <w:fldChar w:fldCharType="separate"/>
      </w:r>
      <w:r w:rsidR="004D1D76" w:rsidRPr="00EC377A">
        <w:t xml:space="preserve">Quadro </w:t>
      </w:r>
      <w:r w:rsidR="004D1D76">
        <w:rPr>
          <w:noProof/>
        </w:rPr>
        <w:t>78</w:t>
      </w:r>
      <w:r>
        <w:rPr>
          <w:rFonts w:cs="Arial"/>
          <w:szCs w:val="24"/>
          <w:lang w:eastAsia="pt-BR"/>
        </w:rPr>
        <w:fldChar w:fldCharType="end"/>
      </w:r>
      <w:r>
        <w:rPr>
          <w:rFonts w:cs="Arial"/>
          <w:szCs w:val="24"/>
          <w:lang w:eastAsia="pt-BR"/>
        </w:rPr>
        <w:t xml:space="preserve"> </w:t>
      </w:r>
      <w:r w:rsidRPr="005D3214">
        <w:rPr>
          <w:rFonts w:cs="Arial"/>
          <w:szCs w:val="24"/>
          <w:lang w:eastAsia="pt-BR"/>
        </w:rPr>
        <w:t>apresenta a matriz SWOT gerada pela análise.</w:t>
      </w:r>
    </w:p>
    <w:p w:rsidR="00646530" w:rsidRPr="005D3214" w:rsidRDefault="00646530" w:rsidP="00646530">
      <w:pPr>
        <w:spacing w:before="120" w:after="120"/>
        <w:ind w:firstLine="708"/>
        <w:contextualSpacing/>
        <w:rPr>
          <w:rFonts w:cs="Arial"/>
          <w:szCs w:val="24"/>
          <w:lang w:eastAsia="pt-BR"/>
        </w:rPr>
        <w:sectPr w:rsidR="00646530" w:rsidRPr="005D3214" w:rsidSect="00B94A15">
          <w:footerReference w:type="default" r:id="rId70"/>
          <w:pgSz w:w="11907" w:h="16839" w:code="9"/>
          <w:pgMar w:top="1134" w:right="1134" w:bottom="1134" w:left="1418" w:header="709" w:footer="709" w:gutter="0"/>
          <w:cols w:space="708"/>
          <w:docGrid w:linePitch="360"/>
        </w:sectPr>
      </w:pPr>
    </w:p>
    <w:p w:rsidR="00646530" w:rsidRDefault="00646530" w:rsidP="00646530">
      <w:pPr>
        <w:pStyle w:val="Legenda"/>
        <w:rPr>
          <w:lang w:val="pt-BR"/>
        </w:rPr>
      </w:pPr>
      <w:bookmarkStart w:id="743" w:name="_Ref484156750"/>
      <w:bookmarkStart w:id="744" w:name="_Toc398040332"/>
      <w:bookmarkStart w:id="745" w:name="_Toc447029050"/>
      <w:bookmarkStart w:id="746" w:name="_Toc484423919"/>
      <w:bookmarkStart w:id="747" w:name="_Toc484532481"/>
      <w:bookmarkStart w:id="748" w:name="_Toc497469199"/>
      <w:r w:rsidRPr="00EC377A">
        <w:lastRenderedPageBreak/>
        <w:t xml:space="preserve">Quadro </w:t>
      </w:r>
      <w:r w:rsidR="00D71C43">
        <w:fldChar w:fldCharType="begin"/>
      </w:r>
      <w:r w:rsidR="00D71C43">
        <w:instrText xml:space="preserve"> SEQ Quadro \* ARABIC </w:instrText>
      </w:r>
      <w:r w:rsidR="00D71C43">
        <w:fldChar w:fldCharType="separate"/>
      </w:r>
      <w:r w:rsidR="004D1D76">
        <w:rPr>
          <w:noProof/>
        </w:rPr>
        <w:t>78</w:t>
      </w:r>
      <w:r w:rsidR="00D71C43">
        <w:rPr>
          <w:noProof/>
        </w:rPr>
        <w:fldChar w:fldCharType="end"/>
      </w:r>
      <w:bookmarkEnd w:id="743"/>
      <w:r w:rsidRPr="00EC377A">
        <w:t xml:space="preserve"> - Matriz SWOT do </w:t>
      </w:r>
      <w:bookmarkEnd w:id="744"/>
      <w:bookmarkEnd w:id="745"/>
      <w:r w:rsidRPr="00EC377A">
        <w:t>Sistema de Drenagem Urbana e Manejo de Águas Pluviais</w:t>
      </w:r>
      <w:bookmarkEnd w:id="746"/>
      <w:bookmarkEnd w:id="747"/>
      <w:bookmarkEnd w:id="748"/>
    </w:p>
    <w:tbl>
      <w:tblPr>
        <w:tblW w:w="15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8"/>
        <w:gridCol w:w="3253"/>
        <w:gridCol w:w="3402"/>
        <w:gridCol w:w="7378"/>
      </w:tblGrid>
      <w:tr w:rsidR="00646530" w:rsidRPr="00C75729" w:rsidTr="00B94A15">
        <w:trPr>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646530" w:rsidRPr="00C75729" w:rsidRDefault="00646530" w:rsidP="00B94A15">
            <w:pPr>
              <w:autoSpaceDE w:val="0"/>
              <w:autoSpaceDN w:val="0"/>
              <w:adjustRightInd w:val="0"/>
              <w:spacing w:before="60" w:after="60" w:line="240" w:lineRule="auto"/>
              <w:rPr>
                <w:rFonts w:cs="Arial"/>
                <w:sz w:val="20"/>
                <w:szCs w:val="20"/>
              </w:rPr>
            </w:pPr>
          </w:p>
        </w:tc>
        <w:tc>
          <w:tcPr>
            <w:tcW w:w="3253" w:type="dxa"/>
            <w:tcBorders>
              <w:top w:val="single" w:sz="4" w:space="0" w:color="auto"/>
              <w:left w:val="single" w:sz="4" w:space="0" w:color="auto"/>
              <w:bottom w:val="single" w:sz="4" w:space="0" w:color="auto"/>
              <w:right w:val="single" w:sz="4" w:space="0" w:color="auto"/>
            </w:tcBorders>
            <w:shd w:val="clear" w:color="auto" w:fill="95B3D7"/>
            <w:vAlign w:val="center"/>
            <w:hideMark/>
          </w:tcPr>
          <w:p w:rsidR="00646530" w:rsidRPr="00C75729" w:rsidRDefault="00646530" w:rsidP="00B94A15">
            <w:pPr>
              <w:autoSpaceDE w:val="0"/>
              <w:autoSpaceDN w:val="0"/>
              <w:adjustRightInd w:val="0"/>
              <w:spacing w:before="60" w:after="60" w:line="240" w:lineRule="auto"/>
              <w:jc w:val="center"/>
              <w:rPr>
                <w:rFonts w:cs="Arial"/>
                <w:b/>
                <w:sz w:val="20"/>
                <w:szCs w:val="20"/>
              </w:rPr>
            </w:pPr>
            <w:r w:rsidRPr="00C75729">
              <w:rPr>
                <w:rFonts w:cs="Arial"/>
                <w:b/>
                <w:sz w:val="20"/>
                <w:szCs w:val="20"/>
              </w:rPr>
              <w:t>PONTOS POSITIVOS</w:t>
            </w:r>
          </w:p>
        </w:tc>
        <w:tc>
          <w:tcPr>
            <w:tcW w:w="3402" w:type="dxa"/>
            <w:tcBorders>
              <w:top w:val="single" w:sz="4" w:space="0" w:color="auto"/>
              <w:left w:val="single" w:sz="4" w:space="0" w:color="auto"/>
              <w:bottom w:val="single" w:sz="4" w:space="0" w:color="auto"/>
              <w:right w:val="single" w:sz="4" w:space="0" w:color="auto"/>
            </w:tcBorders>
            <w:shd w:val="clear" w:color="auto" w:fill="95B3D7"/>
            <w:vAlign w:val="center"/>
          </w:tcPr>
          <w:p w:rsidR="00646530" w:rsidRPr="00C75729" w:rsidRDefault="00646530" w:rsidP="00B94A15">
            <w:pPr>
              <w:autoSpaceDE w:val="0"/>
              <w:autoSpaceDN w:val="0"/>
              <w:adjustRightInd w:val="0"/>
              <w:spacing w:before="60" w:after="60" w:line="240" w:lineRule="auto"/>
              <w:jc w:val="center"/>
              <w:rPr>
                <w:rFonts w:cs="Arial"/>
                <w:b/>
                <w:sz w:val="20"/>
                <w:szCs w:val="20"/>
              </w:rPr>
            </w:pPr>
            <w:r w:rsidRPr="00C75729">
              <w:rPr>
                <w:rFonts w:cs="Arial"/>
                <w:b/>
                <w:sz w:val="20"/>
                <w:szCs w:val="20"/>
              </w:rPr>
              <w:t>ITENS DE REFLEXÃO</w:t>
            </w:r>
          </w:p>
        </w:tc>
        <w:tc>
          <w:tcPr>
            <w:tcW w:w="7378" w:type="dxa"/>
            <w:tcBorders>
              <w:top w:val="single" w:sz="4" w:space="0" w:color="auto"/>
              <w:left w:val="single" w:sz="4" w:space="0" w:color="auto"/>
              <w:bottom w:val="single" w:sz="4" w:space="0" w:color="auto"/>
              <w:right w:val="single" w:sz="4" w:space="0" w:color="auto"/>
            </w:tcBorders>
            <w:shd w:val="clear" w:color="auto" w:fill="95B3D7"/>
            <w:vAlign w:val="center"/>
            <w:hideMark/>
          </w:tcPr>
          <w:p w:rsidR="00646530" w:rsidRPr="00C75729" w:rsidRDefault="00646530" w:rsidP="00B94A15">
            <w:pPr>
              <w:autoSpaceDE w:val="0"/>
              <w:autoSpaceDN w:val="0"/>
              <w:adjustRightInd w:val="0"/>
              <w:spacing w:before="60" w:after="60" w:line="240" w:lineRule="auto"/>
              <w:jc w:val="center"/>
              <w:rPr>
                <w:rFonts w:cs="Arial"/>
                <w:b/>
                <w:sz w:val="20"/>
                <w:szCs w:val="20"/>
              </w:rPr>
            </w:pPr>
            <w:r w:rsidRPr="00C75729">
              <w:rPr>
                <w:rFonts w:cs="Arial"/>
                <w:b/>
                <w:sz w:val="20"/>
                <w:szCs w:val="20"/>
              </w:rPr>
              <w:t>PONTOS NEGATIVOS</w:t>
            </w:r>
          </w:p>
        </w:tc>
      </w:tr>
      <w:tr w:rsidR="00646530" w:rsidRPr="00C75729" w:rsidTr="00B94A15">
        <w:trPr>
          <w:trHeight w:val="1115"/>
          <w:jc w:val="center"/>
        </w:trPr>
        <w:tc>
          <w:tcPr>
            <w:tcW w:w="0" w:type="auto"/>
            <w:tcBorders>
              <w:top w:val="single" w:sz="4" w:space="0" w:color="auto"/>
              <w:left w:val="single" w:sz="4" w:space="0" w:color="auto"/>
              <w:bottom w:val="single" w:sz="4" w:space="0" w:color="auto"/>
              <w:right w:val="single" w:sz="4" w:space="0" w:color="auto"/>
            </w:tcBorders>
            <w:shd w:val="clear" w:color="auto" w:fill="365F91"/>
            <w:vAlign w:val="center"/>
            <w:hideMark/>
          </w:tcPr>
          <w:p w:rsidR="00646530" w:rsidRPr="00C75729" w:rsidRDefault="00646530" w:rsidP="00B94A15">
            <w:pPr>
              <w:autoSpaceDE w:val="0"/>
              <w:autoSpaceDN w:val="0"/>
              <w:adjustRightInd w:val="0"/>
              <w:spacing w:before="60" w:after="60" w:line="240" w:lineRule="auto"/>
              <w:jc w:val="center"/>
              <w:rPr>
                <w:rFonts w:cs="Arial"/>
                <w:color w:val="FFFFFF"/>
                <w:sz w:val="20"/>
                <w:szCs w:val="20"/>
              </w:rPr>
            </w:pPr>
            <w:r w:rsidRPr="00C75729">
              <w:rPr>
                <w:rFonts w:cs="Arial"/>
                <w:color w:val="FFFFFF"/>
                <w:sz w:val="20"/>
                <w:szCs w:val="20"/>
              </w:rPr>
              <w:t>Ambiente Interno</w:t>
            </w:r>
          </w:p>
        </w:tc>
        <w:tc>
          <w:tcPr>
            <w:tcW w:w="3253" w:type="dxa"/>
            <w:tcBorders>
              <w:top w:val="single" w:sz="4" w:space="0" w:color="auto"/>
              <w:left w:val="single" w:sz="4" w:space="0" w:color="auto"/>
              <w:bottom w:val="single" w:sz="4" w:space="0" w:color="auto"/>
              <w:right w:val="single" w:sz="4" w:space="0" w:color="auto"/>
            </w:tcBorders>
            <w:shd w:val="clear" w:color="auto" w:fill="B8CCE4"/>
          </w:tcPr>
          <w:p w:rsidR="00646530" w:rsidRPr="00C75729" w:rsidRDefault="00646530" w:rsidP="00B94A15">
            <w:pPr>
              <w:autoSpaceDE w:val="0"/>
              <w:autoSpaceDN w:val="0"/>
              <w:adjustRightInd w:val="0"/>
              <w:spacing w:before="60" w:after="60" w:line="240" w:lineRule="auto"/>
              <w:jc w:val="center"/>
              <w:rPr>
                <w:rFonts w:cs="Arial"/>
                <w:b/>
                <w:sz w:val="20"/>
                <w:szCs w:val="20"/>
              </w:rPr>
            </w:pPr>
            <w:r w:rsidRPr="00C75729">
              <w:rPr>
                <w:rFonts w:cs="Arial"/>
                <w:b/>
                <w:sz w:val="20"/>
                <w:szCs w:val="20"/>
              </w:rPr>
              <w:t>FORÇAS</w:t>
            </w:r>
          </w:p>
          <w:p w:rsidR="00646530" w:rsidRPr="00EF4EE0" w:rsidRDefault="00646530" w:rsidP="00B94A15">
            <w:pPr>
              <w:autoSpaceDE w:val="0"/>
              <w:autoSpaceDN w:val="0"/>
              <w:adjustRightInd w:val="0"/>
              <w:spacing w:before="60" w:after="60" w:line="240" w:lineRule="auto"/>
              <w:rPr>
                <w:rFonts w:cs="Arial"/>
                <w:sz w:val="20"/>
                <w:szCs w:val="20"/>
              </w:rPr>
            </w:pPr>
          </w:p>
          <w:p w:rsidR="00646530" w:rsidRPr="00EF4EE0" w:rsidRDefault="00646530" w:rsidP="00B94A15">
            <w:pPr>
              <w:autoSpaceDE w:val="0"/>
              <w:autoSpaceDN w:val="0"/>
              <w:adjustRightInd w:val="0"/>
              <w:spacing w:before="60" w:after="60" w:line="240" w:lineRule="auto"/>
              <w:rPr>
                <w:rFonts w:cs="Arial"/>
                <w:b/>
                <w:sz w:val="20"/>
                <w:szCs w:val="20"/>
              </w:rPr>
            </w:pPr>
            <w:r w:rsidRPr="00EF4EE0">
              <w:rPr>
                <w:rFonts w:cs="Arial"/>
                <w:b/>
                <w:sz w:val="20"/>
                <w:szCs w:val="20"/>
              </w:rPr>
              <w:t>1. Perfil institucional</w:t>
            </w:r>
          </w:p>
          <w:p w:rsidR="00646530" w:rsidRDefault="00646530" w:rsidP="00B94A15">
            <w:pPr>
              <w:autoSpaceDE w:val="0"/>
              <w:autoSpaceDN w:val="0"/>
              <w:adjustRightInd w:val="0"/>
              <w:spacing w:before="60" w:after="60" w:line="240" w:lineRule="auto"/>
              <w:rPr>
                <w:rFonts w:cs="Arial"/>
                <w:sz w:val="20"/>
                <w:szCs w:val="20"/>
              </w:rPr>
            </w:pPr>
            <w:r w:rsidRPr="00EF4EE0">
              <w:rPr>
                <w:rFonts w:cs="Arial"/>
                <w:sz w:val="20"/>
                <w:szCs w:val="20"/>
              </w:rPr>
              <w:t>- O Departamento de Transporte e Obras realiza a manutenção do Sistema de Drenagem Urbana e conta com nove funcionários.</w:t>
            </w:r>
          </w:p>
          <w:p w:rsidR="00646530" w:rsidRPr="00EF4EE0" w:rsidRDefault="00646530" w:rsidP="00B94A15">
            <w:pPr>
              <w:autoSpaceDE w:val="0"/>
              <w:autoSpaceDN w:val="0"/>
              <w:adjustRightInd w:val="0"/>
              <w:spacing w:before="60" w:after="60" w:line="240" w:lineRule="auto"/>
              <w:rPr>
                <w:rFonts w:cs="Arial"/>
                <w:sz w:val="20"/>
                <w:szCs w:val="20"/>
              </w:rPr>
            </w:pPr>
          </w:p>
          <w:p w:rsidR="00646530" w:rsidRPr="00EF4EE0" w:rsidRDefault="00646530" w:rsidP="00B94A15">
            <w:pPr>
              <w:autoSpaceDE w:val="0"/>
              <w:autoSpaceDN w:val="0"/>
              <w:adjustRightInd w:val="0"/>
              <w:spacing w:before="60" w:after="60" w:line="240" w:lineRule="auto"/>
              <w:rPr>
                <w:rFonts w:cs="Arial"/>
                <w:b/>
                <w:sz w:val="20"/>
                <w:szCs w:val="20"/>
              </w:rPr>
            </w:pPr>
            <w:r w:rsidRPr="00EF4EE0">
              <w:rPr>
                <w:rFonts w:cs="Arial"/>
                <w:b/>
                <w:sz w:val="20"/>
                <w:szCs w:val="20"/>
              </w:rPr>
              <w:t>4. Sistema de Informações</w:t>
            </w:r>
          </w:p>
          <w:p w:rsidR="00646530" w:rsidRPr="00EF4EE0" w:rsidRDefault="00646530" w:rsidP="00B94A15">
            <w:pPr>
              <w:autoSpaceDE w:val="0"/>
              <w:autoSpaceDN w:val="0"/>
              <w:adjustRightInd w:val="0"/>
              <w:spacing w:before="60" w:after="60" w:line="240" w:lineRule="auto"/>
              <w:rPr>
                <w:rFonts w:cs="Arial"/>
                <w:sz w:val="20"/>
                <w:szCs w:val="20"/>
              </w:rPr>
            </w:pPr>
            <w:r w:rsidRPr="00EF4EE0">
              <w:rPr>
                <w:rFonts w:cs="Arial"/>
                <w:sz w:val="20"/>
                <w:szCs w:val="20"/>
              </w:rPr>
              <w:t>- Existe um Sistema de Alerta de Eventos Críticos (SACE-CPRM).</w:t>
            </w:r>
          </w:p>
          <w:p w:rsidR="00646530" w:rsidRPr="00EF4EE0" w:rsidRDefault="00646530" w:rsidP="00B94A15">
            <w:pPr>
              <w:autoSpaceDE w:val="0"/>
              <w:autoSpaceDN w:val="0"/>
              <w:adjustRightInd w:val="0"/>
              <w:spacing w:before="60" w:after="60" w:line="240" w:lineRule="auto"/>
              <w:rPr>
                <w:rFonts w:cs="Arial"/>
                <w:sz w:val="20"/>
                <w:szCs w:val="20"/>
              </w:rPr>
            </w:pPr>
          </w:p>
          <w:p w:rsidR="00646530" w:rsidRPr="00EF4EE0" w:rsidRDefault="00646530" w:rsidP="00B94A15">
            <w:pPr>
              <w:autoSpaceDE w:val="0"/>
              <w:autoSpaceDN w:val="0"/>
              <w:adjustRightInd w:val="0"/>
              <w:spacing w:before="60" w:after="60" w:line="240" w:lineRule="auto"/>
              <w:rPr>
                <w:rFonts w:cs="Arial"/>
                <w:b/>
                <w:sz w:val="20"/>
                <w:szCs w:val="20"/>
              </w:rPr>
            </w:pPr>
            <w:r w:rsidRPr="00EF4EE0">
              <w:rPr>
                <w:rFonts w:cs="Arial"/>
                <w:b/>
                <w:sz w:val="20"/>
                <w:szCs w:val="20"/>
              </w:rPr>
              <w:t>8. Estrutura e sistema de gerenciamento da drenagem</w:t>
            </w:r>
          </w:p>
          <w:p w:rsidR="00646530" w:rsidRPr="00C75729" w:rsidRDefault="00646530" w:rsidP="00B94A15">
            <w:pPr>
              <w:autoSpaceDE w:val="0"/>
              <w:autoSpaceDN w:val="0"/>
              <w:adjustRightInd w:val="0"/>
              <w:spacing w:before="60" w:after="60" w:line="240" w:lineRule="auto"/>
              <w:rPr>
                <w:rFonts w:cs="Arial"/>
                <w:sz w:val="20"/>
                <w:szCs w:val="20"/>
              </w:rPr>
            </w:pPr>
            <w:r w:rsidRPr="00EF4EE0">
              <w:rPr>
                <w:rFonts w:cs="Arial"/>
                <w:sz w:val="20"/>
                <w:szCs w:val="20"/>
              </w:rPr>
              <w:t>- Há mapeamento dos pontos de lançamento do sistema de drenagem. - Há separação entre esgotos e águas pluviais.</w:t>
            </w:r>
          </w:p>
          <w:p w:rsidR="00646530" w:rsidRPr="00C75729" w:rsidRDefault="00646530" w:rsidP="00B94A15">
            <w:pPr>
              <w:autoSpaceDE w:val="0"/>
              <w:autoSpaceDN w:val="0"/>
              <w:adjustRightInd w:val="0"/>
              <w:spacing w:before="60" w:after="60" w:line="240" w:lineRule="auto"/>
              <w:rPr>
                <w:rFonts w:cs="Arial"/>
                <w:sz w:val="20"/>
                <w:szCs w:val="20"/>
              </w:rPr>
            </w:pPr>
          </w:p>
        </w:tc>
        <w:tc>
          <w:tcPr>
            <w:tcW w:w="3402" w:type="dxa"/>
            <w:vMerge w:val="restart"/>
            <w:tcBorders>
              <w:top w:val="single" w:sz="4" w:space="0" w:color="auto"/>
              <w:left w:val="single" w:sz="4" w:space="0" w:color="auto"/>
              <w:right w:val="single" w:sz="4" w:space="0" w:color="auto"/>
            </w:tcBorders>
            <w:shd w:val="clear" w:color="auto" w:fill="B8CCE4"/>
            <w:vAlign w:val="center"/>
          </w:tcPr>
          <w:p w:rsidR="00646530" w:rsidRPr="00395214" w:rsidRDefault="00646530" w:rsidP="00B94A15">
            <w:pPr>
              <w:spacing w:line="240" w:lineRule="auto"/>
              <w:jc w:val="center"/>
              <w:rPr>
                <w:rFonts w:eastAsia="Times New Roman" w:cs="Arial"/>
                <w:b/>
                <w:bCs/>
                <w:sz w:val="20"/>
                <w:szCs w:val="20"/>
                <w:lang w:eastAsia="pt-BR"/>
              </w:rPr>
            </w:pPr>
            <w:r w:rsidRPr="00395214">
              <w:rPr>
                <w:rFonts w:eastAsia="Times New Roman" w:cs="Arial"/>
                <w:b/>
                <w:bCs/>
                <w:sz w:val="20"/>
                <w:szCs w:val="20"/>
                <w:lang w:eastAsia="pt-BR"/>
              </w:rPr>
              <w:t>1. Perfil institucional</w:t>
            </w:r>
          </w:p>
          <w:p w:rsidR="00646530" w:rsidRPr="00395214" w:rsidRDefault="00646530" w:rsidP="00B94A15">
            <w:pPr>
              <w:spacing w:line="240" w:lineRule="auto"/>
              <w:jc w:val="center"/>
              <w:rPr>
                <w:rFonts w:eastAsia="Times New Roman" w:cs="Arial"/>
                <w:b/>
                <w:bCs/>
                <w:sz w:val="20"/>
                <w:szCs w:val="20"/>
                <w:lang w:eastAsia="pt-BR"/>
              </w:rPr>
            </w:pPr>
          </w:p>
          <w:p w:rsidR="00646530" w:rsidRPr="00395214" w:rsidRDefault="00646530" w:rsidP="00B94A15">
            <w:pPr>
              <w:spacing w:line="240" w:lineRule="auto"/>
              <w:jc w:val="center"/>
              <w:rPr>
                <w:rFonts w:eastAsia="Times New Roman" w:cs="Arial"/>
                <w:b/>
                <w:bCs/>
                <w:sz w:val="20"/>
                <w:szCs w:val="20"/>
                <w:lang w:eastAsia="pt-BR"/>
              </w:rPr>
            </w:pPr>
            <w:r w:rsidRPr="00395214">
              <w:rPr>
                <w:rFonts w:eastAsia="Times New Roman" w:cs="Arial"/>
                <w:b/>
                <w:bCs/>
                <w:sz w:val="20"/>
                <w:szCs w:val="20"/>
                <w:lang w:eastAsia="pt-BR"/>
              </w:rPr>
              <w:t>2. Sustentabilidade econômica</w:t>
            </w:r>
          </w:p>
          <w:p w:rsidR="00646530" w:rsidRPr="00395214" w:rsidRDefault="00646530" w:rsidP="00B94A15">
            <w:pPr>
              <w:spacing w:line="240" w:lineRule="auto"/>
              <w:jc w:val="center"/>
              <w:rPr>
                <w:rFonts w:eastAsia="Times New Roman" w:cs="Arial"/>
                <w:b/>
                <w:bCs/>
                <w:sz w:val="20"/>
                <w:szCs w:val="20"/>
                <w:lang w:eastAsia="pt-BR"/>
              </w:rPr>
            </w:pPr>
          </w:p>
          <w:p w:rsidR="00646530" w:rsidRPr="00395214" w:rsidRDefault="00646530" w:rsidP="00B94A15">
            <w:pPr>
              <w:spacing w:line="240" w:lineRule="auto"/>
              <w:jc w:val="center"/>
              <w:rPr>
                <w:rFonts w:eastAsia="Times New Roman" w:cs="Arial"/>
                <w:b/>
                <w:bCs/>
                <w:sz w:val="20"/>
                <w:szCs w:val="20"/>
                <w:lang w:eastAsia="pt-BR"/>
              </w:rPr>
            </w:pPr>
            <w:r w:rsidRPr="00395214">
              <w:rPr>
                <w:rFonts w:eastAsia="Times New Roman" w:cs="Arial"/>
                <w:b/>
                <w:bCs/>
                <w:sz w:val="20"/>
                <w:szCs w:val="20"/>
                <w:lang w:eastAsia="pt-BR"/>
              </w:rPr>
              <w:t>3. Legislação e normatização do setor</w:t>
            </w:r>
          </w:p>
          <w:p w:rsidR="00646530" w:rsidRPr="00395214" w:rsidRDefault="00646530" w:rsidP="00B94A15">
            <w:pPr>
              <w:spacing w:line="240" w:lineRule="auto"/>
              <w:jc w:val="center"/>
              <w:rPr>
                <w:rFonts w:eastAsia="Times New Roman" w:cs="Arial"/>
                <w:b/>
                <w:bCs/>
                <w:sz w:val="20"/>
                <w:szCs w:val="20"/>
                <w:lang w:eastAsia="pt-BR"/>
              </w:rPr>
            </w:pPr>
          </w:p>
          <w:p w:rsidR="00646530" w:rsidRPr="00395214" w:rsidRDefault="00646530" w:rsidP="00B94A15">
            <w:pPr>
              <w:spacing w:line="240" w:lineRule="auto"/>
              <w:jc w:val="center"/>
              <w:rPr>
                <w:rFonts w:eastAsia="Times New Roman" w:cs="Arial"/>
                <w:b/>
                <w:bCs/>
                <w:sz w:val="20"/>
                <w:szCs w:val="20"/>
                <w:lang w:eastAsia="pt-BR"/>
              </w:rPr>
            </w:pPr>
            <w:r w:rsidRPr="00395214">
              <w:rPr>
                <w:rFonts w:eastAsia="Times New Roman" w:cs="Arial"/>
                <w:b/>
                <w:bCs/>
                <w:sz w:val="20"/>
                <w:szCs w:val="20"/>
                <w:lang w:eastAsia="pt-BR"/>
              </w:rPr>
              <w:t xml:space="preserve">4. Sistema de </w:t>
            </w:r>
            <w:r>
              <w:rPr>
                <w:rFonts w:eastAsia="Times New Roman" w:cs="Arial"/>
                <w:b/>
                <w:bCs/>
                <w:sz w:val="20"/>
                <w:szCs w:val="20"/>
                <w:lang w:eastAsia="pt-BR"/>
              </w:rPr>
              <w:t>I</w:t>
            </w:r>
            <w:r w:rsidRPr="00395214">
              <w:rPr>
                <w:rFonts w:eastAsia="Times New Roman" w:cs="Arial"/>
                <w:b/>
                <w:bCs/>
                <w:sz w:val="20"/>
                <w:szCs w:val="20"/>
                <w:lang w:eastAsia="pt-BR"/>
              </w:rPr>
              <w:t>nformações</w:t>
            </w:r>
          </w:p>
          <w:p w:rsidR="00646530" w:rsidRPr="00395214" w:rsidRDefault="00646530" w:rsidP="00B94A15">
            <w:pPr>
              <w:spacing w:line="240" w:lineRule="auto"/>
              <w:jc w:val="center"/>
              <w:rPr>
                <w:rFonts w:eastAsia="Times New Roman" w:cs="Arial"/>
                <w:b/>
                <w:bCs/>
                <w:sz w:val="20"/>
                <w:szCs w:val="20"/>
                <w:lang w:eastAsia="pt-BR"/>
              </w:rPr>
            </w:pPr>
          </w:p>
          <w:p w:rsidR="00646530" w:rsidRPr="00395214" w:rsidRDefault="00646530" w:rsidP="00B94A15">
            <w:pPr>
              <w:spacing w:line="240" w:lineRule="auto"/>
              <w:jc w:val="center"/>
              <w:rPr>
                <w:rFonts w:eastAsia="Times New Roman" w:cs="Arial"/>
                <w:b/>
                <w:bCs/>
                <w:sz w:val="20"/>
                <w:szCs w:val="20"/>
                <w:lang w:eastAsia="pt-BR"/>
              </w:rPr>
            </w:pPr>
            <w:r w:rsidRPr="00395214">
              <w:rPr>
                <w:rFonts w:eastAsia="Times New Roman" w:cs="Arial"/>
                <w:b/>
                <w:bCs/>
                <w:sz w:val="20"/>
                <w:szCs w:val="20"/>
                <w:lang w:eastAsia="pt-BR"/>
              </w:rPr>
              <w:t>5. Planejamento territorial / Uso e ocupação do solo</w:t>
            </w:r>
          </w:p>
          <w:p w:rsidR="00646530" w:rsidRPr="00395214" w:rsidRDefault="00646530" w:rsidP="00B94A15">
            <w:pPr>
              <w:spacing w:line="240" w:lineRule="auto"/>
              <w:jc w:val="center"/>
              <w:rPr>
                <w:rFonts w:eastAsia="Times New Roman" w:cs="Arial"/>
                <w:b/>
                <w:bCs/>
                <w:sz w:val="20"/>
                <w:szCs w:val="20"/>
                <w:lang w:eastAsia="pt-BR"/>
              </w:rPr>
            </w:pPr>
          </w:p>
          <w:p w:rsidR="00646530" w:rsidRPr="00395214" w:rsidRDefault="00646530" w:rsidP="00B94A15">
            <w:pPr>
              <w:spacing w:line="240" w:lineRule="auto"/>
              <w:jc w:val="center"/>
              <w:rPr>
                <w:rFonts w:eastAsia="Times New Roman" w:cs="Arial"/>
                <w:b/>
                <w:bCs/>
                <w:sz w:val="20"/>
                <w:szCs w:val="20"/>
                <w:lang w:eastAsia="pt-BR"/>
              </w:rPr>
            </w:pPr>
            <w:r w:rsidRPr="00395214">
              <w:rPr>
                <w:rFonts w:eastAsia="Times New Roman" w:cs="Arial"/>
                <w:b/>
                <w:bCs/>
                <w:sz w:val="20"/>
                <w:szCs w:val="20"/>
                <w:lang w:eastAsia="pt-BR"/>
              </w:rPr>
              <w:t>6. Parcerias institucionais</w:t>
            </w:r>
          </w:p>
          <w:p w:rsidR="00646530" w:rsidRPr="00395214" w:rsidRDefault="00646530" w:rsidP="00B94A15">
            <w:pPr>
              <w:spacing w:line="240" w:lineRule="auto"/>
              <w:jc w:val="center"/>
              <w:rPr>
                <w:rFonts w:eastAsia="Times New Roman" w:cs="Arial"/>
                <w:b/>
                <w:bCs/>
                <w:sz w:val="20"/>
                <w:szCs w:val="20"/>
                <w:lang w:eastAsia="pt-BR"/>
              </w:rPr>
            </w:pPr>
          </w:p>
          <w:p w:rsidR="00646530" w:rsidRPr="00395214" w:rsidRDefault="00646530" w:rsidP="00B94A15">
            <w:pPr>
              <w:spacing w:line="240" w:lineRule="auto"/>
              <w:jc w:val="center"/>
              <w:rPr>
                <w:rFonts w:eastAsia="Times New Roman" w:cs="Arial"/>
                <w:b/>
                <w:bCs/>
                <w:sz w:val="20"/>
                <w:szCs w:val="20"/>
                <w:lang w:eastAsia="pt-BR"/>
              </w:rPr>
            </w:pPr>
            <w:r w:rsidRPr="00395214">
              <w:rPr>
                <w:rFonts w:eastAsia="Times New Roman" w:cs="Arial"/>
                <w:b/>
                <w:bCs/>
                <w:sz w:val="20"/>
                <w:szCs w:val="20"/>
                <w:lang w:eastAsia="pt-BR"/>
              </w:rPr>
              <w:t>7. Orçamento municipal</w:t>
            </w:r>
          </w:p>
          <w:p w:rsidR="00646530" w:rsidRPr="00395214" w:rsidRDefault="00646530" w:rsidP="00B94A15">
            <w:pPr>
              <w:spacing w:line="240" w:lineRule="auto"/>
              <w:jc w:val="center"/>
              <w:rPr>
                <w:rFonts w:eastAsia="Times New Roman" w:cs="Arial"/>
                <w:b/>
                <w:bCs/>
                <w:sz w:val="20"/>
                <w:szCs w:val="20"/>
                <w:lang w:eastAsia="pt-BR"/>
              </w:rPr>
            </w:pPr>
          </w:p>
          <w:p w:rsidR="00646530" w:rsidRPr="00395214" w:rsidRDefault="00646530" w:rsidP="00B94A15">
            <w:pPr>
              <w:spacing w:line="240" w:lineRule="auto"/>
              <w:jc w:val="center"/>
              <w:rPr>
                <w:rFonts w:eastAsia="Times New Roman" w:cs="Arial"/>
                <w:b/>
                <w:bCs/>
                <w:sz w:val="20"/>
                <w:szCs w:val="20"/>
                <w:lang w:eastAsia="pt-BR"/>
              </w:rPr>
            </w:pPr>
            <w:r w:rsidRPr="00395214">
              <w:rPr>
                <w:rFonts w:eastAsia="Times New Roman" w:cs="Arial"/>
                <w:b/>
                <w:bCs/>
                <w:sz w:val="20"/>
                <w:szCs w:val="20"/>
                <w:lang w:eastAsia="pt-BR"/>
              </w:rPr>
              <w:t>8. Estrutura e sistema de gerenciamento da drenagem</w:t>
            </w:r>
          </w:p>
          <w:p w:rsidR="00646530" w:rsidRPr="00395214" w:rsidRDefault="00646530" w:rsidP="00B94A15">
            <w:pPr>
              <w:spacing w:line="240" w:lineRule="auto"/>
              <w:jc w:val="center"/>
              <w:rPr>
                <w:rFonts w:eastAsia="Times New Roman" w:cs="Arial"/>
                <w:b/>
                <w:bCs/>
                <w:sz w:val="20"/>
                <w:szCs w:val="20"/>
                <w:lang w:eastAsia="pt-BR"/>
              </w:rPr>
            </w:pPr>
          </w:p>
          <w:p w:rsidR="00646530" w:rsidRPr="00C75729" w:rsidRDefault="00646530" w:rsidP="00B94A15">
            <w:pPr>
              <w:autoSpaceDE w:val="0"/>
              <w:autoSpaceDN w:val="0"/>
              <w:adjustRightInd w:val="0"/>
              <w:spacing w:before="60" w:after="60" w:line="240" w:lineRule="auto"/>
              <w:jc w:val="center"/>
              <w:rPr>
                <w:rFonts w:cs="Arial"/>
                <w:b/>
                <w:sz w:val="20"/>
                <w:szCs w:val="20"/>
              </w:rPr>
            </w:pPr>
            <w:r w:rsidRPr="00395214">
              <w:rPr>
                <w:rFonts w:eastAsia="Times New Roman" w:cs="Arial"/>
                <w:b/>
                <w:bCs/>
                <w:sz w:val="20"/>
                <w:szCs w:val="20"/>
                <w:lang w:eastAsia="pt-BR"/>
              </w:rPr>
              <w:t>9. Proteção aos recursos hídricos</w:t>
            </w:r>
          </w:p>
        </w:tc>
        <w:tc>
          <w:tcPr>
            <w:tcW w:w="7378" w:type="dxa"/>
            <w:tcBorders>
              <w:top w:val="single" w:sz="4" w:space="0" w:color="auto"/>
              <w:left w:val="single" w:sz="4" w:space="0" w:color="auto"/>
              <w:bottom w:val="single" w:sz="4" w:space="0" w:color="auto"/>
              <w:right w:val="single" w:sz="4" w:space="0" w:color="auto"/>
            </w:tcBorders>
            <w:shd w:val="clear" w:color="auto" w:fill="B8CCE4"/>
          </w:tcPr>
          <w:p w:rsidR="00646530" w:rsidRPr="00C75729" w:rsidRDefault="00646530" w:rsidP="00B94A15">
            <w:pPr>
              <w:autoSpaceDE w:val="0"/>
              <w:autoSpaceDN w:val="0"/>
              <w:adjustRightInd w:val="0"/>
              <w:spacing w:before="60" w:after="60" w:line="240" w:lineRule="auto"/>
              <w:jc w:val="center"/>
              <w:rPr>
                <w:rFonts w:cs="Arial"/>
                <w:b/>
                <w:sz w:val="20"/>
                <w:szCs w:val="20"/>
              </w:rPr>
            </w:pPr>
            <w:r w:rsidRPr="00C75729">
              <w:rPr>
                <w:rFonts w:cs="Arial"/>
                <w:b/>
                <w:sz w:val="20"/>
                <w:szCs w:val="20"/>
              </w:rPr>
              <w:t>FRAQUEZAS</w:t>
            </w:r>
          </w:p>
          <w:p w:rsidR="00646530" w:rsidRPr="00C75729" w:rsidRDefault="00646530" w:rsidP="00B94A15">
            <w:pPr>
              <w:autoSpaceDE w:val="0"/>
              <w:autoSpaceDN w:val="0"/>
              <w:adjustRightInd w:val="0"/>
              <w:spacing w:before="60" w:after="60" w:line="240" w:lineRule="auto"/>
              <w:jc w:val="left"/>
              <w:rPr>
                <w:rFonts w:cs="Arial"/>
                <w:b/>
                <w:sz w:val="20"/>
                <w:szCs w:val="20"/>
              </w:rPr>
            </w:pPr>
          </w:p>
          <w:p w:rsidR="00646530" w:rsidRPr="00EF4EE0" w:rsidRDefault="00646530" w:rsidP="00B94A15">
            <w:pPr>
              <w:widowControl w:val="0"/>
              <w:autoSpaceDE w:val="0"/>
              <w:autoSpaceDN w:val="0"/>
              <w:adjustRightInd w:val="0"/>
              <w:spacing w:before="120" w:after="120" w:line="240" w:lineRule="auto"/>
              <w:ind w:firstLine="23"/>
              <w:contextualSpacing/>
              <w:jc w:val="left"/>
              <w:rPr>
                <w:rFonts w:cs="Arial"/>
                <w:b/>
                <w:sz w:val="20"/>
                <w:szCs w:val="20"/>
              </w:rPr>
            </w:pPr>
            <w:r w:rsidRPr="00EF4EE0">
              <w:rPr>
                <w:rFonts w:cs="Arial"/>
                <w:b/>
                <w:sz w:val="20"/>
                <w:szCs w:val="20"/>
              </w:rPr>
              <w:t>1. Perfil institucional</w:t>
            </w:r>
          </w:p>
          <w:p w:rsidR="00646530" w:rsidRPr="00EF4EE0" w:rsidRDefault="00646530" w:rsidP="00B94A15">
            <w:pPr>
              <w:widowControl w:val="0"/>
              <w:autoSpaceDE w:val="0"/>
              <w:autoSpaceDN w:val="0"/>
              <w:adjustRightInd w:val="0"/>
              <w:spacing w:before="120" w:after="120" w:line="240" w:lineRule="auto"/>
              <w:ind w:firstLine="23"/>
              <w:contextualSpacing/>
              <w:jc w:val="left"/>
              <w:rPr>
                <w:rFonts w:cs="Arial"/>
                <w:sz w:val="20"/>
                <w:szCs w:val="20"/>
              </w:rPr>
            </w:pPr>
            <w:r w:rsidRPr="00EF4EE0">
              <w:rPr>
                <w:rFonts w:cs="Arial"/>
                <w:sz w:val="20"/>
                <w:szCs w:val="20"/>
              </w:rPr>
              <w:t>- Ausência de atribuições bem definidas para execução das atividades da gestão do sistema de drenagem urbana e manejo de águas pluviais.</w:t>
            </w:r>
          </w:p>
          <w:p w:rsidR="00646530" w:rsidRDefault="00646530" w:rsidP="00B94A15">
            <w:pPr>
              <w:widowControl w:val="0"/>
              <w:autoSpaceDE w:val="0"/>
              <w:autoSpaceDN w:val="0"/>
              <w:adjustRightInd w:val="0"/>
              <w:spacing w:before="120" w:after="120" w:line="240" w:lineRule="auto"/>
              <w:ind w:firstLine="23"/>
              <w:contextualSpacing/>
              <w:jc w:val="left"/>
              <w:rPr>
                <w:rFonts w:cs="Arial"/>
                <w:sz w:val="20"/>
                <w:szCs w:val="20"/>
              </w:rPr>
            </w:pPr>
            <w:r w:rsidRPr="00EF4EE0">
              <w:rPr>
                <w:rFonts w:cs="Arial"/>
                <w:sz w:val="20"/>
                <w:szCs w:val="20"/>
              </w:rPr>
              <w:t>- Não há planejamento na manutenção preventiva das redes de drenagem.</w:t>
            </w:r>
          </w:p>
          <w:p w:rsidR="00646530" w:rsidRPr="00EF4EE0" w:rsidRDefault="00646530" w:rsidP="00B94A15">
            <w:pPr>
              <w:widowControl w:val="0"/>
              <w:autoSpaceDE w:val="0"/>
              <w:autoSpaceDN w:val="0"/>
              <w:adjustRightInd w:val="0"/>
              <w:spacing w:before="120" w:after="120" w:line="240" w:lineRule="auto"/>
              <w:ind w:firstLine="23"/>
              <w:contextualSpacing/>
              <w:jc w:val="left"/>
              <w:rPr>
                <w:rFonts w:cs="Arial"/>
                <w:sz w:val="20"/>
                <w:szCs w:val="20"/>
              </w:rPr>
            </w:pPr>
          </w:p>
          <w:p w:rsidR="00646530" w:rsidRPr="00EF4EE0" w:rsidRDefault="00646530" w:rsidP="00B94A15">
            <w:pPr>
              <w:widowControl w:val="0"/>
              <w:autoSpaceDE w:val="0"/>
              <w:autoSpaceDN w:val="0"/>
              <w:adjustRightInd w:val="0"/>
              <w:spacing w:before="120" w:after="120" w:line="240" w:lineRule="auto"/>
              <w:ind w:firstLine="23"/>
              <w:contextualSpacing/>
              <w:jc w:val="left"/>
              <w:rPr>
                <w:rFonts w:cs="Arial"/>
                <w:b/>
                <w:sz w:val="20"/>
                <w:szCs w:val="20"/>
              </w:rPr>
            </w:pPr>
            <w:r w:rsidRPr="00EF4EE0">
              <w:rPr>
                <w:rFonts w:cs="Arial"/>
                <w:b/>
                <w:sz w:val="20"/>
                <w:szCs w:val="20"/>
              </w:rPr>
              <w:t>2. Sustentabilidade econômica</w:t>
            </w:r>
          </w:p>
          <w:p w:rsidR="00646530" w:rsidRDefault="00646530" w:rsidP="00B94A15">
            <w:pPr>
              <w:widowControl w:val="0"/>
              <w:autoSpaceDE w:val="0"/>
              <w:autoSpaceDN w:val="0"/>
              <w:adjustRightInd w:val="0"/>
              <w:spacing w:before="120" w:after="120" w:line="240" w:lineRule="auto"/>
              <w:ind w:firstLine="23"/>
              <w:contextualSpacing/>
              <w:jc w:val="left"/>
              <w:rPr>
                <w:rFonts w:cs="Arial"/>
                <w:sz w:val="20"/>
                <w:szCs w:val="20"/>
              </w:rPr>
            </w:pPr>
            <w:r w:rsidRPr="00EF4EE0">
              <w:rPr>
                <w:rFonts w:cs="Arial"/>
                <w:sz w:val="20"/>
                <w:szCs w:val="20"/>
              </w:rPr>
              <w:t>- Não há monitoramento dos gastos públicos com drenagem.</w:t>
            </w:r>
          </w:p>
          <w:p w:rsidR="004939D6" w:rsidRDefault="004939D6" w:rsidP="00B94A15">
            <w:pPr>
              <w:widowControl w:val="0"/>
              <w:autoSpaceDE w:val="0"/>
              <w:autoSpaceDN w:val="0"/>
              <w:adjustRightInd w:val="0"/>
              <w:spacing w:before="120" w:after="120" w:line="240" w:lineRule="auto"/>
              <w:ind w:firstLine="23"/>
              <w:contextualSpacing/>
              <w:jc w:val="left"/>
              <w:rPr>
                <w:rFonts w:cs="Arial"/>
                <w:sz w:val="20"/>
                <w:szCs w:val="20"/>
              </w:rPr>
            </w:pPr>
            <w:r>
              <w:rPr>
                <w:rFonts w:cs="Arial"/>
                <w:sz w:val="20"/>
                <w:szCs w:val="20"/>
              </w:rPr>
              <w:t>- Não há cobranças para os serviços municipais de drenagem urbana.</w:t>
            </w:r>
          </w:p>
          <w:p w:rsidR="00646530" w:rsidRPr="00EF4EE0" w:rsidRDefault="00646530" w:rsidP="00B94A15">
            <w:pPr>
              <w:widowControl w:val="0"/>
              <w:autoSpaceDE w:val="0"/>
              <w:autoSpaceDN w:val="0"/>
              <w:adjustRightInd w:val="0"/>
              <w:spacing w:before="120" w:after="120" w:line="240" w:lineRule="auto"/>
              <w:ind w:firstLine="23"/>
              <w:contextualSpacing/>
              <w:jc w:val="left"/>
              <w:rPr>
                <w:rFonts w:cs="Arial"/>
                <w:sz w:val="20"/>
                <w:szCs w:val="20"/>
              </w:rPr>
            </w:pPr>
          </w:p>
          <w:p w:rsidR="00646530" w:rsidRPr="00EF4EE0" w:rsidRDefault="00646530" w:rsidP="00B94A15">
            <w:pPr>
              <w:widowControl w:val="0"/>
              <w:autoSpaceDE w:val="0"/>
              <w:autoSpaceDN w:val="0"/>
              <w:adjustRightInd w:val="0"/>
              <w:spacing w:before="120" w:after="120" w:line="240" w:lineRule="auto"/>
              <w:ind w:firstLine="23"/>
              <w:contextualSpacing/>
              <w:jc w:val="left"/>
              <w:rPr>
                <w:rFonts w:cs="Arial"/>
                <w:b/>
                <w:sz w:val="20"/>
                <w:szCs w:val="20"/>
              </w:rPr>
            </w:pPr>
            <w:r w:rsidRPr="00EF4EE0">
              <w:rPr>
                <w:rFonts w:cs="Arial"/>
                <w:b/>
                <w:sz w:val="20"/>
                <w:szCs w:val="20"/>
              </w:rPr>
              <w:t>4. Sistema de Informações</w:t>
            </w:r>
          </w:p>
          <w:p w:rsidR="00646530" w:rsidRPr="00EF4EE0" w:rsidRDefault="00646530" w:rsidP="00B94A15">
            <w:pPr>
              <w:widowControl w:val="0"/>
              <w:autoSpaceDE w:val="0"/>
              <w:autoSpaceDN w:val="0"/>
              <w:adjustRightInd w:val="0"/>
              <w:spacing w:before="120" w:after="120" w:line="240" w:lineRule="auto"/>
              <w:ind w:firstLine="23"/>
              <w:contextualSpacing/>
              <w:jc w:val="left"/>
              <w:rPr>
                <w:rFonts w:cs="Arial"/>
                <w:sz w:val="20"/>
                <w:szCs w:val="20"/>
              </w:rPr>
            </w:pPr>
            <w:r w:rsidRPr="00EF4EE0">
              <w:rPr>
                <w:rFonts w:cs="Arial"/>
                <w:sz w:val="20"/>
                <w:szCs w:val="20"/>
              </w:rPr>
              <w:t>- Ausência de sistematização para armazenamento e recuperação de dados administrativos e operacionais.</w:t>
            </w:r>
          </w:p>
          <w:p w:rsidR="00646530" w:rsidRPr="00EF4EE0" w:rsidRDefault="00646530" w:rsidP="00B94A15">
            <w:pPr>
              <w:widowControl w:val="0"/>
              <w:autoSpaceDE w:val="0"/>
              <w:autoSpaceDN w:val="0"/>
              <w:adjustRightInd w:val="0"/>
              <w:spacing w:before="120" w:after="120" w:line="240" w:lineRule="auto"/>
              <w:ind w:firstLine="23"/>
              <w:contextualSpacing/>
              <w:jc w:val="left"/>
              <w:rPr>
                <w:rFonts w:cs="Arial"/>
                <w:sz w:val="20"/>
                <w:szCs w:val="20"/>
              </w:rPr>
            </w:pPr>
            <w:r w:rsidRPr="00EF4EE0">
              <w:rPr>
                <w:rFonts w:cs="Arial"/>
                <w:sz w:val="20"/>
                <w:szCs w:val="20"/>
              </w:rPr>
              <w:t>- Não há monitoramento do sistema de drenagem.</w:t>
            </w:r>
          </w:p>
          <w:p w:rsidR="00646530" w:rsidRDefault="00646530" w:rsidP="00B94A15">
            <w:pPr>
              <w:widowControl w:val="0"/>
              <w:autoSpaceDE w:val="0"/>
              <w:autoSpaceDN w:val="0"/>
              <w:adjustRightInd w:val="0"/>
              <w:spacing w:before="120" w:after="120" w:line="240" w:lineRule="auto"/>
              <w:ind w:firstLine="23"/>
              <w:contextualSpacing/>
              <w:jc w:val="left"/>
              <w:rPr>
                <w:rFonts w:cs="Arial"/>
                <w:sz w:val="20"/>
                <w:szCs w:val="20"/>
              </w:rPr>
            </w:pPr>
            <w:r w:rsidRPr="00EF4EE0">
              <w:rPr>
                <w:rFonts w:cs="Arial"/>
                <w:sz w:val="20"/>
                <w:szCs w:val="20"/>
              </w:rPr>
              <w:t>- Não há planos de emergência para eventos extremos.</w:t>
            </w:r>
          </w:p>
          <w:p w:rsidR="00646530" w:rsidRPr="00EF4EE0" w:rsidRDefault="00646530" w:rsidP="00B94A15">
            <w:pPr>
              <w:widowControl w:val="0"/>
              <w:autoSpaceDE w:val="0"/>
              <w:autoSpaceDN w:val="0"/>
              <w:adjustRightInd w:val="0"/>
              <w:spacing w:before="120" w:after="120" w:line="240" w:lineRule="auto"/>
              <w:ind w:firstLine="23"/>
              <w:contextualSpacing/>
              <w:jc w:val="left"/>
              <w:rPr>
                <w:rFonts w:cs="Arial"/>
                <w:sz w:val="20"/>
                <w:szCs w:val="20"/>
              </w:rPr>
            </w:pPr>
          </w:p>
          <w:p w:rsidR="00646530" w:rsidRPr="00EF4EE0" w:rsidRDefault="00646530" w:rsidP="00B94A15">
            <w:pPr>
              <w:widowControl w:val="0"/>
              <w:autoSpaceDE w:val="0"/>
              <w:autoSpaceDN w:val="0"/>
              <w:adjustRightInd w:val="0"/>
              <w:spacing w:before="120" w:after="120" w:line="240" w:lineRule="auto"/>
              <w:ind w:firstLine="23"/>
              <w:contextualSpacing/>
              <w:jc w:val="left"/>
              <w:rPr>
                <w:rFonts w:cs="Arial"/>
                <w:b/>
                <w:sz w:val="20"/>
                <w:szCs w:val="20"/>
              </w:rPr>
            </w:pPr>
            <w:r w:rsidRPr="00EF4EE0">
              <w:rPr>
                <w:rFonts w:cs="Arial"/>
                <w:b/>
                <w:sz w:val="20"/>
                <w:szCs w:val="20"/>
              </w:rPr>
              <w:t>5. Planejamento territorial / Uso e ocupação do solo</w:t>
            </w:r>
          </w:p>
          <w:p w:rsidR="00646530" w:rsidRPr="00EF4EE0" w:rsidRDefault="00646530" w:rsidP="00B94A15">
            <w:pPr>
              <w:widowControl w:val="0"/>
              <w:autoSpaceDE w:val="0"/>
              <w:autoSpaceDN w:val="0"/>
              <w:adjustRightInd w:val="0"/>
              <w:spacing w:before="120" w:after="120" w:line="240" w:lineRule="auto"/>
              <w:ind w:firstLine="23"/>
              <w:contextualSpacing/>
              <w:jc w:val="left"/>
              <w:rPr>
                <w:rFonts w:cs="Arial"/>
                <w:sz w:val="20"/>
                <w:szCs w:val="20"/>
              </w:rPr>
            </w:pPr>
            <w:r w:rsidRPr="00EF4EE0">
              <w:rPr>
                <w:rFonts w:cs="Arial"/>
                <w:sz w:val="20"/>
                <w:szCs w:val="20"/>
              </w:rPr>
              <w:t>- Não há infraestruturas de controle de processos erosivos em locais de risco.</w:t>
            </w:r>
          </w:p>
          <w:p w:rsidR="00646530" w:rsidRDefault="00646530" w:rsidP="00B94A15">
            <w:pPr>
              <w:widowControl w:val="0"/>
              <w:autoSpaceDE w:val="0"/>
              <w:autoSpaceDN w:val="0"/>
              <w:adjustRightInd w:val="0"/>
              <w:spacing w:before="120" w:after="120" w:line="240" w:lineRule="auto"/>
              <w:ind w:firstLine="23"/>
              <w:contextualSpacing/>
              <w:jc w:val="left"/>
              <w:rPr>
                <w:rFonts w:cs="Arial"/>
                <w:sz w:val="20"/>
                <w:szCs w:val="20"/>
              </w:rPr>
            </w:pPr>
            <w:r w:rsidRPr="00EF4EE0">
              <w:rPr>
                <w:rFonts w:cs="Arial"/>
                <w:sz w:val="20"/>
                <w:szCs w:val="20"/>
              </w:rPr>
              <w:t>- Ocupações residenciais em áreas de risco de deslizamentos.</w:t>
            </w:r>
          </w:p>
          <w:p w:rsidR="00646530" w:rsidRPr="00EF4EE0" w:rsidRDefault="00646530" w:rsidP="00B94A15">
            <w:pPr>
              <w:widowControl w:val="0"/>
              <w:autoSpaceDE w:val="0"/>
              <w:autoSpaceDN w:val="0"/>
              <w:adjustRightInd w:val="0"/>
              <w:spacing w:before="120" w:after="120" w:line="240" w:lineRule="auto"/>
              <w:ind w:firstLine="23"/>
              <w:contextualSpacing/>
              <w:jc w:val="left"/>
              <w:rPr>
                <w:rFonts w:cs="Arial"/>
                <w:sz w:val="20"/>
                <w:szCs w:val="20"/>
              </w:rPr>
            </w:pPr>
          </w:p>
          <w:p w:rsidR="00646530" w:rsidRPr="00EF4EE0" w:rsidRDefault="00646530" w:rsidP="00B94A15">
            <w:pPr>
              <w:widowControl w:val="0"/>
              <w:autoSpaceDE w:val="0"/>
              <w:autoSpaceDN w:val="0"/>
              <w:adjustRightInd w:val="0"/>
              <w:spacing w:before="120" w:after="120" w:line="240" w:lineRule="auto"/>
              <w:ind w:firstLine="23"/>
              <w:contextualSpacing/>
              <w:jc w:val="left"/>
              <w:rPr>
                <w:rFonts w:cs="Arial"/>
                <w:b/>
                <w:sz w:val="20"/>
                <w:szCs w:val="20"/>
              </w:rPr>
            </w:pPr>
            <w:r w:rsidRPr="00EF4EE0">
              <w:rPr>
                <w:rFonts w:cs="Arial"/>
                <w:b/>
                <w:sz w:val="20"/>
                <w:szCs w:val="20"/>
              </w:rPr>
              <w:t>8. Estrutura e sistema de gerenciamento da drenagem</w:t>
            </w:r>
          </w:p>
          <w:p w:rsidR="00646530" w:rsidRPr="00EF4EE0" w:rsidRDefault="00646530" w:rsidP="00B94A15">
            <w:pPr>
              <w:widowControl w:val="0"/>
              <w:autoSpaceDE w:val="0"/>
              <w:autoSpaceDN w:val="0"/>
              <w:adjustRightInd w:val="0"/>
              <w:spacing w:before="120" w:after="120" w:line="240" w:lineRule="auto"/>
              <w:ind w:firstLine="23"/>
              <w:contextualSpacing/>
              <w:jc w:val="left"/>
              <w:rPr>
                <w:rFonts w:cs="Arial"/>
                <w:sz w:val="20"/>
                <w:szCs w:val="20"/>
              </w:rPr>
            </w:pPr>
            <w:r w:rsidRPr="00EF4EE0">
              <w:rPr>
                <w:rFonts w:cs="Arial"/>
                <w:sz w:val="20"/>
                <w:szCs w:val="20"/>
              </w:rPr>
              <w:t>- O município não possui levantamento cadastral da drenagem urbana.</w:t>
            </w:r>
          </w:p>
          <w:p w:rsidR="00646530" w:rsidRPr="00EF4EE0" w:rsidRDefault="00646530" w:rsidP="00B94A15">
            <w:pPr>
              <w:widowControl w:val="0"/>
              <w:autoSpaceDE w:val="0"/>
              <w:autoSpaceDN w:val="0"/>
              <w:adjustRightInd w:val="0"/>
              <w:spacing w:before="120" w:after="120" w:line="240" w:lineRule="auto"/>
              <w:ind w:firstLine="23"/>
              <w:contextualSpacing/>
              <w:jc w:val="left"/>
              <w:rPr>
                <w:rFonts w:cs="Arial"/>
                <w:sz w:val="20"/>
                <w:szCs w:val="20"/>
              </w:rPr>
            </w:pPr>
            <w:r w:rsidRPr="00EF4EE0">
              <w:rPr>
                <w:rFonts w:cs="Arial"/>
                <w:sz w:val="20"/>
                <w:szCs w:val="20"/>
              </w:rPr>
              <w:t>- Não há estruturas de microdrenagem.</w:t>
            </w:r>
          </w:p>
          <w:p w:rsidR="00646530" w:rsidRPr="00EF4EE0" w:rsidRDefault="00646530" w:rsidP="00B94A15">
            <w:pPr>
              <w:widowControl w:val="0"/>
              <w:autoSpaceDE w:val="0"/>
              <w:autoSpaceDN w:val="0"/>
              <w:adjustRightInd w:val="0"/>
              <w:spacing w:before="120" w:after="120" w:line="240" w:lineRule="auto"/>
              <w:ind w:firstLine="23"/>
              <w:contextualSpacing/>
              <w:jc w:val="left"/>
              <w:rPr>
                <w:rFonts w:cs="Arial"/>
                <w:sz w:val="20"/>
                <w:szCs w:val="20"/>
              </w:rPr>
            </w:pPr>
            <w:r w:rsidRPr="00EF4EE0">
              <w:rPr>
                <w:rFonts w:cs="Arial"/>
                <w:sz w:val="20"/>
                <w:szCs w:val="20"/>
              </w:rPr>
              <w:t>- Não há dissipadores de energia ao fim dos lançamentos.</w:t>
            </w:r>
          </w:p>
          <w:p w:rsidR="00646530" w:rsidRPr="00EF4EE0" w:rsidRDefault="00646530" w:rsidP="00B94A15">
            <w:pPr>
              <w:widowControl w:val="0"/>
              <w:autoSpaceDE w:val="0"/>
              <w:autoSpaceDN w:val="0"/>
              <w:adjustRightInd w:val="0"/>
              <w:spacing w:before="120" w:after="120" w:line="240" w:lineRule="auto"/>
              <w:ind w:firstLine="23"/>
              <w:contextualSpacing/>
              <w:jc w:val="left"/>
              <w:rPr>
                <w:rFonts w:cs="Arial"/>
                <w:sz w:val="20"/>
                <w:szCs w:val="20"/>
              </w:rPr>
            </w:pPr>
            <w:r w:rsidRPr="00EF4EE0">
              <w:rPr>
                <w:rFonts w:cs="Arial"/>
                <w:sz w:val="20"/>
                <w:szCs w:val="20"/>
              </w:rPr>
              <w:t>- Há pontos de alagamento em estradas rurais e inundações em área urbana.</w:t>
            </w:r>
          </w:p>
          <w:p w:rsidR="00646530" w:rsidRDefault="00646530" w:rsidP="00B94A15">
            <w:pPr>
              <w:widowControl w:val="0"/>
              <w:autoSpaceDE w:val="0"/>
              <w:autoSpaceDN w:val="0"/>
              <w:adjustRightInd w:val="0"/>
              <w:spacing w:before="120" w:after="120" w:line="240" w:lineRule="auto"/>
              <w:ind w:firstLine="23"/>
              <w:contextualSpacing/>
              <w:jc w:val="left"/>
              <w:rPr>
                <w:rFonts w:cs="Arial"/>
                <w:sz w:val="20"/>
                <w:szCs w:val="20"/>
              </w:rPr>
            </w:pPr>
            <w:r w:rsidRPr="00EF4EE0">
              <w:rPr>
                <w:rFonts w:cs="Arial"/>
                <w:sz w:val="20"/>
                <w:szCs w:val="20"/>
              </w:rPr>
              <w:t>- Na sede municipal, há quatro pontes que não atendem às demandas hidrológicas.</w:t>
            </w:r>
          </w:p>
          <w:p w:rsidR="004939D6" w:rsidRDefault="004939D6" w:rsidP="004939D6">
            <w:pPr>
              <w:autoSpaceDE w:val="0"/>
              <w:autoSpaceDN w:val="0"/>
              <w:adjustRightInd w:val="0"/>
              <w:spacing w:before="60" w:after="60" w:line="240" w:lineRule="auto"/>
              <w:rPr>
                <w:rFonts w:cs="Arial"/>
                <w:b/>
                <w:sz w:val="20"/>
                <w:szCs w:val="20"/>
              </w:rPr>
            </w:pPr>
          </w:p>
          <w:p w:rsidR="00665BBB" w:rsidRDefault="00665BBB" w:rsidP="004939D6">
            <w:pPr>
              <w:autoSpaceDE w:val="0"/>
              <w:autoSpaceDN w:val="0"/>
              <w:adjustRightInd w:val="0"/>
              <w:spacing w:before="60" w:after="60" w:line="240" w:lineRule="auto"/>
              <w:rPr>
                <w:rFonts w:cs="Arial"/>
                <w:b/>
                <w:sz w:val="20"/>
                <w:szCs w:val="20"/>
              </w:rPr>
            </w:pPr>
          </w:p>
          <w:p w:rsidR="004939D6" w:rsidRPr="00EF4EE0" w:rsidRDefault="004939D6" w:rsidP="004939D6">
            <w:pPr>
              <w:autoSpaceDE w:val="0"/>
              <w:autoSpaceDN w:val="0"/>
              <w:adjustRightInd w:val="0"/>
              <w:spacing w:before="60" w:after="60" w:line="240" w:lineRule="auto"/>
              <w:rPr>
                <w:rFonts w:cs="Arial"/>
                <w:b/>
                <w:sz w:val="20"/>
                <w:szCs w:val="20"/>
              </w:rPr>
            </w:pPr>
            <w:r w:rsidRPr="00EF4EE0">
              <w:rPr>
                <w:rFonts w:cs="Arial"/>
                <w:b/>
                <w:sz w:val="20"/>
                <w:szCs w:val="20"/>
              </w:rPr>
              <w:lastRenderedPageBreak/>
              <w:t>9. Proteção aos recursos hídricos</w:t>
            </w:r>
          </w:p>
          <w:p w:rsidR="004939D6" w:rsidRPr="00327800" w:rsidRDefault="004939D6" w:rsidP="004939D6">
            <w:pPr>
              <w:autoSpaceDE w:val="0"/>
              <w:autoSpaceDN w:val="0"/>
              <w:adjustRightInd w:val="0"/>
              <w:spacing w:before="60" w:after="60" w:line="240" w:lineRule="auto"/>
              <w:rPr>
                <w:rFonts w:cs="Arial"/>
                <w:sz w:val="20"/>
                <w:szCs w:val="20"/>
              </w:rPr>
            </w:pPr>
            <w:r w:rsidRPr="00327800">
              <w:rPr>
                <w:rFonts w:cs="Arial"/>
                <w:sz w:val="20"/>
                <w:szCs w:val="20"/>
              </w:rPr>
              <w:t>- Há cursos hídricos assoreados.</w:t>
            </w:r>
          </w:p>
          <w:p w:rsidR="004939D6" w:rsidRPr="004939D6" w:rsidRDefault="004939D6" w:rsidP="004939D6">
            <w:pPr>
              <w:autoSpaceDE w:val="0"/>
              <w:autoSpaceDN w:val="0"/>
              <w:adjustRightInd w:val="0"/>
              <w:spacing w:before="60" w:after="60" w:line="240" w:lineRule="auto"/>
              <w:rPr>
                <w:rFonts w:cs="Arial"/>
                <w:sz w:val="20"/>
                <w:szCs w:val="20"/>
              </w:rPr>
            </w:pPr>
            <w:r w:rsidRPr="00327800">
              <w:rPr>
                <w:rFonts w:cs="Arial"/>
                <w:sz w:val="20"/>
                <w:szCs w:val="20"/>
              </w:rPr>
              <w:t>- De modo geral, as APPs de nascentes estão degradadas.</w:t>
            </w:r>
          </w:p>
        </w:tc>
      </w:tr>
      <w:tr w:rsidR="00646530" w:rsidRPr="00C75729" w:rsidTr="00B94A15">
        <w:trPr>
          <w:trHeight w:val="1895"/>
          <w:jc w:val="center"/>
        </w:trPr>
        <w:tc>
          <w:tcPr>
            <w:tcW w:w="0" w:type="auto"/>
            <w:tcBorders>
              <w:top w:val="single" w:sz="4" w:space="0" w:color="auto"/>
              <w:left w:val="single" w:sz="4" w:space="0" w:color="auto"/>
              <w:bottom w:val="single" w:sz="4" w:space="0" w:color="auto"/>
              <w:right w:val="single" w:sz="4" w:space="0" w:color="auto"/>
            </w:tcBorders>
            <w:shd w:val="clear" w:color="auto" w:fill="365F91"/>
            <w:vAlign w:val="center"/>
            <w:hideMark/>
          </w:tcPr>
          <w:p w:rsidR="00646530" w:rsidRPr="00C75729" w:rsidRDefault="00646530" w:rsidP="00B94A15">
            <w:pPr>
              <w:autoSpaceDE w:val="0"/>
              <w:autoSpaceDN w:val="0"/>
              <w:adjustRightInd w:val="0"/>
              <w:spacing w:before="60" w:after="60" w:line="240" w:lineRule="auto"/>
              <w:jc w:val="center"/>
              <w:rPr>
                <w:rFonts w:cs="Arial"/>
                <w:color w:val="FFFFFF"/>
                <w:sz w:val="20"/>
                <w:szCs w:val="20"/>
              </w:rPr>
            </w:pPr>
            <w:r w:rsidRPr="00C75729">
              <w:rPr>
                <w:rFonts w:cs="Arial"/>
                <w:color w:val="FFFFFF"/>
                <w:sz w:val="20"/>
                <w:szCs w:val="20"/>
              </w:rPr>
              <w:lastRenderedPageBreak/>
              <w:t>Ambiente Externo</w:t>
            </w:r>
          </w:p>
        </w:tc>
        <w:tc>
          <w:tcPr>
            <w:tcW w:w="3253" w:type="dxa"/>
            <w:tcBorders>
              <w:top w:val="single" w:sz="4" w:space="0" w:color="auto"/>
              <w:left w:val="single" w:sz="4" w:space="0" w:color="auto"/>
              <w:bottom w:val="single" w:sz="4" w:space="0" w:color="auto"/>
              <w:right w:val="single" w:sz="4" w:space="0" w:color="auto"/>
            </w:tcBorders>
            <w:shd w:val="clear" w:color="auto" w:fill="B8CCE4"/>
          </w:tcPr>
          <w:p w:rsidR="00646530" w:rsidRPr="00C75729" w:rsidRDefault="00646530" w:rsidP="00B94A15">
            <w:pPr>
              <w:autoSpaceDE w:val="0"/>
              <w:autoSpaceDN w:val="0"/>
              <w:adjustRightInd w:val="0"/>
              <w:spacing w:before="60" w:after="60" w:line="240" w:lineRule="auto"/>
              <w:jc w:val="center"/>
              <w:rPr>
                <w:rFonts w:cs="Arial"/>
                <w:b/>
                <w:sz w:val="20"/>
                <w:szCs w:val="20"/>
              </w:rPr>
            </w:pPr>
            <w:r w:rsidRPr="00C75729">
              <w:rPr>
                <w:rFonts w:cs="Arial"/>
                <w:b/>
                <w:sz w:val="20"/>
                <w:szCs w:val="20"/>
              </w:rPr>
              <w:t>OPORTUNIDADES</w:t>
            </w:r>
          </w:p>
          <w:p w:rsidR="00646530" w:rsidRPr="00C75729" w:rsidRDefault="00646530" w:rsidP="00B94A15">
            <w:pPr>
              <w:autoSpaceDE w:val="0"/>
              <w:autoSpaceDN w:val="0"/>
              <w:adjustRightInd w:val="0"/>
              <w:spacing w:before="60" w:after="60" w:line="240" w:lineRule="auto"/>
              <w:jc w:val="center"/>
              <w:rPr>
                <w:rFonts w:cs="Arial"/>
                <w:b/>
                <w:sz w:val="20"/>
                <w:szCs w:val="20"/>
              </w:rPr>
            </w:pPr>
          </w:p>
          <w:p w:rsidR="00646530" w:rsidRPr="00EF4EE0" w:rsidRDefault="00646530" w:rsidP="00B94A15">
            <w:pPr>
              <w:autoSpaceDE w:val="0"/>
              <w:autoSpaceDN w:val="0"/>
              <w:adjustRightInd w:val="0"/>
              <w:spacing w:before="60" w:after="60" w:line="240" w:lineRule="auto"/>
              <w:jc w:val="left"/>
              <w:rPr>
                <w:rFonts w:cs="Arial"/>
                <w:b/>
                <w:sz w:val="20"/>
                <w:szCs w:val="20"/>
              </w:rPr>
            </w:pPr>
            <w:r w:rsidRPr="00EF4EE0">
              <w:rPr>
                <w:rFonts w:cs="Arial"/>
                <w:b/>
                <w:sz w:val="20"/>
                <w:szCs w:val="20"/>
              </w:rPr>
              <w:t>3. Legislação e normatização do setor</w:t>
            </w:r>
          </w:p>
          <w:p w:rsidR="00646530" w:rsidRDefault="00646530" w:rsidP="00B94A15">
            <w:pPr>
              <w:autoSpaceDE w:val="0"/>
              <w:autoSpaceDN w:val="0"/>
              <w:adjustRightInd w:val="0"/>
              <w:spacing w:before="60" w:after="60" w:line="240" w:lineRule="auto"/>
              <w:jc w:val="left"/>
              <w:rPr>
                <w:rFonts w:cs="Arial"/>
                <w:sz w:val="20"/>
                <w:szCs w:val="20"/>
              </w:rPr>
            </w:pPr>
            <w:r w:rsidRPr="00EF4EE0">
              <w:rPr>
                <w:rFonts w:cs="Arial"/>
                <w:sz w:val="20"/>
                <w:szCs w:val="20"/>
              </w:rPr>
              <w:t>- Lei federal sobre o parcelamento do solo, disposições sobre infraestrutura básica de parcelamento de solos, incluindo equipamentos urbanos de escoamento de águas pluviais (Lei nº 6.766, 19/12/1979).</w:t>
            </w:r>
          </w:p>
          <w:p w:rsidR="00646530" w:rsidRPr="00EF4EE0" w:rsidRDefault="00646530" w:rsidP="00B94A15">
            <w:pPr>
              <w:autoSpaceDE w:val="0"/>
              <w:autoSpaceDN w:val="0"/>
              <w:adjustRightInd w:val="0"/>
              <w:spacing w:before="60" w:after="60" w:line="240" w:lineRule="auto"/>
              <w:jc w:val="left"/>
              <w:rPr>
                <w:rFonts w:cs="Arial"/>
                <w:sz w:val="20"/>
                <w:szCs w:val="20"/>
              </w:rPr>
            </w:pPr>
          </w:p>
          <w:p w:rsidR="00646530" w:rsidRPr="00EF4EE0" w:rsidRDefault="00646530" w:rsidP="00B94A15">
            <w:pPr>
              <w:autoSpaceDE w:val="0"/>
              <w:autoSpaceDN w:val="0"/>
              <w:adjustRightInd w:val="0"/>
              <w:spacing w:before="60" w:after="60" w:line="240" w:lineRule="auto"/>
              <w:jc w:val="left"/>
              <w:rPr>
                <w:rFonts w:cs="Arial"/>
                <w:b/>
                <w:sz w:val="20"/>
                <w:szCs w:val="20"/>
              </w:rPr>
            </w:pPr>
            <w:r w:rsidRPr="00EF4EE0">
              <w:rPr>
                <w:rFonts w:cs="Arial"/>
                <w:b/>
                <w:sz w:val="20"/>
                <w:szCs w:val="20"/>
              </w:rPr>
              <w:t>6. Parcerias institucionais</w:t>
            </w:r>
          </w:p>
          <w:p w:rsidR="00646530" w:rsidRPr="00EF4EE0" w:rsidRDefault="00646530" w:rsidP="00B94A15">
            <w:pPr>
              <w:autoSpaceDE w:val="0"/>
              <w:autoSpaceDN w:val="0"/>
              <w:adjustRightInd w:val="0"/>
              <w:spacing w:before="60" w:after="60" w:line="240" w:lineRule="auto"/>
              <w:jc w:val="left"/>
              <w:rPr>
                <w:rFonts w:cs="Arial"/>
                <w:sz w:val="20"/>
                <w:szCs w:val="20"/>
              </w:rPr>
            </w:pPr>
            <w:r w:rsidRPr="00EF4EE0">
              <w:rPr>
                <w:rFonts w:cs="Arial"/>
                <w:sz w:val="20"/>
                <w:szCs w:val="20"/>
              </w:rPr>
              <w:t>-Faz parte do PIRH-Doce.</w:t>
            </w:r>
          </w:p>
          <w:p w:rsidR="00646530" w:rsidRPr="00EF4EE0" w:rsidRDefault="00646530" w:rsidP="00B94A15">
            <w:pPr>
              <w:autoSpaceDE w:val="0"/>
              <w:autoSpaceDN w:val="0"/>
              <w:adjustRightInd w:val="0"/>
              <w:spacing w:before="60" w:after="60" w:line="240" w:lineRule="auto"/>
              <w:jc w:val="left"/>
              <w:rPr>
                <w:rFonts w:cs="Arial"/>
                <w:sz w:val="20"/>
                <w:szCs w:val="20"/>
              </w:rPr>
            </w:pPr>
            <w:r w:rsidRPr="00EF4EE0">
              <w:rPr>
                <w:rFonts w:cs="Arial"/>
                <w:sz w:val="20"/>
                <w:szCs w:val="20"/>
              </w:rPr>
              <w:t>-Sistema de alertas CPRM.</w:t>
            </w:r>
          </w:p>
          <w:p w:rsidR="00646530" w:rsidRPr="00EF4EE0" w:rsidRDefault="00646530" w:rsidP="00B94A15">
            <w:pPr>
              <w:autoSpaceDE w:val="0"/>
              <w:autoSpaceDN w:val="0"/>
              <w:adjustRightInd w:val="0"/>
              <w:spacing w:before="60" w:after="60" w:line="240" w:lineRule="auto"/>
              <w:jc w:val="left"/>
              <w:rPr>
                <w:rFonts w:cs="Arial"/>
                <w:sz w:val="20"/>
                <w:szCs w:val="20"/>
              </w:rPr>
            </w:pPr>
          </w:p>
          <w:p w:rsidR="00646530" w:rsidRPr="00EF4EE0" w:rsidRDefault="00646530" w:rsidP="00B94A15">
            <w:pPr>
              <w:autoSpaceDE w:val="0"/>
              <w:autoSpaceDN w:val="0"/>
              <w:adjustRightInd w:val="0"/>
              <w:spacing w:before="60" w:after="60" w:line="240" w:lineRule="auto"/>
              <w:jc w:val="left"/>
              <w:rPr>
                <w:rFonts w:cs="Arial"/>
                <w:b/>
                <w:sz w:val="20"/>
                <w:szCs w:val="20"/>
              </w:rPr>
            </w:pPr>
            <w:r w:rsidRPr="00EF4EE0">
              <w:rPr>
                <w:rFonts w:cs="Arial"/>
                <w:b/>
                <w:sz w:val="20"/>
                <w:szCs w:val="20"/>
              </w:rPr>
              <w:t>9. Proteção aos recursos hídricos</w:t>
            </w:r>
          </w:p>
          <w:p w:rsidR="00646530" w:rsidRPr="00EF4EE0" w:rsidRDefault="00646530" w:rsidP="00B94A15">
            <w:pPr>
              <w:autoSpaceDE w:val="0"/>
              <w:autoSpaceDN w:val="0"/>
              <w:adjustRightInd w:val="0"/>
              <w:spacing w:before="60" w:after="60" w:line="240" w:lineRule="auto"/>
              <w:jc w:val="left"/>
              <w:rPr>
                <w:rFonts w:cs="Arial"/>
                <w:sz w:val="20"/>
                <w:szCs w:val="20"/>
              </w:rPr>
            </w:pPr>
            <w:r w:rsidRPr="00EF4EE0">
              <w:rPr>
                <w:rFonts w:cs="Arial"/>
                <w:sz w:val="20"/>
                <w:szCs w:val="20"/>
              </w:rPr>
              <w:t>- Programa de recomposição de APPs em parceria com PIRH-DOCE.</w:t>
            </w:r>
          </w:p>
          <w:p w:rsidR="00646530" w:rsidRPr="00C75729" w:rsidRDefault="00646530" w:rsidP="00B94A15">
            <w:pPr>
              <w:autoSpaceDE w:val="0"/>
              <w:autoSpaceDN w:val="0"/>
              <w:adjustRightInd w:val="0"/>
              <w:spacing w:before="60" w:after="60" w:line="240" w:lineRule="auto"/>
              <w:jc w:val="left"/>
              <w:rPr>
                <w:rFonts w:cs="Arial"/>
                <w:sz w:val="20"/>
                <w:szCs w:val="20"/>
              </w:rPr>
            </w:pPr>
            <w:r w:rsidRPr="00EF4EE0">
              <w:rPr>
                <w:rFonts w:cs="Arial"/>
                <w:sz w:val="20"/>
                <w:szCs w:val="20"/>
              </w:rPr>
              <w:t>-Há projeto do sistema de esgotamento sanitário elaborado, faltando somente a execução.</w:t>
            </w:r>
          </w:p>
        </w:tc>
        <w:tc>
          <w:tcPr>
            <w:tcW w:w="3402" w:type="dxa"/>
            <w:vMerge/>
            <w:tcBorders>
              <w:left w:val="single" w:sz="4" w:space="0" w:color="auto"/>
              <w:bottom w:val="single" w:sz="4" w:space="0" w:color="auto"/>
              <w:right w:val="single" w:sz="4" w:space="0" w:color="auto"/>
            </w:tcBorders>
            <w:shd w:val="clear" w:color="auto" w:fill="B8CCE4"/>
            <w:vAlign w:val="center"/>
          </w:tcPr>
          <w:p w:rsidR="00646530" w:rsidRPr="00C75729" w:rsidRDefault="00646530" w:rsidP="00B94A15">
            <w:pPr>
              <w:autoSpaceDE w:val="0"/>
              <w:autoSpaceDN w:val="0"/>
              <w:adjustRightInd w:val="0"/>
              <w:spacing w:before="60" w:after="60" w:line="240" w:lineRule="auto"/>
              <w:rPr>
                <w:rFonts w:cs="Arial"/>
                <w:b/>
                <w:sz w:val="20"/>
                <w:szCs w:val="20"/>
                <w:highlight w:val="yellow"/>
              </w:rPr>
            </w:pPr>
          </w:p>
        </w:tc>
        <w:tc>
          <w:tcPr>
            <w:tcW w:w="7378" w:type="dxa"/>
            <w:tcBorders>
              <w:top w:val="single" w:sz="4" w:space="0" w:color="auto"/>
              <w:left w:val="single" w:sz="4" w:space="0" w:color="auto"/>
              <w:bottom w:val="single" w:sz="4" w:space="0" w:color="auto"/>
              <w:right w:val="single" w:sz="4" w:space="0" w:color="auto"/>
            </w:tcBorders>
            <w:shd w:val="clear" w:color="auto" w:fill="B8CCE4"/>
          </w:tcPr>
          <w:p w:rsidR="00327800" w:rsidRPr="00327800" w:rsidRDefault="00646530" w:rsidP="00327800">
            <w:pPr>
              <w:autoSpaceDE w:val="0"/>
              <w:autoSpaceDN w:val="0"/>
              <w:adjustRightInd w:val="0"/>
              <w:spacing w:before="60" w:after="60" w:line="240" w:lineRule="auto"/>
              <w:jc w:val="center"/>
              <w:rPr>
                <w:rFonts w:cs="Arial"/>
                <w:b/>
                <w:sz w:val="20"/>
                <w:szCs w:val="20"/>
              </w:rPr>
            </w:pPr>
            <w:r w:rsidRPr="00C75729">
              <w:rPr>
                <w:rFonts w:cs="Arial"/>
                <w:b/>
                <w:sz w:val="20"/>
                <w:szCs w:val="20"/>
              </w:rPr>
              <w:t>AMEAÇAS</w:t>
            </w:r>
          </w:p>
          <w:p w:rsidR="00646530" w:rsidRDefault="00646530" w:rsidP="00B94A15">
            <w:pPr>
              <w:autoSpaceDE w:val="0"/>
              <w:autoSpaceDN w:val="0"/>
              <w:adjustRightInd w:val="0"/>
              <w:spacing w:before="60" w:after="60" w:line="240" w:lineRule="auto"/>
              <w:rPr>
                <w:rFonts w:cs="Arial"/>
                <w:sz w:val="20"/>
                <w:szCs w:val="20"/>
              </w:rPr>
            </w:pPr>
          </w:p>
          <w:p w:rsidR="00646530" w:rsidRPr="00EF4EE0" w:rsidRDefault="00646530" w:rsidP="00B94A15">
            <w:pPr>
              <w:autoSpaceDE w:val="0"/>
              <w:autoSpaceDN w:val="0"/>
              <w:adjustRightInd w:val="0"/>
              <w:spacing w:before="60" w:after="60" w:line="240" w:lineRule="auto"/>
              <w:rPr>
                <w:rFonts w:cs="Arial"/>
                <w:b/>
                <w:sz w:val="20"/>
                <w:szCs w:val="20"/>
              </w:rPr>
            </w:pPr>
            <w:r w:rsidRPr="00EF4EE0">
              <w:rPr>
                <w:rFonts w:cs="Arial"/>
                <w:b/>
                <w:sz w:val="20"/>
                <w:szCs w:val="20"/>
              </w:rPr>
              <w:t>3. Legislação e normatização do setor</w:t>
            </w:r>
          </w:p>
          <w:p w:rsidR="00646530" w:rsidRDefault="004939D6" w:rsidP="00B94A15">
            <w:pPr>
              <w:autoSpaceDE w:val="0"/>
              <w:autoSpaceDN w:val="0"/>
              <w:adjustRightInd w:val="0"/>
              <w:spacing w:before="60" w:after="60" w:line="240" w:lineRule="auto"/>
              <w:rPr>
                <w:rFonts w:cs="Arial"/>
                <w:sz w:val="20"/>
                <w:szCs w:val="20"/>
              </w:rPr>
            </w:pPr>
            <w:r>
              <w:rPr>
                <w:rFonts w:cs="Arial"/>
                <w:sz w:val="20"/>
                <w:szCs w:val="20"/>
              </w:rPr>
              <w:t xml:space="preserve">- Falta </w:t>
            </w:r>
            <w:r w:rsidR="00327800">
              <w:rPr>
                <w:rFonts w:cs="Arial"/>
                <w:sz w:val="20"/>
                <w:szCs w:val="20"/>
              </w:rPr>
              <w:t xml:space="preserve">de </w:t>
            </w:r>
            <w:r>
              <w:rPr>
                <w:rFonts w:cs="Arial"/>
                <w:sz w:val="20"/>
                <w:szCs w:val="20"/>
              </w:rPr>
              <w:t xml:space="preserve">fiscalização das ocupações </w:t>
            </w:r>
            <w:r w:rsidR="00327800">
              <w:rPr>
                <w:rFonts w:cs="Arial"/>
                <w:sz w:val="20"/>
                <w:szCs w:val="20"/>
              </w:rPr>
              <w:t>em</w:t>
            </w:r>
            <w:r>
              <w:rPr>
                <w:rFonts w:cs="Arial"/>
                <w:sz w:val="20"/>
                <w:szCs w:val="20"/>
              </w:rPr>
              <w:t xml:space="preserve"> APP e fundos de vale (planície</w:t>
            </w:r>
            <w:r w:rsidR="00327800">
              <w:rPr>
                <w:rFonts w:cs="Arial"/>
                <w:sz w:val="20"/>
                <w:szCs w:val="20"/>
              </w:rPr>
              <w:t>s</w:t>
            </w:r>
            <w:r>
              <w:rPr>
                <w:rFonts w:cs="Arial"/>
                <w:sz w:val="20"/>
                <w:szCs w:val="20"/>
              </w:rPr>
              <w:t xml:space="preserve"> de inundação).</w:t>
            </w:r>
          </w:p>
          <w:p w:rsidR="00646530" w:rsidRPr="00EF4EE0" w:rsidRDefault="00646530" w:rsidP="00B94A15">
            <w:pPr>
              <w:autoSpaceDE w:val="0"/>
              <w:autoSpaceDN w:val="0"/>
              <w:adjustRightInd w:val="0"/>
              <w:spacing w:before="60" w:after="60" w:line="240" w:lineRule="auto"/>
              <w:rPr>
                <w:rFonts w:cs="Arial"/>
                <w:sz w:val="20"/>
                <w:szCs w:val="20"/>
              </w:rPr>
            </w:pPr>
          </w:p>
          <w:p w:rsidR="00646530" w:rsidRPr="00EF4EE0" w:rsidRDefault="00646530" w:rsidP="00B94A15">
            <w:pPr>
              <w:autoSpaceDE w:val="0"/>
              <w:autoSpaceDN w:val="0"/>
              <w:adjustRightInd w:val="0"/>
              <w:spacing w:before="60" w:after="60" w:line="240" w:lineRule="auto"/>
              <w:rPr>
                <w:rFonts w:cs="Arial"/>
                <w:b/>
                <w:sz w:val="20"/>
                <w:szCs w:val="20"/>
              </w:rPr>
            </w:pPr>
            <w:r w:rsidRPr="00EF4EE0">
              <w:rPr>
                <w:rFonts w:cs="Arial"/>
                <w:b/>
                <w:sz w:val="20"/>
                <w:szCs w:val="20"/>
              </w:rPr>
              <w:t>5. Planejamento territorial / Uso e ocupação do solo</w:t>
            </w:r>
          </w:p>
          <w:p w:rsidR="00646530" w:rsidRDefault="00646530" w:rsidP="00B94A15">
            <w:pPr>
              <w:autoSpaceDE w:val="0"/>
              <w:autoSpaceDN w:val="0"/>
              <w:adjustRightInd w:val="0"/>
              <w:spacing w:before="60" w:after="60" w:line="240" w:lineRule="auto"/>
              <w:rPr>
                <w:rFonts w:cs="Arial"/>
                <w:sz w:val="20"/>
                <w:szCs w:val="20"/>
              </w:rPr>
            </w:pPr>
            <w:r w:rsidRPr="00EF4EE0">
              <w:rPr>
                <w:rFonts w:cs="Arial"/>
                <w:sz w:val="20"/>
                <w:szCs w:val="20"/>
              </w:rPr>
              <w:t>- Há processos erosivos na área rural do município.</w:t>
            </w:r>
          </w:p>
          <w:p w:rsidR="00646530" w:rsidRPr="00EF4EE0" w:rsidRDefault="00646530" w:rsidP="00B94A15">
            <w:pPr>
              <w:autoSpaceDE w:val="0"/>
              <w:autoSpaceDN w:val="0"/>
              <w:adjustRightInd w:val="0"/>
              <w:spacing w:before="60" w:after="60" w:line="240" w:lineRule="auto"/>
              <w:rPr>
                <w:rFonts w:cs="Arial"/>
                <w:sz w:val="20"/>
                <w:szCs w:val="20"/>
              </w:rPr>
            </w:pPr>
          </w:p>
          <w:p w:rsidR="00646530" w:rsidRPr="00EF4EE0" w:rsidRDefault="00646530" w:rsidP="00B94A15">
            <w:pPr>
              <w:autoSpaceDE w:val="0"/>
              <w:autoSpaceDN w:val="0"/>
              <w:adjustRightInd w:val="0"/>
              <w:spacing w:before="60" w:after="60" w:line="240" w:lineRule="auto"/>
              <w:rPr>
                <w:rFonts w:cs="Arial"/>
                <w:b/>
                <w:sz w:val="20"/>
                <w:szCs w:val="20"/>
              </w:rPr>
            </w:pPr>
            <w:r w:rsidRPr="00EF4EE0">
              <w:rPr>
                <w:rFonts w:cs="Arial"/>
                <w:b/>
                <w:sz w:val="20"/>
                <w:szCs w:val="20"/>
              </w:rPr>
              <w:t>7. Orçamento municipal</w:t>
            </w:r>
          </w:p>
          <w:p w:rsidR="00646530" w:rsidRDefault="00646530" w:rsidP="00B94A15">
            <w:pPr>
              <w:autoSpaceDE w:val="0"/>
              <w:autoSpaceDN w:val="0"/>
              <w:adjustRightInd w:val="0"/>
              <w:spacing w:before="60" w:after="60" w:line="240" w:lineRule="auto"/>
              <w:rPr>
                <w:rFonts w:cs="Arial"/>
                <w:sz w:val="20"/>
                <w:szCs w:val="20"/>
              </w:rPr>
            </w:pPr>
            <w:r w:rsidRPr="00EF4EE0">
              <w:rPr>
                <w:rFonts w:cs="Arial"/>
                <w:sz w:val="20"/>
                <w:szCs w:val="20"/>
              </w:rPr>
              <w:t>- Baixo orçamento.</w:t>
            </w:r>
          </w:p>
          <w:p w:rsidR="00646530" w:rsidRPr="00EF4EE0" w:rsidRDefault="00646530" w:rsidP="00B94A15">
            <w:pPr>
              <w:autoSpaceDE w:val="0"/>
              <w:autoSpaceDN w:val="0"/>
              <w:adjustRightInd w:val="0"/>
              <w:spacing w:before="60" w:after="60" w:line="240" w:lineRule="auto"/>
              <w:rPr>
                <w:rFonts w:cs="Arial"/>
                <w:sz w:val="20"/>
                <w:szCs w:val="20"/>
              </w:rPr>
            </w:pPr>
          </w:p>
          <w:p w:rsidR="00646530" w:rsidRPr="00EF4EE0" w:rsidRDefault="00646530" w:rsidP="00B94A15">
            <w:pPr>
              <w:autoSpaceDE w:val="0"/>
              <w:autoSpaceDN w:val="0"/>
              <w:adjustRightInd w:val="0"/>
              <w:spacing w:before="60" w:after="60" w:line="240" w:lineRule="auto"/>
              <w:rPr>
                <w:rFonts w:cs="Arial"/>
                <w:b/>
                <w:sz w:val="20"/>
                <w:szCs w:val="20"/>
              </w:rPr>
            </w:pPr>
            <w:r w:rsidRPr="00EF4EE0">
              <w:rPr>
                <w:rFonts w:cs="Arial"/>
                <w:b/>
                <w:sz w:val="20"/>
                <w:szCs w:val="20"/>
              </w:rPr>
              <w:t>8. Estrutura e sistema de gerenciamento da drenagem</w:t>
            </w:r>
          </w:p>
          <w:p w:rsidR="00646530" w:rsidRDefault="00646530" w:rsidP="00B94A15">
            <w:pPr>
              <w:autoSpaceDE w:val="0"/>
              <w:autoSpaceDN w:val="0"/>
              <w:adjustRightInd w:val="0"/>
              <w:spacing w:before="60" w:after="60" w:line="240" w:lineRule="auto"/>
              <w:rPr>
                <w:rFonts w:cs="Arial"/>
                <w:sz w:val="20"/>
                <w:szCs w:val="20"/>
              </w:rPr>
            </w:pPr>
            <w:r w:rsidRPr="00EF4EE0">
              <w:rPr>
                <w:rFonts w:cs="Arial"/>
                <w:sz w:val="20"/>
                <w:szCs w:val="20"/>
              </w:rPr>
              <w:t>- Há lançamento de esgoto doméstico clandestino nas redes de drenagem.</w:t>
            </w:r>
          </w:p>
          <w:p w:rsidR="00646530" w:rsidRPr="00EF4EE0" w:rsidRDefault="00646530" w:rsidP="00B94A15">
            <w:pPr>
              <w:autoSpaceDE w:val="0"/>
              <w:autoSpaceDN w:val="0"/>
              <w:adjustRightInd w:val="0"/>
              <w:spacing w:before="60" w:after="60" w:line="240" w:lineRule="auto"/>
              <w:rPr>
                <w:rFonts w:cs="Arial"/>
                <w:sz w:val="20"/>
                <w:szCs w:val="20"/>
              </w:rPr>
            </w:pPr>
          </w:p>
          <w:p w:rsidR="00646530" w:rsidRPr="00EF4EE0" w:rsidRDefault="00646530" w:rsidP="00B94A15">
            <w:pPr>
              <w:autoSpaceDE w:val="0"/>
              <w:autoSpaceDN w:val="0"/>
              <w:adjustRightInd w:val="0"/>
              <w:spacing w:before="60" w:after="60" w:line="240" w:lineRule="auto"/>
              <w:rPr>
                <w:rFonts w:cs="Arial"/>
                <w:b/>
                <w:sz w:val="20"/>
                <w:szCs w:val="20"/>
              </w:rPr>
            </w:pPr>
            <w:r w:rsidRPr="00EF4EE0">
              <w:rPr>
                <w:rFonts w:cs="Arial"/>
                <w:b/>
                <w:sz w:val="20"/>
                <w:szCs w:val="20"/>
              </w:rPr>
              <w:t>9. Proteção aos recursos hídricos</w:t>
            </w:r>
          </w:p>
          <w:p w:rsidR="00646530" w:rsidRPr="00EF4EE0" w:rsidRDefault="00646530" w:rsidP="00B94A15">
            <w:pPr>
              <w:autoSpaceDE w:val="0"/>
              <w:autoSpaceDN w:val="0"/>
              <w:adjustRightInd w:val="0"/>
              <w:spacing w:before="60" w:after="60" w:line="240" w:lineRule="auto"/>
              <w:rPr>
                <w:rFonts w:cs="Arial"/>
                <w:sz w:val="20"/>
                <w:szCs w:val="20"/>
              </w:rPr>
            </w:pPr>
            <w:r w:rsidRPr="00EF4EE0">
              <w:rPr>
                <w:rFonts w:cs="Arial"/>
                <w:sz w:val="20"/>
                <w:szCs w:val="20"/>
              </w:rPr>
              <w:t>- Não há ETE no município.</w:t>
            </w:r>
          </w:p>
          <w:p w:rsidR="00646530" w:rsidRPr="00C75729" w:rsidRDefault="00646530" w:rsidP="004939D6">
            <w:pPr>
              <w:autoSpaceDE w:val="0"/>
              <w:autoSpaceDN w:val="0"/>
              <w:adjustRightInd w:val="0"/>
              <w:spacing w:before="60" w:after="60" w:line="240" w:lineRule="auto"/>
              <w:rPr>
                <w:rFonts w:cs="Arial"/>
                <w:sz w:val="20"/>
                <w:szCs w:val="20"/>
                <w:highlight w:val="yellow"/>
              </w:rPr>
            </w:pPr>
            <w:r w:rsidRPr="00EF4EE0">
              <w:rPr>
                <w:rFonts w:cs="Arial"/>
                <w:sz w:val="20"/>
                <w:szCs w:val="20"/>
              </w:rPr>
              <w:t>- Há disposição de resíduos sólidos urbanos nos cursos hídricos.</w:t>
            </w:r>
          </w:p>
        </w:tc>
      </w:tr>
    </w:tbl>
    <w:p w:rsidR="00646530" w:rsidRPr="005D3214" w:rsidRDefault="00646530" w:rsidP="00646530">
      <w:pPr>
        <w:pStyle w:val="Fonte"/>
        <w:rPr>
          <w:rFonts w:cs="Arial"/>
          <w:szCs w:val="24"/>
          <w:highlight w:val="yellow"/>
        </w:rPr>
      </w:pPr>
      <w:r w:rsidRPr="00F23897">
        <w:t>Fonte: adaptado por SHS, 2017.</w:t>
      </w:r>
    </w:p>
    <w:p w:rsidR="00646530" w:rsidRPr="005D3214" w:rsidRDefault="00646530" w:rsidP="00646530">
      <w:pPr>
        <w:autoSpaceDE w:val="0"/>
        <w:autoSpaceDN w:val="0"/>
        <w:adjustRightInd w:val="0"/>
        <w:rPr>
          <w:rFonts w:cs="Arial"/>
          <w:szCs w:val="24"/>
          <w:highlight w:val="yellow"/>
        </w:rPr>
        <w:sectPr w:rsidR="00646530" w:rsidRPr="005D3214" w:rsidSect="00B94A15">
          <w:footerReference w:type="default" r:id="rId71"/>
          <w:pgSz w:w="16839" w:h="11907" w:orient="landscape" w:code="9"/>
          <w:pgMar w:top="1418" w:right="1134" w:bottom="1134" w:left="1134" w:header="709" w:footer="709" w:gutter="0"/>
          <w:cols w:space="708"/>
          <w:docGrid w:linePitch="360"/>
        </w:sectPr>
      </w:pPr>
    </w:p>
    <w:p w:rsidR="00646530" w:rsidRPr="005D3214" w:rsidRDefault="00646530" w:rsidP="00646530">
      <w:pPr>
        <w:spacing w:before="120" w:after="120"/>
        <w:ind w:firstLine="708"/>
        <w:contextualSpacing/>
        <w:rPr>
          <w:rFonts w:cs="Arial"/>
          <w:szCs w:val="24"/>
          <w:lang w:eastAsia="pt-BR"/>
        </w:rPr>
      </w:pPr>
      <w:r w:rsidRPr="005D3214">
        <w:rPr>
          <w:rFonts w:cs="Arial"/>
          <w:szCs w:val="24"/>
          <w:lang w:eastAsia="pt-BR"/>
        </w:rPr>
        <w:lastRenderedPageBreak/>
        <w:t>Considerando</w:t>
      </w:r>
      <w:r>
        <w:rPr>
          <w:rFonts w:cs="Arial"/>
          <w:szCs w:val="24"/>
          <w:lang w:eastAsia="pt-BR"/>
        </w:rPr>
        <w:t xml:space="preserve"> </w:t>
      </w:r>
      <w:r w:rsidRPr="005D3214">
        <w:rPr>
          <w:rFonts w:cs="Arial"/>
          <w:szCs w:val="24"/>
          <w:lang w:eastAsia="pt-BR"/>
        </w:rPr>
        <w:t>todas es</w:t>
      </w:r>
      <w:r>
        <w:rPr>
          <w:rFonts w:cs="Arial"/>
          <w:szCs w:val="24"/>
          <w:lang w:eastAsia="pt-BR"/>
        </w:rPr>
        <w:t>s</w:t>
      </w:r>
      <w:r w:rsidRPr="005D3214">
        <w:rPr>
          <w:rFonts w:cs="Arial"/>
          <w:szCs w:val="24"/>
          <w:lang w:eastAsia="pt-BR"/>
        </w:rPr>
        <w:t xml:space="preserve">as questões, partiu-se para a construção de dois cenários, </w:t>
      </w:r>
      <w:r w:rsidRPr="002F554A">
        <w:rPr>
          <w:rFonts w:cs="Arial"/>
          <w:szCs w:val="24"/>
          <w:lang w:eastAsia="pt-BR"/>
        </w:rPr>
        <w:t>um previsível, ou seja, aquele que retrata uma evolução do SDU baseada em providências tomadas corretivamente, de forma emergencial, sem planejamento; e outro chamado cenário normativo,</w:t>
      </w:r>
      <w:r w:rsidRPr="005D3214">
        <w:rPr>
          <w:rFonts w:cs="Arial"/>
          <w:szCs w:val="24"/>
          <w:lang w:eastAsia="pt-BR"/>
        </w:rPr>
        <w:t xml:space="preserve"> que é aquele que retrata uma situação bem mais organizada, alcançada através de procedimentos planejados e sustentados por regulamentos (leis e normas)</w:t>
      </w:r>
      <w:r>
        <w:rPr>
          <w:rFonts w:cs="Arial"/>
          <w:szCs w:val="24"/>
          <w:lang w:eastAsia="pt-BR"/>
        </w:rPr>
        <w:t>,</w:t>
      </w:r>
      <w:r w:rsidRPr="005D3214">
        <w:rPr>
          <w:rFonts w:cs="Arial"/>
          <w:szCs w:val="24"/>
          <w:lang w:eastAsia="pt-BR"/>
        </w:rPr>
        <w:t xml:space="preserve"> que desde já incidem sobre a gestão deste e dos demais eixos do saneamento básico. O resultado está mostrado no</w:t>
      </w:r>
      <w:r>
        <w:rPr>
          <w:rFonts w:cs="Arial"/>
          <w:szCs w:val="24"/>
          <w:lang w:eastAsia="pt-BR"/>
        </w:rPr>
        <w:t xml:space="preserve"> </w:t>
      </w:r>
      <w:r>
        <w:rPr>
          <w:rFonts w:cs="Arial"/>
          <w:szCs w:val="24"/>
          <w:lang w:eastAsia="pt-BR"/>
        </w:rPr>
        <w:fldChar w:fldCharType="begin"/>
      </w:r>
      <w:r>
        <w:rPr>
          <w:rFonts w:cs="Arial"/>
          <w:szCs w:val="24"/>
          <w:lang w:eastAsia="pt-BR"/>
        </w:rPr>
        <w:instrText xml:space="preserve"> REF _Ref484157868 \h </w:instrText>
      </w:r>
      <w:r>
        <w:rPr>
          <w:rFonts w:cs="Arial"/>
          <w:szCs w:val="24"/>
          <w:lang w:eastAsia="pt-BR"/>
        </w:rPr>
      </w:r>
      <w:r>
        <w:rPr>
          <w:rFonts w:cs="Arial"/>
          <w:szCs w:val="24"/>
          <w:lang w:eastAsia="pt-BR"/>
        </w:rPr>
        <w:fldChar w:fldCharType="separate"/>
      </w:r>
      <w:r w:rsidR="004D1D76" w:rsidRPr="000B03E0">
        <w:t xml:space="preserve">Quadro </w:t>
      </w:r>
      <w:r w:rsidR="004D1D76">
        <w:rPr>
          <w:noProof/>
        </w:rPr>
        <w:t>79</w:t>
      </w:r>
      <w:r>
        <w:rPr>
          <w:rFonts w:cs="Arial"/>
          <w:szCs w:val="24"/>
          <w:lang w:eastAsia="pt-BR"/>
        </w:rPr>
        <w:fldChar w:fldCharType="end"/>
      </w:r>
      <w:r w:rsidRPr="005D3214">
        <w:rPr>
          <w:rFonts w:cs="Arial"/>
          <w:szCs w:val="24"/>
          <w:lang w:eastAsia="pt-BR"/>
        </w:rPr>
        <w:t>.</w:t>
      </w:r>
    </w:p>
    <w:p w:rsidR="00646530" w:rsidRPr="00A42342" w:rsidRDefault="00646530" w:rsidP="00646530">
      <w:pPr>
        <w:pStyle w:val="Legenda"/>
        <w:rPr>
          <w:lang w:val="pt-BR"/>
        </w:rPr>
      </w:pPr>
      <w:bookmarkStart w:id="749" w:name="_Ref484157868"/>
      <w:bookmarkStart w:id="750" w:name="_Toc398040333"/>
      <w:bookmarkStart w:id="751" w:name="_Toc447029051"/>
      <w:bookmarkStart w:id="752" w:name="_Toc484423920"/>
      <w:bookmarkStart w:id="753" w:name="_Toc484532482"/>
      <w:bookmarkStart w:id="754" w:name="_Toc497469200"/>
      <w:r w:rsidRPr="000B03E0">
        <w:t xml:space="preserve">Quadro </w:t>
      </w:r>
      <w:r w:rsidR="00D71C43">
        <w:fldChar w:fldCharType="begin"/>
      </w:r>
      <w:r w:rsidR="00D71C43">
        <w:instrText xml:space="preserve"> SEQ Quadro \* ARABIC </w:instrText>
      </w:r>
      <w:r w:rsidR="00D71C43">
        <w:fldChar w:fldCharType="separate"/>
      </w:r>
      <w:r w:rsidR="004D1D76">
        <w:rPr>
          <w:noProof/>
        </w:rPr>
        <w:t>79</w:t>
      </w:r>
      <w:r w:rsidR="00D71C43">
        <w:rPr>
          <w:noProof/>
        </w:rPr>
        <w:fldChar w:fldCharType="end"/>
      </w:r>
      <w:bookmarkEnd w:id="749"/>
      <w:r w:rsidRPr="000B03E0">
        <w:t xml:space="preserve"> - Descrição dos cenários previsível e normativo para o </w:t>
      </w:r>
      <w:bookmarkEnd w:id="750"/>
      <w:bookmarkEnd w:id="751"/>
      <w:r>
        <w:rPr>
          <w:lang w:val="pt-BR"/>
        </w:rPr>
        <w:t>Sistema de Drenagem Urbana</w:t>
      </w:r>
      <w:bookmarkEnd w:id="752"/>
      <w:bookmarkEnd w:id="753"/>
      <w:bookmarkEnd w:id="754"/>
    </w:p>
    <w:tbl>
      <w:tblPr>
        <w:tblW w:w="0" w:type="auto"/>
        <w:jc w:val="center"/>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3659"/>
        <w:gridCol w:w="5075"/>
      </w:tblGrid>
      <w:tr w:rsidR="00646530" w:rsidRPr="00D06736" w:rsidTr="00B94A15">
        <w:trPr>
          <w:tblHeader/>
          <w:jc w:val="center"/>
        </w:trPr>
        <w:tc>
          <w:tcPr>
            <w:tcW w:w="3659" w:type="dxa"/>
            <w:tcBorders>
              <w:bottom w:val="single" w:sz="8" w:space="0" w:color="4F81BD"/>
            </w:tcBorders>
            <w:shd w:val="clear" w:color="auto" w:fill="4F81BD"/>
          </w:tcPr>
          <w:p w:rsidR="00646530" w:rsidRPr="00D06736" w:rsidRDefault="00646530" w:rsidP="00B94A15">
            <w:pPr>
              <w:autoSpaceDE w:val="0"/>
              <w:autoSpaceDN w:val="0"/>
              <w:adjustRightInd w:val="0"/>
              <w:jc w:val="center"/>
              <w:rPr>
                <w:rFonts w:cs="Arial"/>
                <w:b/>
                <w:bCs/>
              </w:rPr>
            </w:pPr>
            <w:r w:rsidRPr="00D06736">
              <w:rPr>
                <w:rFonts w:cs="Arial"/>
                <w:b/>
                <w:bCs/>
              </w:rPr>
              <w:t>Cenário Previsível</w:t>
            </w:r>
          </w:p>
        </w:tc>
        <w:tc>
          <w:tcPr>
            <w:tcW w:w="5075" w:type="dxa"/>
            <w:tcBorders>
              <w:bottom w:val="single" w:sz="8" w:space="0" w:color="4F81BD"/>
            </w:tcBorders>
            <w:shd w:val="clear" w:color="auto" w:fill="4F81BD"/>
          </w:tcPr>
          <w:p w:rsidR="00646530" w:rsidRPr="00D06736" w:rsidRDefault="00646530" w:rsidP="00B94A15">
            <w:pPr>
              <w:autoSpaceDE w:val="0"/>
              <w:autoSpaceDN w:val="0"/>
              <w:adjustRightInd w:val="0"/>
              <w:jc w:val="center"/>
              <w:rPr>
                <w:rFonts w:cs="Arial"/>
                <w:b/>
                <w:bCs/>
              </w:rPr>
            </w:pPr>
            <w:r w:rsidRPr="00D06736">
              <w:rPr>
                <w:rFonts w:cs="Arial"/>
                <w:b/>
                <w:bCs/>
              </w:rPr>
              <w:t>Cenário Normativo</w:t>
            </w:r>
          </w:p>
        </w:tc>
      </w:tr>
      <w:tr w:rsidR="00646530" w:rsidRPr="00D06736" w:rsidTr="00B94A15">
        <w:trPr>
          <w:trHeight w:val="2008"/>
          <w:jc w:val="center"/>
        </w:trPr>
        <w:tc>
          <w:tcPr>
            <w:tcW w:w="3659" w:type="dxa"/>
            <w:tcBorders>
              <w:top w:val="single" w:sz="8" w:space="0" w:color="4F81BD"/>
              <w:left w:val="single" w:sz="8" w:space="0" w:color="4F81BD"/>
              <w:bottom w:val="single" w:sz="8" w:space="0" w:color="4F81BD"/>
              <w:right w:val="single" w:sz="4" w:space="0" w:color="auto"/>
            </w:tcBorders>
            <w:shd w:val="clear" w:color="auto" w:fill="auto"/>
            <w:vAlign w:val="center"/>
          </w:tcPr>
          <w:p w:rsidR="00646530" w:rsidRPr="00D06736" w:rsidRDefault="00646530" w:rsidP="00B94A15">
            <w:pPr>
              <w:rPr>
                <w:rFonts w:cs="Arial"/>
                <w:sz w:val="20"/>
                <w:szCs w:val="20"/>
              </w:rPr>
            </w:pPr>
            <w:r w:rsidRPr="00D06736">
              <w:rPr>
                <w:rFonts w:cs="Arial"/>
                <w:sz w:val="20"/>
                <w:szCs w:val="20"/>
              </w:rPr>
              <w:t>Planejamento territorial desordenado, ocupação irregular das margens dos rios e de APPs, ocupação de áreas propícias à inundação e escorregamento. Controle mínimo por parte da Administração Pública.</w:t>
            </w:r>
          </w:p>
        </w:tc>
        <w:tc>
          <w:tcPr>
            <w:tcW w:w="5075" w:type="dxa"/>
            <w:tcBorders>
              <w:top w:val="single" w:sz="8" w:space="0" w:color="4F81BD"/>
              <w:left w:val="single" w:sz="4" w:space="0" w:color="auto"/>
              <w:bottom w:val="single" w:sz="8" w:space="0" w:color="4F81BD"/>
              <w:right w:val="single" w:sz="8" w:space="0" w:color="4F81BD"/>
            </w:tcBorders>
            <w:shd w:val="clear" w:color="auto" w:fill="auto"/>
            <w:vAlign w:val="center"/>
          </w:tcPr>
          <w:p w:rsidR="00646530" w:rsidRPr="00D06736" w:rsidRDefault="00646530" w:rsidP="00B94A15">
            <w:pPr>
              <w:rPr>
                <w:rFonts w:cs="Arial"/>
                <w:sz w:val="20"/>
                <w:szCs w:val="20"/>
              </w:rPr>
            </w:pPr>
            <w:r w:rsidRPr="00D06736">
              <w:rPr>
                <w:rFonts w:cs="Arial"/>
                <w:sz w:val="20"/>
                <w:szCs w:val="20"/>
              </w:rPr>
              <w:t>Administração Pública realiza o controle eficaz na aprovação de novos lotes urbanos evitando aprovação de locais que apresentem riscos humanos e ambientais que a ocupação irregular pode acarretar. Segue normatização definida por legislações vigentes.</w:t>
            </w:r>
          </w:p>
        </w:tc>
      </w:tr>
      <w:tr w:rsidR="00646530" w:rsidRPr="00D06736" w:rsidTr="00B94A15">
        <w:trPr>
          <w:trHeight w:val="627"/>
          <w:jc w:val="center"/>
        </w:trPr>
        <w:tc>
          <w:tcPr>
            <w:tcW w:w="3659" w:type="dxa"/>
            <w:tcBorders>
              <w:top w:val="single" w:sz="8" w:space="0" w:color="4F81BD"/>
              <w:bottom w:val="single" w:sz="8" w:space="0" w:color="4F81BD"/>
              <w:right w:val="single" w:sz="4" w:space="0" w:color="auto"/>
            </w:tcBorders>
            <w:shd w:val="clear" w:color="auto" w:fill="auto"/>
            <w:vAlign w:val="center"/>
          </w:tcPr>
          <w:p w:rsidR="00646530" w:rsidRPr="00D06736" w:rsidRDefault="00646530" w:rsidP="00B94A15">
            <w:pPr>
              <w:rPr>
                <w:rFonts w:cs="Arial"/>
                <w:sz w:val="20"/>
                <w:szCs w:val="20"/>
              </w:rPr>
            </w:pPr>
            <w:r w:rsidRPr="00D06736">
              <w:rPr>
                <w:rFonts w:cs="Arial"/>
                <w:sz w:val="20"/>
                <w:szCs w:val="20"/>
              </w:rPr>
              <w:t>Sistema de informações sobre drenagem urbana (cadastro) com dados desatualizados e de difícil acesso.</w:t>
            </w:r>
          </w:p>
        </w:tc>
        <w:tc>
          <w:tcPr>
            <w:tcW w:w="5075" w:type="dxa"/>
            <w:tcBorders>
              <w:top w:val="single" w:sz="8" w:space="0" w:color="4F81BD"/>
              <w:left w:val="single" w:sz="4" w:space="0" w:color="auto"/>
              <w:bottom w:val="single" w:sz="8" w:space="0" w:color="4F81BD"/>
            </w:tcBorders>
            <w:shd w:val="clear" w:color="auto" w:fill="auto"/>
            <w:vAlign w:val="center"/>
          </w:tcPr>
          <w:p w:rsidR="00646530" w:rsidRPr="00D06736" w:rsidRDefault="00646530" w:rsidP="00B94A15">
            <w:pPr>
              <w:rPr>
                <w:rFonts w:cs="Arial"/>
                <w:sz w:val="20"/>
                <w:szCs w:val="20"/>
              </w:rPr>
            </w:pPr>
            <w:r w:rsidRPr="00D06736">
              <w:rPr>
                <w:rFonts w:cs="Arial"/>
                <w:sz w:val="20"/>
                <w:szCs w:val="20"/>
              </w:rPr>
              <w:t>Sistema de informações sobre drenagem urbana (cadastro) com dados atualizados anualmente.</w:t>
            </w:r>
          </w:p>
        </w:tc>
      </w:tr>
      <w:tr w:rsidR="00646530" w:rsidRPr="00D06736" w:rsidTr="00B94A15">
        <w:trPr>
          <w:trHeight w:val="1342"/>
          <w:jc w:val="center"/>
        </w:trPr>
        <w:tc>
          <w:tcPr>
            <w:tcW w:w="3659" w:type="dxa"/>
            <w:tcBorders>
              <w:top w:val="single" w:sz="8" w:space="0" w:color="4F81BD"/>
              <w:left w:val="single" w:sz="8" w:space="0" w:color="4F81BD"/>
              <w:bottom w:val="single" w:sz="8" w:space="0" w:color="4F81BD"/>
              <w:right w:val="single" w:sz="4" w:space="0" w:color="auto"/>
            </w:tcBorders>
            <w:shd w:val="clear" w:color="auto" w:fill="auto"/>
            <w:vAlign w:val="center"/>
          </w:tcPr>
          <w:p w:rsidR="00646530" w:rsidRPr="00D06736" w:rsidRDefault="00646530" w:rsidP="00B94A15">
            <w:pPr>
              <w:rPr>
                <w:rFonts w:cs="Arial"/>
                <w:sz w:val="20"/>
                <w:szCs w:val="20"/>
              </w:rPr>
            </w:pPr>
            <w:r w:rsidRPr="00D06736">
              <w:rPr>
                <w:rFonts w:cs="Arial"/>
                <w:sz w:val="20"/>
                <w:szCs w:val="20"/>
              </w:rPr>
              <w:t>Limitação de recursos humanos e qualificação ainda não possibilita implantação da gestão da drenagem urbana e de leis municipais para Córrego Novo.</w:t>
            </w:r>
          </w:p>
        </w:tc>
        <w:tc>
          <w:tcPr>
            <w:tcW w:w="5075" w:type="dxa"/>
            <w:tcBorders>
              <w:top w:val="single" w:sz="8" w:space="0" w:color="4F81BD"/>
              <w:left w:val="single" w:sz="4" w:space="0" w:color="auto"/>
              <w:bottom w:val="single" w:sz="8" w:space="0" w:color="4F81BD"/>
              <w:right w:val="single" w:sz="8" w:space="0" w:color="4F81BD"/>
            </w:tcBorders>
            <w:shd w:val="clear" w:color="auto" w:fill="auto"/>
            <w:vAlign w:val="center"/>
          </w:tcPr>
          <w:p w:rsidR="00646530" w:rsidRPr="00D06736" w:rsidRDefault="00646530" w:rsidP="00B94A15">
            <w:pPr>
              <w:rPr>
                <w:rFonts w:cs="Arial"/>
                <w:sz w:val="20"/>
                <w:szCs w:val="20"/>
              </w:rPr>
            </w:pPr>
            <w:r w:rsidRPr="00D06736">
              <w:rPr>
                <w:rFonts w:cs="Arial"/>
                <w:sz w:val="20"/>
                <w:szCs w:val="20"/>
              </w:rPr>
              <w:t>Revisão e adequação da estrutura de pessoal e qualificação continuada dos quadros, visando ao êxito da implantação da gestão da drenagem urbana de Córrego Novo.</w:t>
            </w:r>
          </w:p>
        </w:tc>
      </w:tr>
      <w:tr w:rsidR="00646530" w:rsidRPr="00D06736" w:rsidTr="00B94A15">
        <w:trPr>
          <w:trHeight w:val="1863"/>
          <w:jc w:val="center"/>
        </w:trPr>
        <w:tc>
          <w:tcPr>
            <w:tcW w:w="3659" w:type="dxa"/>
            <w:tcBorders>
              <w:top w:val="single" w:sz="8" w:space="0" w:color="4F81BD"/>
              <w:bottom w:val="single" w:sz="8" w:space="0" w:color="4F81BD"/>
              <w:right w:val="single" w:sz="4" w:space="0" w:color="auto"/>
            </w:tcBorders>
            <w:shd w:val="clear" w:color="auto" w:fill="auto"/>
            <w:vAlign w:val="center"/>
          </w:tcPr>
          <w:p w:rsidR="00646530" w:rsidRPr="00D06736" w:rsidRDefault="00646530" w:rsidP="00B94A15">
            <w:pPr>
              <w:rPr>
                <w:rFonts w:cs="Arial"/>
                <w:sz w:val="20"/>
                <w:szCs w:val="20"/>
              </w:rPr>
            </w:pPr>
            <w:r w:rsidRPr="00D06736">
              <w:rPr>
                <w:rFonts w:cs="Arial"/>
                <w:sz w:val="20"/>
                <w:szCs w:val="20"/>
              </w:rPr>
              <w:t>Programas de educação ambiental realizados de forma desvinculada entre os quatro setores do saneamento, descontínua e não planejada.</w:t>
            </w:r>
          </w:p>
        </w:tc>
        <w:tc>
          <w:tcPr>
            <w:tcW w:w="5075" w:type="dxa"/>
            <w:tcBorders>
              <w:top w:val="single" w:sz="8" w:space="0" w:color="4F81BD"/>
              <w:left w:val="single" w:sz="4" w:space="0" w:color="auto"/>
              <w:bottom w:val="single" w:sz="8" w:space="0" w:color="4F81BD"/>
            </w:tcBorders>
            <w:shd w:val="clear" w:color="auto" w:fill="auto"/>
            <w:vAlign w:val="center"/>
          </w:tcPr>
          <w:p w:rsidR="00646530" w:rsidRPr="00D06736" w:rsidRDefault="00646530" w:rsidP="00B94A15">
            <w:pPr>
              <w:rPr>
                <w:rFonts w:cs="Arial"/>
                <w:sz w:val="20"/>
                <w:szCs w:val="20"/>
              </w:rPr>
            </w:pPr>
            <w:r w:rsidRPr="00D06736">
              <w:rPr>
                <w:rFonts w:cs="Arial"/>
                <w:sz w:val="20"/>
                <w:szCs w:val="20"/>
              </w:rPr>
              <w:t>Programas de educação ambiental realizados periodicamente, de forma sistemática e integrando os quatro setores do saneamento e, em casos mais específicos, como para a conscientização da importância de se preservar as APPs dos cursos hídricos, conscientização da gestão dos recursos hídricos a partir das bacias hidrográficas.</w:t>
            </w:r>
          </w:p>
        </w:tc>
      </w:tr>
    </w:tbl>
    <w:p w:rsidR="00646530" w:rsidRDefault="00646530" w:rsidP="00646530">
      <w:pPr>
        <w:pStyle w:val="Fonte"/>
      </w:pPr>
    </w:p>
    <w:p w:rsidR="0081207B" w:rsidRDefault="0081207B" w:rsidP="00646530">
      <w:pPr>
        <w:pStyle w:val="Fonte"/>
      </w:pPr>
    </w:p>
    <w:p w:rsidR="00646530" w:rsidRDefault="00646530" w:rsidP="00646530">
      <w:pPr>
        <w:pStyle w:val="Fonte"/>
      </w:pPr>
    </w:p>
    <w:p w:rsidR="00646530" w:rsidRDefault="00646530" w:rsidP="002828C8">
      <w:pPr>
        <w:pStyle w:val="Ttulo3"/>
      </w:pPr>
      <w:bookmarkStart w:id="755" w:name="_Toc484422558"/>
      <w:bookmarkStart w:id="756" w:name="_Toc484532471"/>
      <w:bookmarkStart w:id="757" w:name="_Toc497469090"/>
      <w:r>
        <w:lastRenderedPageBreak/>
        <w:t>Objetivos e metas</w:t>
      </w:r>
      <w:bookmarkEnd w:id="755"/>
      <w:bookmarkEnd w:id="756"/>
      <w:bookmarkEnd w:id="757"/>
    </w:p>
    <w:p w:rsidR="00646530" w:rsidRPr="00F01F7A" w:rsidRDefault="00646530" w:rsidP="00646530">
      <w:pPr>
        <w:spacing w:before="120" w:after="120" w:line="348" w:lineRule="auto"/>
        <w:ind w:firstLine="709"/>
        <w:contextualSpacing/>
        <w:rPr>
          <w:rFonts w:cs="Arial"/>
          <w:szCs w:val="24"/>
          <w:lang w:eastAsia="pt-BR"/>
        </w:rPr>
      </w:pPr>
      <w:r w:rsidRPr="005D3214">
        <w:rPr>
          <w:rFonts w:cs="Arial"/>
          <w:szCs w:val="24"/>
          <w:lang w:eastAsia="pt-BR"/>
        </w:rPr>
        <w:t xml:space="preserve">Para o sistema de drenagem de águas pluviais foram propostos seis objetivos específicos, de acordo com os aspectos desse sistema, </w:t>
      </w:r>
      <w:r>
        <w:rPr>
          <w:rFonts w:cs="Arial"/>
          <w:szCs w:val="24"/>
          <w:lang w:eastAsia="pt-BR"/>
        </w:rPr>
        <w:t xml:space="preserve">com </w:t>
      </w:r>
      <w:r w:rsidRPr="005D3214">
        <w:rPr>
          <w:rFonts w:cs="Arial"/>
          <w:szCs w:val="24"/>
          <w:lang w:eastAsia="pt-BR"/>
        </w:rPr>
        <w:t xml:space="preserve">as características de </w:t>
      </w:r>
      <w:r>
        <w:rPr>
          <w:rFonts w:cs="Arial"/>
          <w:szCs w:val="24"/>
          <w:lang w:eastAsia="pt-BR"/>
        </w:rPr>
        <w:t>Córrego Novo</w:t>
      </w:r>
      <w:r w:rsidRPr="005D3214">
        <w:rPr>
          <w:rFonts w:cs="Arial"/>
          <w:szCs w:val="24"/>
          <w:lang w:eastAsia="pt-BR"/>
        </w:rPr>
        <w:t xml:space="preserve"> levantadas na etapa do diagnóstico técnico-participativo e com o cenário normativo como </w:t>
      </w:r>
      <w:r w:rsidRPr="00F01F7A">
        <w:rPr>
          <w:rFonts w:cs="Arial"/>
          <w:szCs w:val="24"/>
          <w:lang w:eastAsia="pt-BR"/>
        </w:rPr>
        <w:t>elemento norteador para o alcance das metas. Esses objetivos são descritos a seguir.</w:t>
      </w:r>
    </w:p>
    <w:p w:rsidR="00646530" w:rsidRPr="00F01F7A" w:rsidRDefault="00646530" w:rsidP="00A87269">
      <w:pPr>
        <w:numPr>
          <w:ilvl w:val="0"/>
          <w:numId w:val="27"/>
        </w:numPr>
        <w:ind w:left="2127" w:hanging="1560"/>
        <w:contextualSpacing/>
        <w:rPr>
          <w:rFonts w:eastAsia="Times New Roman" w:cs="Arial"/>
          <w:b/>
          <w:bCs/>
          <w:szCs w:val="24"/>
          <w:lang w:eastAsia="pt-BR"/>
        </w:rPr>
      </w:pPr>
      <w:r w:rsidRPr="00F01F7A">
        <w:rPr>
          <w:rFonts w:eastAsia="Times New Roman" w:cs="Arial"/>
          <w:b/>
          <w:bCs/>
          <w:szCs w:val="24"/>
          <w:lang w:eastAsia="pt-BR"/>
        </w:rPr>
        <w:t>Manter o município livre de inundações e diminuir a frequência de alagamentos causados por insuficiências e deficiências nas galerias e obras de drenagem.</w:t>
      </w:r>
    </w:p>
    <w:p w:rsidR="00646530" w:rsidRPr="00F01F7A" w:rsidRDefault="00646530" w:rsidP="00A87269">
      <w:pPr>
        <w:numPr>
          <w:ilvl w:val="0"/>
          <w:numId w:val="27"/>
        </w:numPr>
        <w:ind w:left="2127" w:hanging="1560"/>
        <w:contextualSpacing/>
        <w:rPr>
          <w:rFonts w:eastAsia="Times New Roman" w:cs="Arial"/>
          <w:b/>
          <w:bCs/>
          <w:szCs w:val="24"/>
          <w:lang w:eastAsia="pt-BR"/>
        </w:rPr>
      </w:pPr>
      <w:r w:rsidRPr="00F01F7A">
        <w:rPr>
          <w:rFonts w:eastAsia="Times New Roman" w:cs="Arial"/>
          <w:b/>
          <w:bCs/>
          <w:szCs w:val="24"/>
          <w:lang w:eastAsia="pt-BR"/>
        </w:rPr>
        <w:t>Desestimular a ocupação de áreas susceptíveis a processos erosivos e promover a desocupação em áreas de risco.</w:t>
      </w:r>
    </w:p>
    <w:p w:rsidR="00646530" w:rsidRPr="00D06736" w:rsidRDefault="00646530" w:rsidP="00A87269">
      <w:pPr>
        <w:numPr>
          <w:ilvl w:val="0"/>
          <w:numId w:val="27"/>
        </w:numPr>
        <w:ind w:left="2127" w:hanging="1560"/>
        <w:contextualSpacing/>
        <w:rPr>
          <w:rFonts w:eastAsia="Times New Roman" w:cs="Arial"/>
          <w:b/>
          <w:bCs/>
          <w:szCs w:val="24"/>
          <w:lang w:eastAsia="pt-BR"/>
        </w:rPr>
      </w:pPr>
      <w:r w:rsidRPr="00F01F7A">
        <w:rPr>
          <w:rFonts w:eastAsia="Times New Roman" w:cs="Arial"/>
          <w:b/>
          <w:bCs/>
          <w:szCs w:val="24"/>
          <w:lang w:eastAsia="pt-BR"/>
        </w:rPr>
        <w:t>Planejar o uso e ocupação</w:t>
      </w:r>
      <w:r w:rsidRPr="00D06736">
        <w:rPr>
          <w:rFonts w:eastAsia="Times New Roman" w:cs="Arial"/>
          <w:b/>
          <w:bCs/>
          <w:szCs w:val="24"/>
          <w:lang w:eastAsia="pt-BR"/>
        </w:rPr>
        <w:t xml:space="preserve"> da bacia de forma adequada e promover a recuperação e revitalização de APPs e áreas verdes.</w:t>
      </w:r>
    </w:p>
    <w:p w:rsidR="00646530" w:rsidRPr="00D06736" w:rsidRDefault="00646530" w:rsidP="00A87269">
      <w:pPr>
        <w:numPr>
          <w:ilvl w:val="0"/>
          <w:numId w:val="27"/>
        </w:numPr>
        <w:ind w:left="2127" w:hanging="1560"/>
        <w:contextualSpacing/>
        <w:rPr>
          <w:rFonts w:eastAsia="Times New Roman" w:cs="Arial"/>
          <w:b/>
          <w:bCs/>
          <w:szCs w:val="24"/>
          <w:lang w:eastAsia="pt-BR"/>
        </w:rPr>
      </w:pPr>
      <w:r w:rsidRPr="00D06736">
        <w:rPr>
          <w:rFonts w:eastAsia="Times New Roman" w:cs="Arial"/>
          <w:b/>
          <w:bCs/>
          <w:szCs w:val="24"/>
          <w:lang w:eastAsia="pt-BR"/>
        </w:rPr>
        <w:t xml:space="preserve">Implementar para o SDU uma gestão eficiente no que concerne aos aspectos </w:t>
      </w:r>
      <w:r w:rsidR="008F5429">
        <w:rPr>
          <w:b/>
          <w:bCs/>
          <w:szCs w:val="24"/>
        </w:rPr>
        <w:t>administrativos, operacionais, financeiros, de planejamento estratégico e de sustentabilidade</w:t>
      </w:r>
      <w:r w:rsidRPr="00D06736">
        <w:rPr>
          <w:rFonts w:eastAsia="Times New Roman" w:cs="Arial"/>
          <w:b/>
          <w:bCs/>
          <w:szCs w:val="24"/>
          <w:lang w:eastAsia="pt-BR"/>
        </w:rPr>
        <w:t>.</w:t>
      </w:r>
    </w:p>
    <w:p w:rsidR="00646530" w:rsidRPr="00D06736" w:rsidRDefault="00646530" w:rsidP="00A87269">
      <w:pPr>
        <w:numPr>
          <w:ilvl w:val="0"/>
          <w:numId w:val="27"/>
        </w:numPr>
        <w:ind w:left="2127" w:hanging="1560"/>
        <w:contextualSpacing/>
        <w:rPr>
          <w:rFonts w:eastAsia="Times New Roman" w:cs="Arial"/>
          <w:b/>
          <w:bCs/>
          <w:szCs w:val="24"/>
          <w:lang w:eastAsia="pt-BR"/>
        </w:rPr>
      </w:pPr>
      <w:r w:rsidRPr="00D06736">
        <w:rPr>
          <w:rFonts w:eastAsia="Times New Roman" w:cs="Arial"/>
          <w:b/>
          <w:bCs/>
          <w:szCs w:val="24"/>
          <w:lang w:eastAsia="pt-BR"/>
        </w:rPr>
        <w:t>Alcançar o pleno atendimento à legislação ambiental aplicável em todos os subprocessos integrantes do Sistema de Drenagem Urbana.</w:t>
      </w:r>
    </w:p>
    <w:p w:rsidR="00646530" w:rsidRPr="00D06736" w:rsidRDefault="00646530" w:rsidP="00A87269">
      <w:pPr>
        <w:numPr>
          <w:ilvl w:val="0"/>
          <w:numId w:val="27"/>
        </w:numPr>
        <w:ind w:left="2127" w:hanging="1560"/>
        <w:contextualSpacing/>
        <w:rPr>
          <w:rFonts w:eastAsia="Times New Roman" w:cs="Arial"/>
          <w:b/>
          <w:bCs/>
          <w:szCs w:val="24"/>
          <w:lang w:eastAsia="pt-BR"/>
        </w:rPr>
      </w:pPr>
      <w:r w:rsidRPr="00D06736">
        <w:rPr>
          <w:rFonts w:eastAsia="Times New Roman" w:cs="Arial"/>
          <w:b/>
          <w:bCs/>
          <w:szCs w:val="24"/>
          <w:lang w:eastAsia="pt-BR"/>
        </w:rPr>
        <w:t>Garantir a mobilização social e canais de comunicação com a sociedade, além de promover ações continuadas em educação ambiental.</w:t>
      </w:r>
    </w:p>
    <w:p w:rsidR="00646530" w:rsidRPr="005D3214" w:rsidRDefault="00646530" w:rsidP="00646530">
      <w:pPr>
        <w:spacing w:before="120" w:after="120"/>
        <w:ind w:firstLine="708"/>
        <w:contextualSpacing/>
        <w:rPr>
          <w:rFonts w:cs="Arial"/>
          <w:szCs w:val="24"/>
          <w:lang w:eastAsia="pt-BR"/>
        </w:rPr>
      </w:pPr>
      <w:r w:rsidRPr="00D06736">
        <w:rPr>
          <w:rFonts w:cs="Arial"/>
          <w:szCs w:val="24"/>
          <w:lang w:eastAsia="pt-BR"/>
        </w:rPr>
        <w:t xml:space="preserve">A </w:t>
      </w:r>
      <w:r w:rsidRPr="00D06736">
        <w:rPr>
          <w:rFonts w:cs="Arial"/>
          <w:szCs w:val="24"/>
          <w:lang w:eastAsia="pt-BR"/>
        </w:rPr>
        <w:fldChar w:fldCharType="begin"/>
      </w:r>
      <w:r w:rsidRPr="00D06736">
        <w:rPr>
          <w:rFonts w:cs="Arial"/>
          <w:szCs w:val="24"/>
          <w:lang w:eastAsia="pt-BR"/>
        </w:rPr>
        <w:instrText xml:space="preserve"> REF _Ref484157893 \h </w:instrText>
      </w:r>
      <w:r w:rsidRPr="00D06736">
        <w:rPr>
          <w:rFonts w:cs="Arial"/>
          <w:szCs w:val="24"/>
          <w:lang w:eastAsia="pt-BR"/>
        </w:rPr>
      </w:r>
      <w:r w:rsidRPr="00D06736">
        <w:rPr>
          <w:rFonts w:cs="Arial"/>
          <w:szCs w:val="24"/>
          <w:lang w:eastAsia="pt-BR"/>
        </w:rPr>
        <w:fldChar w:fldCharType="separate"/>
      </w:r>
      <w:r w:rsidR="004D1D76" w:rsidRPr="000B03E0">
        <w:t xml:space="preserve">Tabela </w:t>
      </w:r>
      <w:r w:rsidR="004D1D76">
        <w:rPr>
          <w:noProof/>
        </w:rPr>
        <w:t>15</w:t>
      </w:r>
      <w:r w:rsidRPr="00D06736">
        <w:rPr>
          <w:rFonts w:cs="Arial"/>
          <w:szCs w:val="24"/>
          <w:lang w:eastAsia="pt-BR"/>
        </w:rPr>
        <w:fldChar w:fldCharType="end"/>
      </w:r>
      <w:r w:rsidRPr="00D06736">
        <w:rPr>
          <w:rFonts w:cs="Arial"/>
          <w:szCs w:val="24"/>
          <w:lang w:eastAsia="pt-BR"/>
        </w:rPr>
        <w:t xml:space="preserve"> apresenta os objetivos e as </w:t>
      </w:r>
      <w:r w:rsidRPr="005D3214">
        <w:rPr>
          <w:rFonts w:cs="Arial"/>
          <w:szCs w:val="24"/>
          <w:lang w:eastAsia="pt-BR"/>
        </w:rPr>
        <w:t>respectivas metas de forma sistematizada, além dos prazos para cada meta.</w:t>
      </w:r>
    </w:p>
    <w:p w:rsidR="00646530" w:rsidRPr="005D3214" w:rsidRDefault="00646530" w:rsidP="00646530">
      <w:pPr>
        <w:spacing w:before="120" w:after="120"/>
        <w:ind w:firstLine="708"/>
        <w:contextualSpacing/>
        <w:rPr>
          <w:rFonts w:cs="Arial"/>
          <w:szCs w:val="24"/>
          <w:lang w:eastAsia="pt-BR"/>
        </w:rPr>
        <w:sectPr w:rsidR="00646530" w:rsidRPr="005D3214" w:rsidSect="00B94A15">
          <w:footerReference w:type="default" r:id="rId72"/>
          <w:pgSz w:w="11906" w:h="16838"/>
          <w:pgMar w:top="1418" w:right="1134" w:bottom="1134" w:left="1134" w:header="709" w:footer="709" w:gutter="0"/>
          <w:cols w:space="708"/>
          <w:docGrid w:linePitch="360"/>
        </w:sectPr>
      </w:pPr>
    </w:p>
    <w:p w:rsidR="00646530" w:rsidRPr="000B03E0" w:rsidRDefault="00646530" w:rsidP="00646530">
      <w:pPr>
        <w:pStyle w:val="Legenda"/>
      </w:pPr>
      <w:bookmarkStart w:id="758" w:name="_Ref484157893"/>
      <w:bookmarkStart w:id="759" w:name="_Toc398040309"/>
      <w:bookmarkStart w:id="760" w:name="_Ref435021990"/>
      <w:bookmarkStart w:id="761" w:name="_Toc447028917"/>
      <w:bookmarkStart w:id="762" w:name="_Toc484422575"/>
      <w:bookmarkStart w:id="763" w:name="_Toc484532488"/>
      <w:bookmarkStart w:id="764" w:name="_Toc497469217"/>
      <w:r w:rsidRPr="000B03E0">
        <w:lastRenderedPageBreak/>
        <w:t xml:space="preserve">Tabela </w:t>
      </w:r>
      <w:r w:rsidR="00D71C43">
        <w:fldChar w:fldCharType="begin"/>
      </w:r>
      <w:r w:rsidR="00D71C43">
        <w:instrText xml:space="preserve"> SEQ Tabela \* ARABIC </w:instrText>
      </w:r>
      <w:r w:rsidR="00D71C43">
        <w:fldChar w:fldCharType="separate"/>
      </w:r>
      <w:r w:rsidR="004D1D76">
        <w:rPr>
          <w:noProof/>
        </w:rPr>
        <w:t>15</w:t>
      </w:r>
      <w:r w:rsidR="00D71C43">
        <w:rPr>
          <w:noProof/>
        </w:rPr>
        <w:fldChar w:fldCharType="end"/>
      </w:r>
      <w:bookmarkEnd w:id="758"/>
      <w:r w:rsidRPr="000B03E0">
        <w:t xml:space="preserve"> - Objetivos e metas do S</w:t>
      </w:r>
      <w:r>
        <w:rPr>
          <w:lang w:val="pt-BR"/>
        </w:rPr>
        <w:t>istema</w:t>
      </w:r>
      <w:r w:rsidRPr="000B03E0">
        <w:t xml:space="preserve"> de Drenagem Urbana e Manejo de Águas Pluviais</w:t>
      </w:r>
      <w:bookmarkEnd w:id="759"/>
      <w:bookmarkEnd w:id="760"/>
      <w:bookmarkEnd w:id="761"/>
      <w:bookmarkEnd w:id="762"/>
      <w:bookmarkEnd w:id="763"/>
      <w:bookmarkEnd w:id="764"/>
    </w:p>
    <w:tbl>
      <w:tblPr>
        <w:tblW w:w="0" w:type="auto"/>
        <w:jc w:val="center"/>
        <w:tblBorders>
          <w:top w:val="single" w:sz="8" w:space="0" w:color="4F81BD"/>
          <w:bottom w:val="single" w:sz="4" w:space="0" w:color="1F497D"/>
          <w:insideH w:val="dashSmallGap" w:sz="4" w:space="0" w:color="1F497D"/>
          <w:insideV w:val="single" w:sz="4" w:space="0" w:color="1F497D"/>
        </w:tblBorders>
        <w:tblLook w:val="04A0" w:firstRow="1" w:lastRow="0" w:firstColumn="1" w:lastColumn="0" w:noHBand="0" w:noVBand="1"/>
      </w:tblPr>
      <w:tblGrid>
        <w:gridCol w:w="2802"/>
        <w:gridCol w:w="10722"/>
        <w:gridCol w:w="1262"/>
      </w:tblGrid>
      <w:tr w:rsidR="00646530" w:rsidRPr="003B7F15" w:rsidTr="00B94A15">
        <w:trPr>
          <w:cantSplit/>
          <w:trHeight w:val="340"/>
          <w:tblHeader/>
          <w:jc w:val="center"/>
        </w:trPr>
        <w:tc>
          <w:tcPr>
            <w:tcW w:w="2802" w:type="dxa"/>
            <w:tcBorders>
              <w:top w:val="single" w:sz="4" w:space="0" w:color="1F497D"/>
              <w:left w:val="single" w:sz="4" w:space="0" w:color="1F497D"/>
              <w:bottom w:val="single" w:sz="4" w:space="0" w:color="1F497D"/>
            </w:tcBorders>
            <w:shd w:val="clear" w:color="auto" w:fill="4F81BD"/>
            <w:vAlign w:val="center"/>
          </w:tcPr>
          <w:p w:rsidR="00646530" w:rsidRPr="003B7F15" w:rsidRDefault="00646530" w:rsidP="00B94A15">
            <w:pPr>
              <w:autoSpaceDE w:val="0"/>
              <w:autoSpaceDN w:val="0"/>
              <w:adjustRightInd w:val="0"/>
              <w:spacing w:before="40" w:after="40" w:line="240" w:lineRule="auto"/>
              <w:jc w:val="center"/>
              <w:rPr>
                <w:rFonts w:eastAsia="Times New Roman" w:cs="Arial"/>
                <w:b/>
                <w:bCs/>
                <w:sz w:val="20"/>
                <w:szCs w:val="20"/>
              </w:rPr>
            </w:pPr>
            <w:r w:rsidRPr="003B7F15">
              <w:rPr>
                <w:rFonts w:eastAsia="Times New Roman" w:cs="Arial"/>
                <w:b/>
                <w:bCs/>
                <w:sz w:val="20"/>
                <w:szCs w:val="20"/>
              </w:rPr>
              <w:t>Objetivo</w:t>
            </w:r>
          </w:p>
        </w:tc>
        <w:tc>
          <w:tcPr>
            <w:tcW w:w="10722" w:type="dxa"/>
            <w:tcBorders>
              <w:top w:val="single" w:sz="4" w:space="0" w:color="1F497D"/>
              <w:bottom w:val="single" w:sz="4" w:space="0" w:color="1F497D"/>
            </w:tcBorders>
            <w:shd w:val="clear" w:color="auto" w:fill="4F81BD"/>
            <w:vAlign w:val="center"/>
          </w:tcPr>
          <w:p w:rsidR="00646530" w:rsidRPr="003B7F15" w:rsidRDefault="00646530" w:rsidP="00B94A15">
            <w:pPr>
              <w:autoSpaceDE w:val="0"/>
              <w:autoSpaceDN w:val="0"/>
              <w:adjustRightInd w:val="0"/>
              <w:spacing w:before="40" w:after="40" w:line="240" w:lineRule="auto"/>
              <w:jc w:val="center"/>
              <w:rPr>
                <w:rFonts w:eastAsia="Times New Roman" w:cs="Arial"/>
                <w:b/>
                <w:bCs/>
                <w:sz w:val="20"/>
                <w:szCs w:val="20"/>
              </w:rPr>
            </w:pPr>
            <w:r w:rsidRPr="003B7F15">
              <w:rPr>
                <w:rFonts w:eastAsia="Times New Roman" w:cs="Arial"/>
                <w:b/>
                <w:bCs/>
                <w:sz w:val="20"/>
                <w:szCs w:val="20"/>
              </w:rPr>
              <w:t>Metas</w:t>
            </w:r>
          </w:p>
        </w:tc>
        <w:tc>
          <w:tcPr>
            <w:tcW w:w="0" w:type="auto"/>
            <w:tcBorders>
              <w:top w:val="single" w:sz="4" w:space="0" w:color="1F497D"/>
              <w:bottom w:val="single" w:sz="4" w:space="0" w:color="1F497D"/>
              <w:right w:val="single" w:sz="4" w:space="0" w:color="1F497D"/>
            </w:tcBorders>
            <w:shd w:val="clear" w:color="auto" w:fill="4F81BD"/>
            <w:vAlign w:val="center"/>
          </w:tcPr>
          <w:p w:rsidR="00646530" w:rsidRPr="003B7F15" w:rsidRDefault="00646530" w:rsidP="00B94A15">
            <w:pPr>
              <w:autoSpaceDE w:val="0"/>
              <w:autoSpaceDN w:val="0"/>
              <w:adjustRightInd w:val="0"/>
              <w:spacing w:before="40" w:after="40" w:line="240" w:lineRule="auto"/>
              <w:jc w:val="center"/>
              <w:rPr>
                <w:rFonts w:eastAsia="Times New Roman" w:cs="Arial"/>
                <w:b/>
                <w:bCs/>
                <w:sz w:val="20"/>
                <w:szCs w:val="20"/>
              </w:rPr>
            </w:pPr>
            <w:r w:rsidRPr="003B7F15">
              <w:rPr>
                <w:rFonts w:eastAsia="Times New Roman" w:cs="Arial"/>
                <w:b/>
                <w:bCs/>
                <w:sz w:val="20"/>
                <w:szCs w:val="20"/>
              </w:rPr>
              <w:t>Prazo de entrega</w:t>
            </w:r>
          </w:p>
        </w:tc>
      </w:tr>
      <w:tr w:rsidR="00646530" w:rsidRPr="003B7F15" w:rsidTr="004D1D76">
        <w:trPr>
          <w:cantSplit/>
          <w:trHeight w:val="283"/>
          <w:jc w:val="center"/>
        </w:trPr>
        <w:tc>
          <w:tcPr>
            <w:tcW w:w="2802" w:type="dxa"/>
            <w:vMerge w:val="restart"/>
            <w:tcBorders>
              <w:top w:val="single" w:sz="4" w:space="0" w:color="1F497D"/>
            </w:tcBorders>
            <w:shd w:val="clear" w:color="auto" w:fill="auto"/>
            <w:vAlign w:val="center"/>
          </w:tcPr>
          <w:p w:rsidR="00646530" w:rsidRPr="003B7F15" w:rsidRDefault="00646530" w:rsidP="00B94A15">
            <w:pPr>
              <w:spacing w:before="40" w:after="40" w:line="240" w:lineRule="auto"/>
              <w:rPr>
                <w:rFonts w:eastAsia="Times New Roman" w:cs="Arial"/>
                <w:bCs/>
                <w:sz w:val="20"/>
                <w:szCs w:val="20"/>
                <w:lang w:eastAsia="pt-BR"/>
              </w:rPr>
            </w:pPr>
            <w:r w:rsidRPr="003B7F15">
              <w:rPr>
                <w:rFonts w:eastAsia="Times New Roman" w:cs="Arial"/>
                <w:sz w:val="20"/>
                <w:szCs w:val="20"/>
              </w:rPr>
              <w:t>1. Manter o município livre de inundações e diminuir a frequência de alagamentos causados por insuficiências e deficiências nas galerias e obras de drenagem</w:t>
            </w:r>
            <w:r w:rsidRPr="003B7F15">
              <w:rPr>
                <w:rFonts w:eastAsia="Times New Roman" w:cs="Arial"/>
                <w:bCs/>
                <w:szCs w:val="24"/>
                <w:lang w:eastAsia="pt-BR"/>
              </w:rPr>
              <w:t>.</w:t>
            </w:r>
          </w:p>
        </w:tc>
        <w:tc>
          <w:tcPr>
            <w:tcW w:w="10722" w:type="dxa"/>
            <w:tcBorders>
              <w:top w:val="single" w:sz="4" w:space="0" w:color="1F497D"/>
            </w:tcBorders>
            <w:shd w:val="clear" w:color="auto" w:fill="auto"/>
            <w:vAlign w:val="center"/>
          </w:tcPr>
          <w:p w:rsidR="00646530" w:rsidRPr="003B7F15" w:rsidRDefault="00646530" w:rsidP="00B94A15">
            <w:pPr>
              <w:spacing w:before="40" w:after="40" w:line="240" w:lineRule="auto"/>
              <w:rPr>
                <w:rFonts w:cs="Arial"/>
                <w:sz w:val="20"/>
                <w:szCs w:val="20"/>
              </w:rPr>
            </w:pPr>
            <w:r w:rsidRPr="003B7F15">
              <w:rPr>
                <w:rFonts w:eastAsia="Times New Roman" w:cs="Arial"/>
                <w:sz w:val="20"/>
                <w:szCs w:val="20"/>
              </w:rPr>
              <w:t>1.1 Ter garantido o mapeamento e cadastramento (banco de dados) dos sistemas de drenagem urbana do município e de suas áreas críticas.</w:t>
            </w:r>
          </w:p>
        </w:tc>
        <w:tc>
          <w:tcPr>
            <w:tcW w:w="0" w:type="auto"/>
            <w:tcBorders>
              <w:top w:val="single" w:sz="4" w:space="0" w:color="1F497D"/>
            </w:tcBorders>
            <w:shd w:val="clear" w:color="auto" w:fill="auto"/>
            <w:vAlign w:val="center"/>
          </w:tcPr>
          <w:p w:rsidR="00646530" w:rsidRPr="003B7F15" w:rsidRDefault="00095090" w:rsidP="00B94A15">
            <w:pPr>
              <w:spacing w:before="40" w:after="40" w:line="240" w:lineRule="auto"/>
              <w:jc w:val="center"/>
              <w:rPr>
                <w:rFonts w:eastAsia="Times New Roman" w:cs="Arial"/>
                <w:bCs/>
                <w:sz w:val="20"/>
                <w:szCs w:val="20"/>
              </w:rPr>
            </w:pPr>
            <w:r w:rsidRPr="003B7F15">
              <w:rPr>
                <w:rFonts w:eastAsia="Times New Roman" w:cs="Arial"/>
                <w:bCs/>
                <w:sz w:val="20"/>
                <w:szCs w:val="20"/>
              </w:rPr>
              <w:t>Curto</w:t>
            </w:r>
          </w:p>
        </w:tc>
      </w:tr>
      <w:tr w:rsidR="00646530" w:rsidRPr="003B7F15" w:rsidTr="004D1D76">
        <w:trPr>
          <w:cantSplit/>
          <w:trHeight w:val="283"/>
          <w:jc w:val="center"/>
        </w:trPr>
        <w:tc>
          <w:tcPr>
            <w:tcW w:w="2802" w:type="dxa"/>
            <w:vMerge/>
            <w:shd w:val="clear" w:color="auto" w:fill="auto"/>
            <w:vAlign w:val="center"/>
          </w:tcPr>
          <w:p w:rsidR="00646530" w:rsidRPr="003B7F15" w:rsidRDefault="00646530" w:rsidP="00B94A15">
            <w:pPr>
              <w:spacing w:before="40" w:after="40" w:line="240" w:lineRule="auto"/>
              <w:jc w:val="left"/>
              <w:rPr>
                <w:rFonts w:eastAsia="Times New Roman" w:cs="Arial"/>
                <w:bCs/>
                <w:sz w:val="20"/>
                <w:szCs w:val="20"/>
                <w:lang w:eastAsia="pt-BR"/>
              </w:rPr>
            </w:pPr>
          </w:p>
        </w:tc>
        <w:tc>
          <w:tcPr>
            <w:tcW w:w="10722" w:type="dxa"/>
            <w:shd w:val="clear" w:color="auto" w:fill="auto"/>
            <w:vAlign w:val="center"/>
          </w:tcPr>
          <w:p w:rsidR="00646530" w:rsidRPr="003B7F15" w:rsidRDefault="00646530" w:rsidP="00B94A15">
            <w:pPr>
              <w:spacing w:before="40" w:after="40" w:line="240" w:lineRule="auto"/>
              <w:rPr>
                <w:rFonts w:eastAsia="Times New Roman" w:cs="Arial"/>
                <w:sz w:val="20"/>
                <w:szCs w:val="20"/>
              </w:rPr>
            </w:pPr>
            <w:r w:rsidRPr="003B7F15">
              <w:rPr>
                <w:rFonts w:eastAsia="Times New Roman" w:cs="Arial"/>
                <w:sz w:val="20"/>
                <w:szCs w:val="20"/>
              </w:rPr>
              <w:t>1.2 Possuir um plano de limpeza sistemática das calhas, poços de visita (PVs) e bocas de lobo do município de Córrego Novo.</w:t>
            </w:r>
          </w:p>
        </w:tc>
        <w:tc>
          <w:tcPr>
            <w:tcW w:w="0" w:type="auto"/>
            <w:shd w:val="clear" w:color="auto" w:fill="auto"/>
            <w:vAlign w:val="center"/>
          </w:tcPr>
          <w:p w:rsidR="00646530" w:rsidRPr="003B7F15" w:rsidRDefault="00646530" w:rsidP="00B94A15">
            <w:pPr>
              <w:spacing w:before="40" w:after="40" w:line="240" w:lineRule="auto"/>
              <w:jc w:val="center"/>
              <w:rPr>
                <w:rFonts w:eastAsia="Times New Roman" w:cs="Arial"/>
                <w:bCs/>
                <w:sz w:val="20"/>
                <w:szCs w:val="20"/>
              </w:rPr>
            </w:pPr>
            <w:r w:rsidRPr="003B7F15">
              <w:rPr>
                <w:rFonts w:eastAsia="Times New Roman" w:cs="Arial"/>
                <w:bCs/>
                <w:sz w:val="20"/>
                <w:szCs w:val="20"/>
              </w:rPr>
              <w:t>Imediato</w:t>
            </w:r>
          </w:p>
        </w:tc>
      </w:tr>
      <w:tr w:rsidR="00646530" w:rsidRPr="003B7F15" w:rsidTr="004D1D76">
        <w:trPr>
          <w:cantSplit/>
          <w:trHeight w:val="283"/>
          <w:jc w:val="center"/>
        </w:trPr>
        <w:tc>
          <w:tcPr>
            <w:tcW w:w="2802" w:type="dxa"/>
            <w:vMerge/>
            <w:shd w:val="clear" w:color="auto" w:fill="auto"/>
            <w:vAlign w:val="center"/>
          </w:tcPr>
          <w:p w:rsidR="00646530" w:rsidRPr="003B7F15" w:rsidRDefault="00646530" w:rsidP="00B94A15">
            <w:pPr>
              <w:spacing w:before="40" w:after="40" w:line="240" w:lineRule="auto"/>
              <w:jc w:val="left"/>
              <w:rPr>
                <w:rFonts w:eastAsia="Times New Roman" w:cs="Arial"/>
                <w:bCs/>
                <w:sz w:val="20"/>
                <w:szCs w:val="20"/>
                <w:lang w:eastAsia="pt-BR"/>
              </w:rPr>
            </w:pPr>
          </w:p>
        </w:tc>
        <w:tc>
          <w:tcPr>
            <w:tcW w:w="10722" w:type="dxa"/>
            <w:shd w:val="clear" w:color="auto" w:fill="auto"/>
            <w:vAlign w:val="center"/>
          </w:tcPr>
          <w:p w:rsidR="00646530" w:rsidRPr="003B7F15" w:rsidRDefault="00646530" w:rsidP="00B94A15">
            <w:pPr>
              <w:spacing w:before="40" w:after="40" w:line="240" w:lineRule="auto"/>
              <w:rPr>
                <w:rFonts w:eastAsia="Times New Roman" w:cs="Arial"/>
                <w:sz w:val="20"/>
                <w:szCs w:val="20"/>
              </w:rPr>
            </w:pPr>
            <w:r w:rsidRPr="003B7F15">
              <w:rPr>
                <w:rFonts w:eastAsia="Times New Roman" w:cs="Arial"/>
                <w:sz w:val="20"/>
                <w:szCs w:val="20"/>
              </w:rPr>
              <w:t xml:space="preserve">1.3 </w:t>
            </w:r>
            <w:r w:rsidR="00106CB4" w:rsidRPr="003B7F15">
              <w:rPr>
                <w:rFonts w:eastAsia="Times New Roman" w:cs="Arial"/>
                <w:sz w:val="20"/>
                <w:szCs w:val="20"/>
              </w:rPr>
              <w:t>Reduzir em 75% a quantidade de pontos de alagamentos no município e redução de 70% na quantidade de pontos de inundações.</w:t>
            </w:r>
          </w:p>
        </w:tc>
        <w:tc>
          <w:tcPr>
            <w:tcW w:w="0" w:type="auto"/>
            <w:shd w:val="clear" w:color="auto" w:fill="auto"/>
            <w:vAlign w:val="center"/>
          </w:tcPr>
          <w:p w:rsidR="00646530" w:rsidRPr="003B7F15" w:rsidRDefault="00106CB4" w:rsidP="00B94A15">
            <w:pPr>
              <w:spacing w:before="40" w:after="40" w:line="240" w:lineRule="auto"/>
              <w:jc w:val="center"/>
              <w:rPr>
                <w:rFonts w:eastAsia="Times New Roman" w:cs="Arial"/>
                <w:bCs/>
                <w:sz w:val="20"/>
                <w:szCs w:val="20"/>
              </w:rPr>
            </w:pPr>
            <w:r w:rsidRPr="003B7F15">
              <w:rPr>
                <w:rFonts w:eastAsia="Times New Roman" w:cs="Arial"/>
                <w:bCs/>
                <w:sz w:val="20"/>
                <w:szCs w:val="20"/>
              </w:rPr>
              <w:t>Curto</w:t>
            </w:r>
          </w:p>
        </w:tc>
      </w:tr>
      <w:tr w:rsidR="00646530" w:rsidRPr="003B7F15" w:rsidTr="004D1D76">
        <w:trPr>
          <w:cantSplit/>
          <w:trHeight w:val="283"/>
          <w:jc w:val="center"/>
        </w:trPr>
        <w:tc>
          <w:tcPr>
            <w:tcW w:w="2802" w:type="dxa"/>
            <w:vMerge/>
            <w:shd w:val="clear" w:color="auto" w:fill="auto"/>
            <w:vAlign w:val="center"/>
          </w:tcPr>
          <w:p w:rsidR="00646530" w:rsidRPr="003B7F15" w:rsidRDefault="00646530" w:rsidP="00B94A15">
            <w:pPr>
              <w:spacing w:before="40" w:after="40" w:line="240" w:lineRule="auto"/>
              <w:jc w:val="left"/>
              <w:rPr>
                <w:rFonts w:eastAsia="Times New Roman" w:cs="Arial"/>
                <w:bCs/>
                <w:sz w:val="20"/>
                <w:szCs w:val="20"/>
                <w:lang w:eastAsia="pt-BR"/>
              </w:rPr>
            </w:pPr>
          </w:p>
        </w:tc>
        <w:tc>
          <w:tcPr>
            <w:tcW w:w="10722" w:type="dxa"/>
            <w:shd w:val="clear" w:color="auto" w:fill="auto"/>
            <w:vAlign w:val="center"/>
          </w:tcPr>
          <w:p w:rsidR="00646530" w:rsidRPr="003B7F15" w:rsidRDefault="00646530" w:rsidP="00B94A15">
            <w:pPr>
              <w:spacing w:before="40" w:after="40" w:line="240" w:lineRule="auto"/>
              <w:rPr>
                <w:rFonts w:eastAsia="Times New Roman" w:cs="Arial"/>
                <w:sz w:val="20"/>
                <w:szCs w:val="20"/>
              </w:rPr>
            </w:pPr>
            <w:r w:rsidRPr="003B7F15">
              <w:rPr>
                <w:rFonts w:eastAsia="Times New Roman" w:cs="Arial"/>
                <w:sz w:val="20"/>
                <w:szCs w:val="20"/>
              </w:rPr>
              <w:t>1.4 Dobrar (em relação a 2017) o número de eventos anuais do município voltados à conscientização acerca do correto manejo dos resíduos sólidos.</w:t>
            </w:r>
          </w:p>
        </w:tc>
        <w:tc>
          <w:tcPr>
            <w:tcW w:w="0" w:type="auto"/>
            <w:shd w:val="clear" w:color="auto" w:fill="auto"/>
            <w:vAlign w:val="center"/>
          </w:tcPr>
          <w:p w:rsidR="00646530" w:rsidRPr="003B7F15" w:rsidRDefault="00646530" w:rsidP="00B94A15">
            <w:pPr>
              <w:spacing w:before="40" w:after="40" w:line="240" w:lineRule="auto"/>
              <w:jc w:val="center"/>
              <w:rPr>
                <w:rFonts w:eastAsia="Times New Roman" w:cs="Arial"/>
                <w:bCs/>
                <w:sz w:val="20"/>
                <w:szCs w:val="20"/>
              </w:rPr>
            </w:pPr>
            <w:r w:rsidRPr="003B7F15">
              <w:rPr>
                <w:rFonts w:eastAsia="Times New Roman" w:cs="Arial"/>
                <w:bCs/>
                <w:sz w:val="20"/>
                <w:szCs w:val="20"/>
              </w:rPr>
              <w:t>Imediato</w:t>
            </w:r>
          </w:p>
        </w:tc>
      </w:tr>
      <w:tr w:rsidR="00646530" w:rsidRPr="003B7F15" w:rsidTr="004D1D76">
        <w:trPr>
          <w:cantSplit/>
          <w:trHeight w:val="283"/>
          <w:jc w:val="center"/>
        </w:trPr>
        <w:tc>
          <w:tcPr>
            <w:tcW w:w="2802" w:type="dxa"/>
            <w:vMerge/>
            <w:shd w:val="clear" w:color="auto" w:fill="auto"/>
            <w:vAlign w:val="center"/>
          </w:tcPr>
          <w:p w:rsidR="00646530" w:rsidRPr="003B7F15" w:rsidRDefault="00646530" w:rsidP="00B94A15">
            <w:pPr>
              <w:spacing w:before="40" w:after="40" w:line="240" w:lineRule="auto"/>
              <w:jc w:val="left"/>
              <w:rPr>
                <w:rFonts w:eastAsia="Times New Roman" w:cs="Arial"/>
                <w:bCs/>
                <w:sz w:val="20"/>
                <w:szCs w:val="20"/>
                <w:lang w:eastAsia="pt-BR"/>
              </w:rPr>
            </w:pPr>
          </w:p>
        </w:tc>
        <w:tc>
          <w:tcPr>
            <w:tcW w:w="10722" w:type="dxa"/>
            <w:tcBorders>
              <w:bottom w:val="single" w:sz="4" w:space="0" w:color="1F497D"/>
            </w:tcBorders>
            <w:shd w:val="clear" w:color="auto" w:fill="auto"/>
            <w:vAlign w:val="center"/>
          </w:tcPr>
          <w:p w:rsidR="00646530" w:rsidRPr="003B7F15" w:rsidRDefault="00646530" w:rsidP="00CE0D96">
            <w:pPr>
              <w:spacing w:before="40" w:after="40" w:line="240" w:lineRule="auto"/>
              <w:rPr>
                <w:rFonts w:eastAsia="Times New Roman" w:cs="Arial"/>
                <w:sz w:val="20"/>
                <w:szCs w:val="20"/>
              </w:rPr>
            </w:pPr>
            <w:r w:rsidRPr="003B7F15">
              <w:rPr>
                <w:rFonts w:eastAsia="Times New Roman" w:cs="Arial"/>
                <w:sz w:val="20"/>
                <w:szCs w:val="20"/>
              </w:rPr>
              <w:t xml:space="preserve">1.5 </w:t>
            </w:r>
            <w:r w:rsidRPr="003B7F15">
              <w:rPr>
                <w:rFonts w:eastAsia="Times New Roman" w:cs="Arial"/>
                <w:bCs/>
                <w:sz w:val="20"/>
                <w:szCs w:val="20"/>
                <w:lang w:eastAsia="pt-BR"/>
              </w:rPr>
              <w:t>Reduzir em 70% a quantidade de resíduos sólidos depositados nas margens dos rios do município.</w:t>
            </w:r>
          </w:p>
        </w:tc>
        <w:tc>
          <w:tcPr>
            <w:tcW w:w="0" w:type="auto"/>
            <w:tcBorders>
              <w:bottom w:val="single" w:sz="4" w:space="0" w:color="1F497D"/>
            </w:tcBorders>
            <w:shd w:val="clear" w:color="auto" w:fill="auto"/>
            <w:vAlign w:val="center"/>
          </w:tcPr>
          <w:p w:rsidR="00646530" w:rsidRPr="003B7F15" w:rsidRDefault="00646530" w:rsidP="00B94A15">
            <w:pPr>
              <w:spacing w:before="40" w:after="40" w:line="240" w:lineRule="auto"/>
              <w:jc w:val="center"/>
              <w:rPr>
                <w:rFonts w:eastAsia="Times New Roman" w:cs="Arial"/>
                <w:bCs/>
                <w:sz w:val="20"/>
                <w:szCs w:val="20"/>
              </w:rPr>
            </w:pPr>
            <w:r w:rsidRPr="003B7F15">
              <w:rPr>
                <w:rFonts w:eastAsia="Times New Roman" w:cs="Arial"/>
                <w:bCs/>
                <w:sz w:val="20"/>
                <w:szCs w:val="20"/>
              </w:rPr>
              <w:t>Curto</w:t>
            </w:r>
          </w:p>
        </w:tc>
      </w:tr>
      <w:tr w:rsidR="00646530" w:rsidRPr="003B7F15" w:rsidTr="004D1D76">
        <w:trPr>
          <w:cantSplit/>
          <w:trHeight w:val="283"/>
          <w:jc w:val="center"/>
        </w:trPr>
        <w:tc>
          <w:tcPr>
            <w:tcW w:w="2802" w:type="dxa"/>
            <w:vMerge/>
            <w:tcBorders>
              <w:bottom w:val="single" w:sz="4" w:space="0" w:color="1F497D"/>
            </w:tcBorders>
            <w:shd w:val="clear" w:color="auto" w:fill="auto"/>
            <w:vAlign w:val="center"/>
          </w:tcPr>
          <w:p w:rsidR="00646530" w:rsidRPr="003B7F15" w:rsidRDefault="00646530" w:rsidP="00B94A15">
            <w:pPr>
              <w:spacing w:before="40" w:after="40" w:line="240" w:lineRule="auto"/>
              <w:jc w:val="left"/>
              <w:rPr>
                <w:rFonts w:eastAsia="Times New Roman" w:cs="Arial"/>
                <w:bCs/>
                <w:sz w:val="20"/>
                <w:szCs w:val="20"/>
                <w:lang w:eastAsia="pt-BR"/>
              </w:rPr>
            </w:pPr>
          </w:p>
        </w:tc>
        <w:tc>
          <w:tcPr>
            <w:tcW w:w="10722" w:type="dxa"/>
            <w:tcBorders>
              <w:bottom w:val="single" w:sz="4" w:space="0" w:color="1F497D"/>
            </w:tcBorders>
            <w:shd w:val="clear" w:color="auto" w:fill="auto"/>
            <w:vAlign w:val="center"/>
          </w:tcPr>
          <w:p w:rsidR="00646530" w:rsidRPr="003B7F15" w:rsidRDefault="00646530" w:rsidP="00B94A15">
            <w:pPr>
              <w:spacing w:before="40" w:after="40" w:line="240" w:lineRule="auto"/>
              <w:rPr>
                <w:rFonts w:eastAsia="Times New Roman" w:cs="Arial"/>
                <w:sz w:val="20"/>
                <w:szCs w:val="20"/>
              </w:rPr>
            </w:pPr>
            <w:r w:rsidRPr="003B7F15">
              <w:rPr>
                <w:rFonts w:eastAsia="Times New Roman" w:cs="Arial"/>
                <w:sz w:val="20"/>
                <w:szCs w:val="20"/>
              </w:rPr>
              <w:t>1.6 Regulamentar sobre o percentual de impermeabilização dos lotes urbanos e garantir a fiscalização.</w:t>
            </w:r>
          </w:p>
        </w:tc>
        <w:tc>
          <w:tcPr>
            <w:tcW w:w="0" w:type="auto"/>
            <w:tcBorders>
              <w:bottom w:val="single" w:sz="4" w:space="0" w:color="1F497D"/>
            </w:tcBorders>
            <w:shd w:val="clear" w:color="auto" w:fill="auto"/>
            <w:vAlign w:val="center"/>
          </w:tcPr>
          <w:p w:rsidR="00646530" w:rsidRPr="003B7F15" w:rsidRDefault="00646530" w:rsidP="00B94A15">
            <w:pPr>
              <w:spacing w:before="40" w:after="40" w:line="240" w:lineRule="auto"/>
              <w:jc w:val="center"/>
              <w:rPr>
                <w:rFonts w:eastAsia="Times New Roman" w:cs="Arial"/>
                <w:bCs/>
                <w:sz w:val="20"/>
                <w:szCs w:val="20"/>
              </w:rPr>
            </w:pPr>
            <w:r w:rsidRPr="003B7F15">
              <w:rPr>
                <w:rFonts w:eastAsia="Times New Roman" w:cs="Arial"/>
                <w:bCs/>
                <w:sz w:val="20"/>
                <w:szCs w:val="20"/>
              </w:rPr>
              <w:t>Longo</w:t>
            </w:r>
          </w:p>
        </w:tc>
      </w:tr>
      <w:tr w:rsidR="00106CB4" w:rsidRPr="003B7F15" w:rsidTr="004D1D76">
        <w:trPr>
          <w:cantSplit/>
          <w:trHeight w:val="283"/>
          <w:jc w:val="center"/>
        </w:trPr>
        <w:tc>
          <w:tcPr>
            <w:tcW w:w="2802" w:type="dxa"/>
            <w:vMerge w:val="restart"/>
            <w:tcBorders>
              <w:top w:val="single" w:sz="4" w:space="0" w:color="1F497D"/>
            </w:tcBorders>
            <w:shd w:val="clear" w:color="auto" w:fill="auto"/>
            <w:vAlign w:val="center"/>
          </w:tcPr>
          <w:p w:rsidR="00106CB4" w:rsidRPr="003B7F15" w:rsidRDefault="00106CB4" w:rsidP="00B94A15">
            <w:pPr>
              <w:spacing w:before="40" w:after="40" w:line="240" w:lineRule="auto"/>
              <w:rPr>
                <w:rFonts w:eastAsia="Times New Roman" w:cs="Arial"/>
                <w:sz w:val="20"/>
                <w:szCs w:val="20"/>
              </w:rPr>
            </w:pPr>
            <w:r w:rsidRPr="003B7F15">
              <w:rPr>
                <w:rFonts w:eastAsia="Times New Roman" w:cs="Arial"/>
                <w:sz w:val="20"/>
                <w:szCs w:val="20"/>
              </w:rPr>
              <w:t xml:space="preserve">2. Desestimular a ocupação de áreas susceptíveis a processos erosivos e promover a desocupação em áreas de risco. </w:t>
            </w:r>
          </w:p>
        </w:tc>
        <w:tc>
          <w:tcPr>
            <w:tcW w:w="10722" w:type="dxa"/>
            <w:tcBorders>
              <w:top w:val="single" w:sz="4" w:space="0" w:color="1F497D"/>
              <w:bottom w:val="dashSmallGap" w:sz="4" w:space="0" w:color="1F497D"/>
            </w:tcBorders>
            <w:shd w:val="clear" w:color="auto" w:fill="auto"/>
            <w:vAlign w:val="center"/>
          </w:tcPr>
          <w:p w:rsidR="00106CB4" w:rsidRPr="003B7F15" w:rsidRDefault="00106CB4" w:rsidP="00B94A15">
            <w:pPr>
              <w:spacing w:before="40" w:after="40" w:line="240" w:lineRule="auto"/>
              <w:rPr>
                <w:rFonts w:cs="Arial"/>
                <w:sz w:val="20"/>
                <w:szCs w:val="20"/>
              </w:rPr>
            </w:pPr>
            <w:r w:rsidRPr="003B7F15">
              <w:rPr>
                <w:rFonts w:eastAsia="Times New Roman" w:cs="Arial"/>
                <w:sz w:val="20"/>
                <w:szCs w:val="20"/>
              </w:rPr>
              <w:t>2.1 Garantir o mapeamento das ocupações em áreas de risco de movimentação de massa em conjunto com a Defesa Civil.</w:t>
            </w:r>
          </w:p>
        </w:tc>
        <w:tc>
          <w:tcPr>
            <w:tcW w:w="0" w:type="auto"/>
            <w:tcBorders>
              <w:top w:val="single" w:sz="4" w:space="0" w:color="1F497D"/>
              <w:bottom w:val="dashSmallGap" w:sz="4" w:space="0" w:color="1F497D"/>
            </w:tcBorders>
            <w:shd w:val="clear" w:color="auto" w:fill="auto"/>
            <w:vAlign w:val="center"/>
          </w:tcPr>
          <w:p w:rsidR="00106CB4" w:rsidRPr="003B7F15" w:rsidRDefault="00106CB4" w:rsidP="00B94A15">
            <w:pPr>
              <w:spacing w:before="40" w:after="40" w:line="240" w:lineRule="auto"/>
              <w:jc w:val="center"/>
              <w:rPr>
                <w:rFonts w:eastAsia="Times New Roman" w:cs="Arial"/>
                <w:bCs/>
                <w:sz w:val="20"/>
                <w:szCs w:val="20"/>
              </w:rPr>
            </w:pPr>
            <w:r w:rsidRPr="003B7F15">
              <w:rPr>
                <w:rFonts w:eastAsia="Times New Roman" w:cs="Arial"/>
                <w:bCs/>
                <w:sz w:val="20"/>
                <w:szCs w:val="20"/>
              </w:rPr>
              <w:t>Imediato</w:t>
            </w:r>
          </w:p>
        </w:tc>
      </w:tr>
      <w:tr w:rsidR="00106CB4" w:rsidRPr="003B7F15" w:rsidTr="004D1D76">
        <w:trPr>
          <w:cantSplit/>
          <w:trHeight w:val="283"/>
          <w:jc w:val="center"/>
        </w:trPr>
        <w:tc>
          <w:tcPr>
            <w:tcW w:w="2802" w:type="dxa"/>
            <w:vMerge/>
            <w:shd w:val="clear" w:color="auto" w:fill="auto"/>
            <w:vAlign w:val="center"/>
          </w:tcPr>
          <w:p w:rsidR="00106CB4" w:rsidRPr="003B7F15" w:rsidRDefault="00106CB4" w:rsidP="00B94A15">
            <w:pPr>
              <w:spacing w:before="40" w:after="40" w:line="240" w:lineRule="auto"/>
              <w:jc w:val="left"/>
              <w:rPr>
                <w:rFonts w:eastAsia="Times New Roman" w:cs="Arial"/>
                <w:bCs/>
                <w:sz w:val="20"/>
                <w:szCs w:val="20"/>
                <w:lang w:eastAsia="pt-BR"/>
              </w:rPr>
            </w:pPr>
          </w:p>
        </w:tc>
        <w:tc>
          <w:tcPr>
            <w:tcW w:w="10722" w:type="dxa"/>
            <w:tcBorders>
              <w:top w:val="dashSmallGap" w:sz="4" w:space="0" w:color="1F497D"/>
              <w:bottom w:val="dashSmallGap" w:sz="4" w:space="0" w:color="1F497D"/>
            </w:tcBorders>
            <w:shd w:val="clear" w:color="auto" w:fill="auto"/>
            <w:vAlign w:val="center"/>
          </w:tcPr>
          <w:p w:rsidR="00106CB4" w:rsidRPr="003B7F15" w:rsidRDefault="00106CB4" w:rsidP="00B94A15">
            <w:pPr>
              <w:spacing w:before="40" w:after="40" w:line="240" w:lineRule="auto"/>
              <w:rPr>
                <w:rFonts w:cs="Arial"/>
                <w:sz w:val="20"/>
                <w:szCs w:val="20"/>
              </w:rPr>
            </w:pPr>
            <w:r w:rsidRPr="003B7F15">
              <w:rPr>
                <w:rFonts w:eastAsia="Times New Roman" w:cs="Arial"/>
                <w:sz w:val="20"/>
                <w:szCs w:val="20"/>
              </w:rPr>
              <w:t xml:space="preserve">2.2 </w:t>
            </w:r>
            <w:r w:rsidRPr="003B7F15">
              <w:rPr>
                <w:rFonts w:cs="Arial"/>
                <w:sz w:val="20"/>
                <w:szCs w:val="20"/>
              </w:rPr>
              <w:t xml:space="preserve">Elaborar um plano de </w:t>
            </w:r>
            <w:r w:rsidRPr="003B7F15">
              <w:rPr>
                <w:rFonts w:eastAsia="Times New Roman" w:cs="Arial"/>
                <w:sz w:val="20"/>
                <w:szCs w:val="20"/>
              </w:rPr>
              <w:t>desocupação em áreas com risco de movimentação de massa.</w:t>
            </w:r>
          </w:p>
        </w:tc>
        <w:tc>
          <w:tcPr>
            <w:tcW w:w="0" w:type="auto"/>
            <w:tcBorders>
              <w:top w:val="dashSmallGap" w:sz="4" w:space="0" w:color="1F497D"/>
              <w:bottom w:val="dashSmallGap" w:sz="4" w:space="0" w:color="1F497D"/>
            </w:tcBorders>
            <w:shd w:val="clear" w:color="auto" w:fill="auto"/>
            <w:vAlign w:val="center"/>
          </w:tcPr>
          <w:p w:rsidR="00106CB4" w:rsidRPr="003B7F15" w:rsidRDefault="00106CB4" w:rsidP="00B94A15">
            <w:pPr>
              <w:spacing w:before="40" w:after="40" w:line="240" w:lineRule="auto"/>
              <w:jc w:val="center"/>
              <w:rPr>
                <w:rFonts w:eastAsia="Times New Roman" w:cs="Arial"/>
                <w:bCs/>
                <w:sz w:val="20"/>
                <w:szCs w:val="20"/>
              </w:rPr>
            </w:pPr>
            <w:r w:rsidRPr="003B7F15">
              <w:rPr>
                <w:rFonts w:eastAsia="Times New Roman" w:cs="Arial"/>
                <w:bCs/>
                <w:sz w:val="20"/>
                <w:szCs w:val="20"/>
              </w:rPr>
              <w:t>Curto</w:t>
            </w:r>
          </w:p>
        </w:tc>
      </w:tr>
      <w:tr w:rsidR="00106CB4" w:rsidRPr="003B7F15" w:rsidTr="004D1D76">
        <w:trPr>
          <w:cantSplit/>
          <w:trHeight w:val="283"/>
          <w:jc w:val="center"/>
        </w:trPr>
        <w:tc>
          <w:tcPr>
            <w:tcW w:w="2802" w:type="dxa"/>
            <w:vMerge/>
            <w:shd w:val="clear" w:color="auto" w:fill="auto"/>
            <w:vAlign w:val="center"/>
          </w:tcPr>
          <w:p w:rsidR="00106CB4" w:rsidRPr="003B7F15" w:rsidRDefault="00106CB4" w:rsidP="00B94A15">
            <w:pPr>
              <w:spacing w:before="40" w:after="40" w:line="240" w:lineRule="auto"/>
              <w:jc w:val="left"/>
              <w:rPr>
                <w:rFonts w:eastAsia="Times New Roman" w:cs="Arial"/>
                <w:bCs/>
                <w:sz w:val="20"/>
                <w:szCs w:val="20"/>
                <w:lang w:eastAsia="pt-BR"/>
              </w:rPr>
            </w:pPr>
          </w:p>
        </w:tc>
        <w:tc>
          <w:tcPr>
            <w:tcW w:w="10722" w:type="dxa"/>
            <w:tcBorders>
              <w:top w:val="dashSmallGap" w:sz="4" w:space="0" w:color="1F497D"/>
              <w:bottom w:val="dashSmallGap" w:sz="4" w:space="0" w:color="1F497D"/>
            </w:tcBorders>
            <w:shd w:val="clear" w:color="auto" w:fill="auto"/>
            <w:vAlign w:val="center"/>
          </w:tcPr>
          <w:p w:rsidR="00106CB4" w:rsidRPr="003B7F15" w:rsidRDefault="00106CB4" w:rsidP="00B94A15">
            <w:pPr>
              <w:spacing w:before="40" w:after="40" w:line="240" w:lineRule="auto"/>
              <w:rPr>
                <w:rFonts w:eastAsia="Times New Roman" w:cs="Arial"/>
                <w:sz w:val="20"/>
                <w:szCs w:val="20"/>
              </w:rPr>
            </w:pPr>
            <w:r w:rsidRPr="003B7F15">
              <w:rPr>
                <w:rFonts w:eastAsia="Times New Roman" w:cs="Arial"/>
                <w:sz w:val="20"/>
                <w:szCs w:val="20"/>
              </w:rPr>
              <w:t xml:space="preserve">2.3 </w:t>
            </w:r>
            <w:r w:rsidRPr="003B7F15">
              <w:rPr>
                <w:rFonts w:cs="Arial"/>
                <w:bCs/>
                <w:sz w:val="19"/>
                <w:szCs w:val="19"/>
              </w:rPr>
              <w:t>Impedir legalmente a ocupação de áreas de risco e garantir a fiscalização.</w:t>
            </w:r>
          </w:p>
        </w:tc>
        <w:tc>
          <w:tcPr>
            <w:tcW w:w="0" w:type="auto"/>
            <w:tcBorders>
              <w:top w:val="dashSmallGap" w:sz="4" w:space="0" w:color="1F497D"/>
              <w:bottom w:val="dashSmallGap" w:sz="4" w:space="0" w:color="1F497D"/>
            </w:tcBorders>
            <w:shd w:val="clear" w:color="auto" w:fill="auto"/>
            <w:vAlign w:val="center"/>
          </w:tcPr>
          <w:p w:rsidR="00106CB4" w:rsidRPr="003B7F15" w:rsidRDefault="00106CB4" w:rsidP="00B94A15">
            <w:pPr>
              <w:spacing w:before="40" w:after="40" w:line="240" w:lineRule="auto"/>
              <w:jc w:val="center"/>
              <w:rPr>
                <w:rFonts w:eastAsia="Times New Roman" w:cs="Arial"/>
                <w:bCs/>
                <w:sz w:val="20"/>
                <w:szCs w:val="20"/>
              </w:rPr>
            </w:pPr>
            <w:r w:rsidRPr="003B7F15">
              <w:rPr>
                <w:rFonts w:eastAsia="Times New Roman" w:cs="Arial"/>
                <w:bCs/>
                <w:sz w:val="20"/>
                <w:szCs w:val="20"/>
              </w:rPr>
              <w:t>Curto</w:t>
            </w:r>
          </w:p>
        </w:tc>
      </w:tr>
      <w:tr w:rsidR="00106CB4" w:rsidRPr="003B7F15" w:rsidTr="004D1D76">
        <w:trPr>
          <w:cantSplit/>
          <w:trHeight w:val="283"/>
          <w:jc w:val="center"/>
        </w:trPr>
        <w:tc>
          <w:tcPr>
            <w:tcW w:w="2802" w:type="dxa"/>
            <w:vMerge/>
            <w:shd w:val="clear" w:color="auto" w:fill="auto"/>
            <w:vAlign w:val="center"/>
          </w:tcPr>
          <w:p w:rsidR="00106CB4" w:rsidRPr="003B7F15" w:rsidRDefault="00106CB4" w:rsidP="00B94A15">
            <w:pPr>
              <w:spacing w:before="40" w:after="40" w:line="240" w:lineRule="auto"/>
              <w:jc w:val="left"/>
              <w:rPr>
                <w:rFonts w:eastAsia="Times New Roman" w:cs="Arial"/>
                <w:bCs/>
                <w:sz w:val="20"/>
                <w:szCs w:val="20"/>
                <w:lang w:eastAsia="pt-BR"/>
              </w:rPr>
            </w:pPr>
          </w:p>
        </w:tc>
        <w:tc>
          <w:tcPr>
            <w:tcW w:w="10722" w:type="dxa"/>
            <w:tcBorders>
              <w:top w:val="dashSmallGap" w:sz="4" w:space="0" w:color="1F497D"/>
              <w:bottom w:val="dashSmallGap" w:sz="4" w:space="0" w:color="1F497D"/>
            </w:tcBorders>
            <w:shd w:val="clear" w:color="auto" w:fill="auto"/>
            <w:vAlign w:val="center"/>
          </w:tcPr>
          <w:p w:rsidR="00106CB4" w:rsidRPr="003B7F15" w:rsidRDefault="00106CB4" w:rsidP="00B94A15">
            <w:pPr>
              <w:spacing w:before="40" w:after="40" w:line="240" w:lineRule="auto"/>
              <w:rPr>
                <w:rFonts w:cs="Arial"/>
                <w:sz w:val="20"/>
                <w:szCs w:val="20"/>
              </w:rPr>
            </w:pPr>
            <w:r w:rsidRPr="003B7F15">
              <w:rPr>
                <w:rFonts w:eastAsia="Times New Roman" w:cs="Arial"/>
                <w:sz w:val="20"/>
                <w:szCs w:val="20"/>
              </w:rPr>
              <w:t xml:space="preserve">2.4 </w:t>
            </w:r>
            <w:r w:rsidRPr="003B7F15">
              <w:rPr>
                <w:rFonts w:cs="Arial"/>
                <w:sz w:val="20"/>
                <w:szCs w:val="20"/>
              </w:rPr>
              <w:t xml:space="preserve">Executar o plano de </w:t>
            </w:r>
            <w:r w:rsidRPr="003B7F15">
              <w:rPr>
                <w:rFonts w:eastAsia="Times New Roman" w:cs="Arial"/>
                <w:sz w:val="20"/>
                <w:szCs w:val="20"/>
              </w:rPr>
              <w:t>desocupação em áreas com risco de movimentação de massa.</w:t>
            </w:r>
          </w:p>
        </w:tc>
        <w:tc>
          <w:tcPr>
            <w:tcW w:w="0" w:type="auto"/>
            <w:tcBorders>
              <w:top w:val="dashSmallGap" w:sz="4" w:space="0" w:color="1F497D"/>
              <w:bottom w:val="dashSmallGap" w:sz="4" w:space="0" w:color="1F497D"/>
            </w:tcBorders>
            <w:shd w:val="clear" w:color="auto" w:fill="auto"/>
            <w:vAlign w:val="center"/>
          </w:tcPr>
          <w:p w:rsidR="00106CB4" w:rsidRPr="003B7F15" w:rsidRDefault="00106CB4" w:rsidP="00B94A15">
            <w:pPr>
              <w:spacing w:before="40" w:after="40" w:line="240" w:lineRule="auto"/>
              <w:jc w:val="center"/>
              <w:rPr>
                <w:rFonts w:eastAsia="Times New Roman" w:cs="Arial"/>
                <w:bCs/>
                <w:sz w:val="20"/>
                <w:szCs w:val="20"/>
              </w:rPr>
            </w:pPr>
            <w:r w:rsidRPr="003B7F15">
              <w:rPr>
                <w:rFonts w:eastAsia="Times New Roman" w:cs="Arial"/>
                <w:bCs/>
                <w:sz w:val="20"/>
                <w:szCs w:val="20"/>
              </w:rPr>
              <w:t>Curto</w:t>
            </w:r>
          </w:p>
        </w:tc>
      </w:tr>
      <w:tr w:rsidR="00106CB4" w:rsidRPr="003B7F15" w:rsidTr="004D1D76">
        <w:trPr>
          <w:cantSplit/>
          <w:trHeight w:val="283"/>
          <w:jc w:val="center"/>
        </w:trPr>
        <w:tc>
          <w:tcPr>
            <w:tcW w:w="2802" w:type="dxa"/>
            <w:vMerge/>
            <w:shd w:val="clear" w:color="auto" w:fill="auto"/>
            <w:vAlign w:val="center"/>
          </w:tcPr>
          <w:p w:rsidR="00106CB4" w:rsidRPr="003B7F15" w:rsidRDefault="00106CB4" w:rsidP="00B94A15">
            <w:pPr>
              <w:spacing w:before="40" w:after="40" w:line="240" w:lineRule="auto"/>
              <w:jc w:val="left"/>
              <w:rPr>
                <w:rFonts w:eastAsia="Times New Roman" w:cs="Arial"/>
                <w:bCs/>
                <w:sz w:val="20"/>
                <w:szCs w:val="20"/>
                <w:lang w:eastAsia="pt-BR"/>
              </w:rPr>
            </w:pPr>
          </w:p>
        </w:tc>
        <w:tc>
          <w:tcPr>
            <w:tcW w:w="10722" w:type="dxa"/>
            <w:tcBorders>
              <w:top w:val="dashSmallGap" w:sz="4" w:space="0" w:color="1F497D"/>
              <w:bottom w:val="dashSmallGap" w:sz="4" w:space="0" w:color="1F497D"/>
            </w:tcBorders>
            <w:shd w:val="clear" w:color="auto" w:fill="auto"/>
            <w:vAlign w:val="center"/>
          </w:tcPr>
          <w:p w:rsidR="00106CB4" w:rsidRPr="003B7F15" w:rsidRDefault="00106CB4" w:rsidP="00B94A15">
            <w:pPr>
              <w:spacing w:before="40" w:after="40" w:line="240" w:lineRule="auto"/>
              <w:rPr>
                <w:rFonts w:cs="Arial"/>
                <w:sz w:val="20"/>
                <w:szCs w:val="20"/>
              </w:rPr>
            </w:pPr>
            <w:r w:rsidRPr="003B7F15">
              <w:rPr>
                <w:rFonts w:eastAsia="Times New Roman" w:cs="Arial"/>
                <w:sz w:val="20"/>
                <w:szCs w:val="20"/>
              </w:rPr>
              <w:t xml:space="preserve">2.5 </w:t>
            </w:r>
            <w:r w:rsidRPr="003B7F15">
              <w:rPr>
                <w:rFonts w:cs="Arial"/>
                <w:sz w:val="20"/>
                <w:szCs w:val="20"/>
              </w:rPr>
              <w:t>Recuperar 40% das áreas de risco decorrentes de processos erosivos.</w:t>
            </w:r>
          </w:p>
        </w:tc>
        <w:tc>
          <w:tcPr>
            <w:tcW w:w="0" w:type="auto"/>
            <w:tcBorders>
              <w:top w:val="dashSmallGap" w:sz="4" w:space="0" w:color="1F497D"/>
              <w:bottom w:val="dashSmallGap" w:sz="4" w:space="0" w:color="1F497D"/>
            </w:tcBorders>
            <w:shd w:val="clear" w:color="auto" w:fill="auto"/>
            <w:vAlign w:val="center"/>
          </w:tcPr>
          <w:p w:rsidR="00106CB4" w:rsidRPr="003B7F15" w:rsidRDefault="00106CB4" w:rsidP="00B94A15">
            <w:pPr>
              <w:spacing w:before="40" w:after="40" w:line="240" w:lineRule="auto"/>
              <w:jc w:val="center"/>
              <w:rPr>
                <w:rFonts w:eastAsia="Times New Roman" w:cs="Arial"/>
                <w:bCs/>
                <w:sz w:val="20"/>
                <w:szCs w:val="20"/>
              </w:rPr>
            </w:pPr>
            <w:r w:rsidRPr="003B7F15">
              <w:rPr>
                <w:rFonts w:eastAsia="Times New Roman" w:cs="Arial"/>
                <w:bCs/>
                <w:sz w:val="20"/>
                <w:szCs w:val="20"/>
              </w:rPr>
              <w:t>Curto</w:t>
            </w:r>
          </w:p>
        </w:tc>
      </w:tr>
      <w:tr w:rsidR="00106CB4" w:rsidRPr="003B7F15" w:rsidTr="004D1D76">
        <w:trPr>
          <w:cantSplit/>
          <w:trHeight w:val="283"/>
          <w:jc w:val="center"/>
        </w:trPr>
        <w:tc>
          <w:tcPr>
            <w:tcW w:w="2802" w:type="dxa"/>
            <w:vMerge/>
            <w:shd w:val="clear" w:color="auto" w:fill="auto"/>
            <w:vAlign w:val="center"/>
          </w:tcPr>
          <w:p w:rsidR="00106CB4" w:rsidRPr="003B7F15" w:rsidRDefault="00106CB4" w:rsidP="00B94A15">
            <w:pPr>
              <w:spacing w:before="40" w:after="40" w:line="240" w:lineRule="auto"/>
              <w:jc w:val="left"/>
              <w:rPr>
                <w:rFonts w:eastAsia="Times New Roman" w:cs="Arial"/>
                <w:bCs/>
                <w:sz w:val="20"/>
                <w:szCs w:val="20"/>
                <w:lang w:eastAsia="pt-BR"/>
              </w:rPr>
            </w:pPr>
          </w:p>
        </w:tc>
        <w:tc>
          <w:tcPr>
            <w:tcW w:w="10722" w:type="dxa"/>
            <w:tcBorders>
              <w:top w:val="dashSmallGap" w:sz="4" w:space="0" w:color="1F497D"/>
              <w:bottom w:val="single" w:sz="4" w:space="0" w:color="1F497D"/>
            </w:tcBorders>
            <w:shd w:val="clear" w:color="auto" w:fill="auto"/>
            <w:vAlign w:val="center"/>
          </w:tcPr>
          <w:p w:rsidR="00106CB4" w:rsidRPr="003B7F15" w:rsidRDefault="00106CB4" w:rsidP="00B94A15">
            <w:pPr>
              <w:spacing w:before="40" w:after="40" w:line="240" w:lineRule="auto"/>
              <w:rPr>
                <w:rFonts w:eastAsia="Times New Roman" w:cs="Arial"/>
                <w:sz w:val="20"/>
                <w:szCs w:val="20"/>
              </w:rPr>
            </w:pPr>
            <w:r w:rsidRPr="003B7F15">
              <w:rPr>
                <w:rFonts w:eastAsia="Times New Roman" w:cs="Arial"/>
                <w:sz w:val="20"/>
                <w:szCs w:val="20"/>
              </w:rPr>
              <w:t xml:space="preserve">2.6 </w:t>
            </w:r>
            <w:r w:rsidRPr="003B7F15">
              <w:rPr>
                <w:rFonts w:cs="Arial"/>
                <w:bCs/>
                <w:sz w:val="19"/>
                <w:szCs w:val="19"/>
              </w:rPr>
              <w:t>Recuperar 100% das áreas de risco depois de desocupadas.</w:t>
            </w:r>
          </w:p>
        </w:tc>
        <w:tc>
          <w:tcPr>
            <w:tcW w:w="0" w:type="auto"/>
            <w:tcBorders>
              <w:top w:val="dashSmallGap" w:sz="4" w:space="0" w:color="1F497D"/>
              <w:bottom w:val="single" w:sz="4" w:space="0" w:color="1F497D"/>
            </w:tcBorders>
            <w:shd w:val="clear" w:color="auto" w:fill="auto"/>
            <w:vAlign w:val="center"/>
          </w:tcPr>
          <w:p w:rsidR="00106CB4" w:rsidRPr="003B7F15" w:rsidRDefault="00106CB4" w:rsidP="00B94A15">
            <w:pPr>
              <w:spacing w:before="40" w:after="40" w:line="240" w:lineRule="auto"/>
              <w:jc w:val="center"/>
              <w:rPr>
                <w:rFonts w:eastAsia="Times New Roman" w:cs="Arial"/>
                <w:bCs/>
                <w:sz w:val="20"/>
                <w:szCs w:val="20"/>
              </w:rPr>
            </w:pPr>
            <w:r w:rsidRPr="003B7F15">
              <w:rPr>
                <w:rFonts w:eastAsia="Times New Roman" w:cs="Arial"/>
                <w:bCs/>
                <w:sz w:val="20"/>
                <w:szCs w:val="20"/>
              </w:rPr>
              <w:t>Longo</w:t>
            </w:r>
          </w:p>
        </w:tc>
      </w:tr>
      <w:tr w:rsidR="00106CB4" w:rsidRPr="003B7F15" w:rsidTr="004D1D76">
        <w:trPr>
          <w:cantSplit/>
          <w:trHeight w:val="283"/>
          <w:jc w:val="center"/>
        </w:trPr>
        <w:tc>
          <w:tcPr>
            <w:tcW w:w="2802" w:type="dxa"/>
            <w:vMerge/>
            <w:tcBorders>
              <w:bottom w:val="single" w:sz="4" w:space="0" w:color="1F497D"/>
            </w:tcBorders>
            <w:shd w:val="clear" w:color="auto" w:fill="auto"/>
            <w:vAlign w:val="center"/>
          </w:tcPr>
          <w:p w:rsidR="00106CB4" w:rsidRPr="003B7F15" w:rsidRDefault="00106CB4" w:rsidP="00B94A15">
            <w:pPr>
              <w:spacing w:before="40" w:after="40" w:line="240" w:lineRule="auto"/>
              <w:jc w:val="left"/>
              <w:rPr>
                <w:rFonts w:eastAsia="Times New Roman" w:cs="Arial"/>
                <w:bCs/>
                <w:sz w:val="20"/>
                <w:szCs w:val="20"/>
                <w:lang w:eastAsia="pt-BR"/>
              </w:rPr>
            </w:pPr>
          </w:p>
        </w:tc>
        <w:tc>
          <w:tcPr>
            <w:tcW w:w="10722" w:type="dxa"/>
            <w:tcBorders>
              <w:top w:val="dashSmallGap" w:sz="4" w:space="0" w:color="1F497D"/>
              <w:bottom w:val="single" w:sz="4" w:space="0" w:color="1F497D"/>
            </w:tcBorders>
            <w:shd w:val="clear" w:color="auto" w:fill="auto"/>
            <w:vAlign w:val="center"/>
          </w:tcPr>
          <w:p w:rsidR="00106CB4" w:rsidRPr="003B7F15" w:rsidRDefault="00106CB4" w:rsidP="00B94A15">
            <w:pPr>
              <w:spacing w:before="40" w:after="40" w:line="240" w:lineRule="auto"/>
              <w:rPr>
                <w:rFonts w:eastAsia="Times New Roman" w:cs="Arial"/>
                <w:sz w:val="20"/>
                <w:szCs w:val="20"/>
              </w:rPr>
            </w:pPr>
            <w:r w:rsidRPr="003B7F15">
              <w:rPr>
                <w:rFonts w:cs="Arial"/>
                <w:bCs/>
                <w:sz w:val="20"/>
                <w:szCs w:val="20"/>
              </w:rPr>
              <w:t>2.7 Garantir a existência do Plano de Contingência e Emergência para áreas de riscos.</w:t>
            </w:r>
          </w:p>
        </w:tc>
        <w:tc>
          <w:tcPr>
            <w:tcW w:w="0" w:type="auto"/>
            <w:tcBorders>
              <w:top w:val="dashSmallGap" w:sz="4" w:space="0" w:color="1F497D"/>
              <w:bottom w:val="single" w:sz="4" w:space="0" w:color="1F497D"/>
            </w:tcBorders>
            <w:shd w:val="clear" w:color="auto" w:fill="auto"/>
            <w:vAlign w:val="center"/>
          </w:tcPr>
          <w:p w:rsidR="00106CB4" w:rsidRPr="003B7F15" w:rsidRDefault="00106CB4" w:rsidP="00B94A15">
            <w:pPr>
              <w:spacing w:before="40" w:after="40" w:line="240" w:lineRule="auto"/>
              <w:jc w:val="center"/>
              <w:rPr>
                <w:rFonts w:eastAsia="Times New Roman" w:cs="Arial"/>
                <w:bCs/>
                <w:sz w:val="20"/>
                <w:szCs w:val="20"/>
              </w:rPr>
            </w:pPr>
            <w:r w:rsidRPr="003B7F15">
              <w:rPr>
                <w:rFonts w:eastAsia="Times New Roman" w:cs="Arial"/>
                <w:bCs/>
                <w:sz w:val="20"/>
                <w:szCs w:val="20"/>
              </w:rPr>
              <w:t>Imediato</w:t>
            </w:r>
          </w:p>
        </w:tc>
      </w:tr>
      <w:tr w:rsidR="00646530" w:rsidRPr="003B7F15" w:rsidTr="004D1D76">
        <w:trPr>
          <w:cantSplit/>
          <w:trHeight w:val="283"/>
          <w:jc w:val="center"/>
        </w:trPr>
        <w:tc>
          <w:tcPr>
            <w:tcW w:w="2802" w:type="dxa"/>
            <w:vMerge w:val="restart"/>
            <w:tcBorders>
              <w:top w:val="single" w:sz="4" w:space="0" w:color="1F497D"/>
            </w:tcBorders>
            <w:shd w:val="clear" w:color="auto" w:fill="auto"/>
            <w:vAlign w:val="center"/>
          </w:tcPr>
          <w:p w:rsidR="00646530" w:rsidRPr="003B7F15" w:rsidRDefault="00646530" w:rsidP="00B94A15">
            <w:pPr>
              <w:spacing w:before="40" w:after="40" w:line="240" w:lineRule="auto"/>
              <w:jc w:val="left"/>
              <w:rPr>
                <w:rFonts w:eastAsia="Times New Roman" w:cs="Arial"/>
                <w:bCs/>
                <w:sz w:val="20"/>
                <w:szCs w:val="20"/>
                <w:lang w:eastAsia="pt-BR"/>
              </w:rPr>
            </w:pPr>
            <w:r w:rsidRPr="003B7F15">
              <w:rPr>
                <w:rFonts w:eastAsia="Times New Roman" w:cs="Arial"/>
                <w:bCs/>
                <w:sz w:val="20"/>
                <w:szCs w:val="20"/>
                <w:lang w:eastAsia="pt-BR"/>
              </w:rPr>
              <w:t>3. Planejar o uso e ocupação da bacia de forma adequada e promover a recuperação e revitalização de APPs e áreas verdes.</w:t>
            </w:r>
          </w:p>
        </w:tc>
        <w:tc>
          <w:tcPr>
            <w:tcW w:w="10722" w:type="dxa"/>
            <w:tcBorders>
              <w:top w:val="single" w:sz="4" w:space="0" w:color="1F497D"/>
            </w:tcBorders>
            <w:shd w:val="clear" w:color="auto" w:fill="auto"/>
            <w:vAlign w:val="center"/>
          </w:tcPr>
          <w:p w:rsidR="00646530" w:rsidRPr="003B7F15" w:rsidRDefault="00646530" w:rsidP="00B94A15">
            <w:pPr>
              <w:spacing w:before="40" w:after="40" w:line="240" w:lineRule="auto"/>
              <w:rPr>
                <w:rFonts w:eastAsia="Times New Roman" w:cs="Arial"/>
                <w:sz w:val="20"/>
                <w:szCs w:val="20"/>
              </w:rPr>
            </w:pPr>
            <w:r w:rsidRPr="003B7F15">
              <w:rPr>
                <w:rFonts w:eastAsia="Times New Roman" w:cs="Arial"/>
                <w:bCs/>
                <w:sz w:val="20"/>
                <w:szCs w:val="20"/>
                <w:lang w:eastAsia="pt-BR"/>
              </w:rPr>
              <w:t xml:space="preserve">3.1 </w:t>
            </w:r>
            <w:r w:rsidRPr="003B7F15">
              <w:rPr>
                <w:rFonts w:cs="Arial"/>
                <w:bCs/>
                <w:sz w:val="20"/>
                <w:szCs w:val="20"/>
              </w:rPr>
              <w:t xml:space="preserve">Elaborar o plano de recuperação de APPs e áreas verdes, considerando </w:t>
            </w:r>
            <w:r w:rsidRPr="003B7F15">
              <w:rPr>
                <w:rFonts w:eastAsia="Times New Roman" w:cs="Arial"/>
                <w:bCs/>
                <w:sz w:val="20"/>
                <w:szCs w:val="20"/>
              </w:rPr>
              <w:t>o mapeamento de áreas críticas de drenagem.</w:t>
            </w:r>
          </w:p>
        </w:tc>
        <w:tc>
          <w:tcPr>
            <w:tcW w:w="0" w:type="auto"/>
            <w:tcBorders>
              <w:top w:val="single" w:sz="4" w:space="0" w:color="1F497D"/>
            </w:tcBorders>
            <w:shd w:val="clear" w:color="auto" w:fill="auto"/>
            <w:vAlign w:val="center"/>
          </w:tcPr>
          <w:p w:rsidR="00646530" w:rsidRPr="003B7F15" w:rsidRDefault="00646530" w:rsidP="00B94A15">
            <w:pPr>
              <w:spacing w:before="40" w:after="40" w:line="240" w:lineRule="auto"/>
              <w:jc w:val="center"/>
              <w:rPr>
                <w:rFonts w:eastAsia="Times New Roman" w:cs="Arial"/>
                <w:bCs/>
                <w:sz w:val="20"/>
                <w:szCs w:val="20"/>
              </w:rPr>
            </w:pPr>
            <w:r w:rsidRPr="003B7F15">
              <w:rPr>
                <w:rFonts w:eastAsia="Times New Roman" w:cs="Arial"/>
                <w:bCs/>
                <w:sz w:val="20"/>
                <w:szCs w:val="20"/>
              </w:rPr>
              <w:t>Curto</w:t>
            </w:r>
          </w:p>
        </w:tc>
      </w:tr>
      <w:tr w:rsidR="00106CB4" w:rsidRPr="003B7F15" w:rsidTr="004D1D76">
        <w:trPr>
          <w:cantSplit/>
          <w:trHeight w:val="283"/>
          <w:jc w:val="center"/>
        </w:trPr>
        <w:tc>
          <w:tcPr>
            <w:tcW w:w="2802" w:type="dxa"/>
            <w:vMerge/>
            <w:shd w:val="clear" w:color="auto" w:fill="auto"/>
            <w:vAlign w:val="center"/>
          </w:tcPr>
          <w:p w:rsidR="00106CB4" w:rsidRPr="003B7F15" w:rsidRDefault="00106CB4" w:rsidP="00A87269">
            <w:pPr>
              <w:numPr>
                <w:ilvl w:val="0"/>
                <w:numId w:val="25"/>
              </w:numPr>
              <w:spacing w:before="40" w:after="40" w:line="240" w:lineRule="auto"/>
              <w:ind w:left="173" w:hanging="173"/>
              <w:jc w:val="left"/>
              <w:rPr>
                <w:rFonts w:eastAsia="Times New Roman" w:cs="Arial"/>
                <w:bCs/>
                <w:sz w:val="20"/>
                <w:szCs w:val="20"/>
                <w:lang w:eastAsia="pt-BR"/>
              </w:rPr>
            </w:pPr>
          </w:p>
        </w:tc>
        <w:tc>
          <w:tcPr>
            <w:tcW w:w="10722" w:type="dxa"/>
            <w:shd w:val="clear" w:color="auto" w:fill="auto"/>
            <w:vAlign w:val="center"/>
          </w:tcPr>
          <w:p w:rsidR="00106CB4" w:rsidRPr="003B7F15" w:rsidRDefault="00106CB4" w:rsidP="00B94A15">
            <w:pPr>
              <w:spacing w:before="40" w:after="40" w:line="240" w:lineRule="auto"/>
              <w:rPr>
                <w:rFonts w:eastAsia="Times New Roman" w:cs="Arial"/>
                <w:bCs/>
                <w:sz w:val="20"/>
                <w:szCs w:val="20"/>
                <w:lang w:eastAsia="pt-BR"/>
              </w:rPr>
            </w:pPr>
            <w:r w:rsidRPr="003B7F15">
              <w:rPr>
                <w:rFonts w:eastAsia="Times New Roman" w:cs="Arial"/>
                <w:bCs/>
                <w:sz w:val="20"/>
                <w:szCs w:val="20"/>
                <w:lang w:eastAsia="pt-BR"/>
              </w:rPr>
              <w:t xml:space="preserve">3.2. </w:t>
            </w:r>
            <w:r w:rsidRPr="003B7F15">
              <w:rPr>
                <w:rFonts w:cs="Arial"/>
                <w:bCs/>
                <w:sz w:val="18"/>
                <w:szCs w:val="18"/>
              </w:rPr>
              <w:t>Recuperar 100% das APPs do município.</w:t>
            </w:r>
          </w:p>
        </w:tc>
        <w:tc>
          <w:tcPr>
            <w:tcW w:w="0" w:type="auto"/>
            <w:shd w:val="clear" w:color="auto" w:fill="auto"/>
            <w:vAlign w:val="center"/>
          </w:tcPr>
          <w:p w:rsidR="00106CB4" w:rsidRPr="003B7F15" w:rsidRDefault="00106CB4" w:rsidP="00B94A15">
            <w:pPr>
              <w:spacing w:before="40" w:after="40" w:line="240" w:lineRule="auto"/>
              <w:jc w:val="center"/>
              <w:rPr>
                <w:rFonts w:eastAsia="Times New Roman" w:cs="Arial"/>
                <w:bCs/>
                <w:sz w:val="20"/>
                <w:szCs w:val="20"/>
              </w:rPr>
            </w:pPr>
            <w:r w:rsidRPr="003B7F15">
              <w:rPr>
                <w:rFonts w:eastAsia="Times New Roman" w:cs="Arial"/>
                <w:bCs/>
                <w:sz w:val="20"/>
                <w:szCs w:val="20"/>
              </w:rPr>
              <w:t>Médio</w:t>
            </w:r>
          </w:p>
        </w:tc>
      </w:tr>
      <w:tr w:rsidR="00646530" w:rsidRPr="003B7F15" w:rsidTr="004D1D76">
        <w:trPr>
          <w:cantSplit/>
          <w:trHeight w:val="283"/>
          <w:jc w:val="center"/>
        </w:trPr>
        <w:tc>
          <w:tcPr>
            <w:tcW w:w="2802" w:type="dxa"/>
            <w:vMerge/>
            <w:shd w:val="clear" w:color="auto" w:fill="auto"/>
            <w:vAlign w:val="center"/>
          </w:tcPr>
          <w:p w:rsidR="00646530" w:rsidRPr="003B7F15" w:rsidRDefault="00646530" w:rsidP="00A87269">
            <w:pPr>
              <w:numPr>
                <w:ilvl w:val="0"/>
                <w:numId w:val="25"/>
              </w:numPr>
              <w:spacing w:before="40" w:after="40" w:line="240" w:lineRule="auto"/>
              <w:ind w:left="173" w:hanging="173"/>
              <w:jc w:val="left"/>
              <w:rPr>
                <w:rFonts w:eastAsia="Times New Roman" w:cs="Arial"/>
                <w:bCs/>
                <w:sz w:val="20"/>
                <w:szCs w:val="20"/>
                <w:lang w:eastAsia="pt-BR"/>
              </w:rPr>
            </w:pPr>
          </w:p>
        </w:tc>
        <w:tc>
          <w:tcPr>
            <w:tcW w:w="10722" w:type="dxa"/>
            <w:shd w:val="clear" w:color="auto" w:fill="auto"/>
            <w:vAlign w:val="center"/>
          </w:tcPr>
          <w:p w:rsidR="00646530" w:rsidRPr="003B7F15" w:rsidRDefault="00646530" w:rsidP="006E3C83">
            <w:pPr>
              <w:spacing w:before="40" w:after="40" w:line="240" w:lineRule="auto"/>
              <w:rPr>
                <w:rFonts w:eastAsia="Times New Roman" w:cs="Arial"/>
                <w:bCs/>
                <w:sz w:val="20"/>
                <w:szCs w:val="20"/>
                <w:lang w:eastAsia="pt-BR"/>
              </w:rPr>
            </w:pPr>
            <w:r w:rsidRPr="003B7F15">
              <w:rPr>
                <w:rFonts w:eastAsia="Times New Roman" w:cs="Arial"/>
                <w:bCs/>
                <w:sz w:val="20"/>
                <w:szCs w:val="20"/>
                <w:lang w:eastAsia="pt-BR"/>
              </w:rPr>
              <w:t>3.</w:t>
            </w:r>
            <w:r w:rsidR="006E3C83" w:rsidRPr="003B7F15">
              <w:rPr>
                <w:rFonts w:eastAsia="Times New Roman" w:cs="Arial"/>
                <w:bCs/>
                <w:sz w:val="20"/>
                <w:szCs w:val="20"/>
                <w:lang w:eastAsia="pt-BR"/>
              </w:rPr>
              <w:t>3</w:t>
            </w:r>
            <w:r w:rsidRPr="003B7F15">
              <w:rPr>
                <w:rFonts w:eastAsia="Times New Roman" w:cs="Arial"/>
                <w:bCs/>
                <w:sz w:val="20"/>
                <w:szCs w:val="20"/>
                <w:lang w:eastAsia="pt-BR"/>
              </w:rPr>
              <w:t>. Evitar ocupações em fundos de vale visando diminuir o assoreamento.</w:t>
            </w:r>
          </w:p>
        </w:tc>
        <w:tc>
          <w:tcPr>
            <w:tcW w:w="0" w:type="auto"/>
            <w:shd w:val="clear" w:color="auto" w:fill="auto"/>
            <w:vAlign w:val="center"/>
          </w:tcPr>
          <w:p w:rsidR="00646530" w:rsidRPr="003B7F15" w:rsidRDefault="00646530" w:rsidP="00B94A15">
            <w:pPr>
              <w:spacing w:before="40" w:after="40" w:line="240" w:lineRule="auto"/>
              <w:jc w:val="center"/>
              <w:rPr>
                <w:rFonts w:eastAsia="Times New Roman" w:cs="Arial"/>
                <w:bCs/>
                <w:sz w:val="20"/>
                <w:szCs w:val="20"/>
              </w:rPr>
            </w:pPr>
            <w:r w:rsidRPr="003B7F15">
              <w:rPr>
                <w:rFonts w:eastAsia="Times New Roman" w:cs="Arial"/>
                <w:bCs/>
                <w:sz w:val="20"/>
                <w:szCs w:val="20"/>
              </w:rPr>
              <w:t>Curto</w:t>
            </w:r>
          </w:p>
        </w:tc>
      </w:tr>
      <w:tr w:rsidR="00646530" w:rsidRPr="003B7F15" w:rsidTr="004D1D76">
        <w:trPr>
          <w:cantSplit/>
          <w:trHeight w:val="283"/>
          <w:jc w:val="center"/>
        </w:trPr>
        <w:tc>
          <w:tcPr>
            <w:tcW w:w="2802" w:type="dxa"/>
            <w:vMerge/>
            <w:shd w:val="clear" w:color="auto" w:fill="auto"/>
            <w:vAlign w:val="center"/>
          </w:tcPr>
          <w:p w:rsidR="00646530" w:rsidRPr="003B7F15" w:rsidRDefault="00646530" w:rsidP="00A87269">
            <w:pPr>
              <w:numPr>
                <w:ilvl w:val="0"/>
                <w:numId w:val="25"/>
              </w:numPr>
              <w:spacing w:before="40" w:after="40" w:line="240" w:lineRule="auto"/>
              <w:ind w:left="173" w:hanging="173"/>
              <w:jc w:val="left"/>
              <w:rPr>
                <w:rFonts w:eastAsia="Times New Roman" w:cs="Arial"/>
                <w:bCs/>
                <w:sz w:val="20"/>
                <w:szCs w:val="20"/>
                <w:lang w:eastAsia="pt-BR"/>
              </w:rPr>
            </w:pPr>
          </w:p>
        </w:tc>
        <w:tc>
          <w:tcPr>
            <w:tcW w:w="10722" w:type="dxa"/>
            <w:tcBorders>
              <w:bottom w:val="single" w:sz="4" w:space="0" w:color="1F497D"/>
            </w:tcBorders>
            <w:shd w:val="clear" w:color="auto" w:fill="auto"/>
            <w:vAlign w:val="center"/>
          </w:tcPr>
          <w:p w:rsidR="00646530" w:rsidRPr="003B7F15" w:rsidRDefault="00106CB4" w:rsidP="006E3C83">
            <w:pPr>
              <w:spacing w:before="40" w:after="40" w:line="240" w:lineRule="auto"/>
              <w:rPr>
                <w:rFonts w:eastAsia="Times New Roman" w:cs="Arial"/>
                <w:bCs/>
                <w:sz w:val="20"/>
                <w:szCs w:val="20"/>
                <w:lang w:eastAsia="pt-BR"/>
              </w:rPr>
            </w:pPr>
            <w:r w:rsidRPr="003B7F15">
              <w:rPr>
                <w:rFonts w:eastAsia="Times New Roman" w:cs="Arial"/>
                <w:bCs/>
                <w:sz w:val="20"/>
                <w:szCs w:val="20"/>
                <w:lang w:eastAsia="pt-BR"/>
              </w:rPr>
              <w:t>3.</w:t>
            </w:r>
            <w:r w:rsidR="006E3C83" w:rsidRPr="003B7F15">
              <w:rPr>
                <w:rFonts w:eastAsia="Times New Roman" w:cs="Arial"/>
                <w:bCs/>
                <w:sz w:val="20"/>
                <w:szCs w:val="20"/>
                <w:lang w:eastAsia="pt-BR"/>
              </w:rPr>
              <w:t>4</w:t>
            </w:r>
            <w:r w:rsidR="00646530" w:rsidRPr="003B7F15">
              <w:rPr>
                <w:rFonts w:eastAsia="Times New Roman" w:cs="Arial"/>
                <w:bCs/>
                <w:sz w:val="20"/>
                <w:szCs w:val="20"/>
                <w:lang w:eastAsia="pt-BR"/>
              </w:rPr>
              <w:t xml:space="preserve"> Favorecer a infiltração da água no solo, especialmente utilizando a cobertura natural.</w:t>
            </w:r>
          </w:p>
        </w:tc>
        <w:tc>
          <w:tcPr>
            <w:tcW w:w="0" w:type="auto"/>
            <w:tcBorders>
              <w:bottom w:val="single" w:sz="4" w:space="0" w:color="1F497D"/>
            </w:tcBorders>
            <w:shd w:val="clear" w:color="auto" w:fill="auto"/>
            <w:vAlign w:val="center"/>
          </w:tcPr>
          <w:p w:rsidR="00646530" w:rsidRPr="003B7F15" w:rsidRDefault="00646530" w:rsidP="00B94A15">
            <w:pPr>
              <w:spacing w:before="40" w:after="40" w:line="240" w:lineRule="auto"/>
              <w:jc w:val="center"/>
              <w:rPr>
                <w:rFonts w:eastAsia="Times New Roman" w:cs="Arial"/>
                <w:bCs/>
                <w:sz w:val="20"/>
                <w:szCs w:val="20"/>
              </w:rPr>
            </w:pPr>
            <w:r w:rsidRPr="003B7F15">
              <w:rPr>
                <w:rFonts w:eastAsia="Times New Roman" w:cs="Arial"/>
                <w:bCs/>
                <w:sz w:val="20"/>
                <w:szCs w:val="20"/>
              </w:rPr>
              <w:t>Longo</w:t>
            </w:r>
          </w:p>
        </w:tc>
      </w:tr>
      <w:tr w:rsidR="00646530" w:rsidRPr="003B7F15" w:rsidTr="004D1D76">
        <w:trPr>
          <w:cantSplit/>
          <w:trHeight w:val="283"/>
          <w:jc w:val="center"/>
        </w:trPr>
        <w:tc>
          <w:tcPr>
            <w:tcW w:w="2802" w:type="dxa"/>
            <w:vMerge/>
            <w:tcBorders>
              <w:bottom w:val="single" w:sz="4" w:space="0" w:color="1F497D"/>
            </w:tcBorders>
            <w:shd w:val="clear" w:color="auto" w:fill="auto"/>
            <w:vAlign w:val="center"/>
          </w:tcPr>
          <w:p w:rsidR="00646530" w:rsidRPr="003B7F15" w:rsidRDefault="00646530" w:rsidP="00B94A15">
            <w:pPr>
              <w:spacing w:before="40" w:after="40" w:line="240" w:lineRule="auto"/>
              <w:jc w:val="left"/>
              <w:rPr>
                <w:bCs/>
                <w:sz w:val="20"/>
              </w:rPr>
            </w:pPr>
          </w:p>
        </w:tc>
        <w:tc>
          <w:tcPr>
            <w:tcW w:w="10722" w:type="dxa"/>
            <w:tcBorders>
              <w:bottom w:val="single" w:sz="4" w:space="0" w:color="1F497D"/>
            </w:tcBorders>
            <w:shd w:val="clear" w:color="auto" w:fill="auto"/>
            <w:vAlign w:val="center"/>
          </w:tcPr>
          <w:p w:rsidR="00646530" w:rsidRPr="003B7F15" w:rsidRDefault="00646530" w:rsidP="006E3C83">
            <w:pPr>
              <w:spacing w:before="40" w:after="40" w:line="240" w:lineRule="auto"/>
              <w:rPr>
                <w:rFonts w:eastAsia="Times New Roman" w:cs="Arial"/>
                <w:bCs/>
                <w:sz w:val="20"/>
                <w:szCs w:val="20"/>
                <w:lang w:eastAsia="pt-BR"/>
              </w:rPr>
            </w:pPr>
            <w:r w:rsidRPr="003B7F15">
              <w:rPr>
                <w:rFonts w:eastAsia="Times New Roman" w:cs="Arial"/>
                <w:bCs/>
                <w:sz w:val="20"/>
                <w:szCs w:val="20"/>
                <w:lang w:eastAsia="pt-BR"/>
              </w:rPr>
              <w:t>3.</w:t>
            </w:r>
            <w:r w:rsidR="006E3C83" w:rsidRPr="003B7F15">
              <w:rPr>
                <w:rFonts w:eastAsia="Times New Roman" w:cs="Arial"/>
                <w:bCs/>
                <w:sz w:val="20"/>
                <w:szCs w:val="20"/>
                <w:lang w:eastAsia="pt-BR"/>
              </w:rPr>
              <w:t>5</w:t>
            </w:r>
            <w:r w:rsidRPr="003B7F15">
              <w:rPr>
                <w:rFonts w:eastAsia="Times New Roman" w:cs="Arial"/>
                <w:bCs/>
                <w:sz w:val="20"/>
                <w:szCs w:val="20"/>
                <w:lang w:eastAsia="pt-BR"/>
              </w:rPr>
              <w:t xml:space="preserve"> Pro</w:t>
            </w:r>
            <w:r w:rsidR="00106CB4" w:rsidRPr="003B7F15">
              <w:rPr>
                <w:rFonts w:eastAsia="Times New Roman" w:cs="Arial"/>
                <w:bCs/>
                <w:sz w:val="20"/>
                <w:szCs w:val="20"/>
                <w:lang w:eastAsia="pt-BR"/>
              </w:rPr>
              <w:t xml:space="preserve">mover o </w:t>
            </w:r>
            <w:r w:rsidRPr="003B7F15">
              <w:rPr>
                <w:rFonts w:eastAsia="Times New Roman" w:cs="Arial"/>
                <w:bCs/>
                <w:sz w:val="20"/>
                <w:szCs w:val="20"/>
                <w:lang w:eastAsia="pt-BR"/>
              </w:rPr>
              <w:t>ordenamento territorial na escala da bacia hidrográfica.</w:t>
            </w:r>
          </w:p>
        </w:tc>
        <w:tc>
          <w:tcPr>
            <w:tcW w:w="0" w:type="auto"/>
            <w:tcBorders>
              <w:bottom w:val="single" w:sz="4" w:space="0" w:color="1F497D"/>
            </w:tcBorders>
            <w:shd w:val="clear" w:color="auto" w:fill="auto"/>
            <w:vAlign w:val="center"/>
          </w:tcPr>
          <w:p w:rsidR="00646530" w:rsidRPr="003B7F15" w:rsidRDefault="00646530" w:rsidP="00B94A15">
            <w:pPr>
              <w:spacing w:before="40" w:after="40" w:line="240" w:lineRule="auto"/>
              <w:jc w:val="center"/>
              <w:rPr>
                <w:rFonts w:eastAsia="Times New Roman" w:cs="Arial"/>
                <w:bCs/>
                <w:sz w:val="20"/>
                <w:szCs w:val="20"/>
              </w:rPr>
            </w:pPr>
            <w:r w:rsidRPr="003B7F15">
              <w:rPr>
                <w:rFonts w:eastAsia="Times New Roman" w:cs="Arial"/>
                <w:bCs/>
                <w:sz w:val="20"/>
                <w:szCs w:val="20"/>
              </w:rPr>
              <w:t>Longo</w:t>
            </w:r>
          </w:p>
        </w:tc>
      </w:tr>
      <w:tr w:rsidR="00646530" w:rsidRPr="003B7F15" w:rsidTr="00B94A15">
        <w:trPr>
          <w:cantSplit/>
          <w:trHeight w:val="340"/>
          <w:jc w:val="center"/>
        </w:trPr>
        <w:tc>
          <w:tcPr>
            <w:tcW w:w="2802" w:type="dxa"/>
            <w:vMerge w:val="restart"/>
            <w:tcBorders>
              <w:top w:val="single" w:sz="4" w:space="0" w:color="1F497D"/>
              <w:bottom w:val="dashSmallGap" w:sz="4" w:space="0" w:color="1F497D"/>
            </w:tcBorders>
            <w:shd w:val="clear" w:color="auto" w:fill="auto"/>
            <w:vAlign w:val="center"/>
          </w:tcPr>
          <w:p w:rsidR="00646530" w:rsidRPr="003B7F15" w:rsidRDefault="00646530" w:rsidP="00B94A15">
            <w:pPr>
              <w:spacing w:before="40" w:after="40" w:line="240" w:lineRule="auto"/>
              <w:jc w:val="left"/>
              <w:rPr>
                <w:rFonts w:eastAsia="Times New Roman" w:cs="Arial"/>
                <w:bCs/>
                <w:sz w:val="20"/>
                <w:szCs w:val="20"/>
                <w:lang w:eastAsia="pt-BR"/>
              </w:rPr>
            </w:pPr>
            <w:r w:rsidRPr="003B7F15">
              <w:rPr>
                <w:rFonts w:eastAsia="Times New Roman" w:cs="Arial"/>
                <w:bCs/>
                <w:sz w:val="20"/>
                <w:szCs w:val="20"/>
                <w:lang w:eastAsia="pt-BR"/>
              </w:rPr>
              <w:lastRenderedPageBreak/>
              <w:t xml:space="preserve">4. Implementar para o SDU uma gestão eficiente no que concerne aos aspectos </w:t>
            </w:r>
            <w:r w:rsidR="008F5429" w:rsidRPr="003B7F15">
              <w:rPr>
                <w:rFonts w:eastAsia="Times New Roman" w:cs="Arial"/>
                <w:bCs/>
                <w:sz w:val="20"/>
                <w:szCs w:val="20"/>
                <w:lang w:eastAsia="pt-BR"/>
              </w:rPr>
              <w:t>administrativos, operacionais, financeiros, de planejamento estratégico e de sustentabilidade.</w:t>
            </w:r>
          </w:p>
        </w:tc>
        <w:tc>
          <w:tcPr>
            <w:tcW w:w="10722" w:type="dxa"/>
            <w:tcBorders>
              <w:top w:val="single" w:sz="4" w:space="0" w:color="1F497D"/>
              <w:bottom w:val="dashSmallGap" w:sz="4" w:space="0" w:color="1F497D"/>
            </w:tcBorders>
            <w:shd w:val="clear" w:color="auto" w:fill="auto"/>
            <w:vAlign w:val="center"/>
          </w:tcPr>
          <w:p w:rsidR="00646530" w:rsidRPr="003B7F15" w:rsidRDefault="00646530" w:rsidP="00B94A15">
            <w:pPr>
              <w:spacing w:before="40" w:after="40" w:line="240" w:lineRule="auto"/>
              <w:rPr>
                <w:rFonts w:eastAsia="Times New Roman" w:cs="Arial"/>
                <w:bCs/>
                <w:sz w:val="20"/>
                <w:szCs w:val="20"/>
                <w:lang w:eastAsia="pt-BR"/>
              </w:rPr>
            </w:pPr>
            <w:r w:rsidRPr="003B7F15">
              <w:rPr>
                <w:rFonts w:eastAsia="Times New Roman" w:cs="Arial"/>
                <w:bCs/>
                <w:sz w:val="20"/>
                <w:szCs w:val="20"/>
                <w:lang w:eastAsia="pt-BR"/>
              </w:rPr>
              <w:t>4.1 Mapeamento e cadastramento (banco de dados) de pelo menos 50% dos sistemas de drenagem urbana de Córrego Novo.</w:t>
            </w:r>
          </w:p>
        </w:tc>
        <w:tc>
          <w:tcPr>
            <w:tcW w:w="0" w:type="auto"/>
            <w:tcBorders>
              <w:top w:val="single" w:sz="4" w:space="0" w:color="1F497D"/>
              <w:bottom w:val="dashSmallGap" w:sz="4" w:space="0" w:color="1F497D"/>
            </w:tcBorders>
            <w:shd w:val="clear" w:color="auto" w:fill="auto"/>
            <w:vAlign w:val="center"/>
          </w:tcPr>
          <w:p w:rsidR="00646530" w:rsidRPr="003B7F15" w:rsidRDefault="00095090" w:rsidP="00B94A15">
            <w:pPr>
              <w:spacing w:before="40" w:after="40" w:line="240" w:lineRule="auto"/>
              <w:jc w:val="center"/>
              <w:rPr>
                <w:rFonts w:eastAsia="Times New Roman" w:cs="Arial"/>
                <w:bCs/>
                <w:color w:val="0070C0"/>
                <w:sz w:val="20"/>
                <w:szCs w:val="20"/>
              </w:rPr>
            </w:pPr>
            <w:r w:rsidRPr="003B7F15">
              <w:rPr>
                <w:rFonts w:eastAsia="Times New Roman" w:cs="Arial"/>
                <w:bCs/>
                <w:sz w:val="20"/>
                <w:szCs w:val="20"/>
              </w:rPr>
              <w:t>Curto</w:t>
            </w:r>
          </w:p>
        </w:tc>
      </w:tr>
      <w:tr w:rsidR="00646530" w:rsidRPr="003B7F15" w:rsidTr="00B94A15">
        <w:trPr>
          <w:cantSplit/>
          <w:trHeight w:val="340"/>
          <w:jc w:val="center"/>
        </w:trPr>
        <w:tc>
          <w:tcPr>
            <w:tcW w:w="2802" w:type="dxa"/>
            <w:vMerge/>
            <w:tcBorders>
              <w:top w:val="dashSmallGap" w:sz="4" w:space="0" w:color="1F497D"/>
              <w:bottom w:val="dashSmallGap" w:sz="4" w:space="0" w:color="1F497D"/>
            </w:tcBorders>
            <w:shd w:val="clear" w:color="auto" w:fill="auto"/>
            <w:vAlign w:val="center"/>
          </w:tcPr>
          <w:p w:rsidR="00646530" w:rsidRPr="003B7F15" w:rsidRDefault="00646530" w:rsidP="00A87269">
            <w:pPr>
              <w:numPr>
                <w:ilvl w:val="0"/>
                <w:numId w:val="26"/>
              </w:numPr>
              <w:spacing w:before="40" w:after="40" w:line="240" w:lineRule="auto"/>
              <w:ind w:left="173" w:hanging="173"/>
              <w:jc w:val="left"/>
              <w:rPr>
                <w:rFonts w:eastAsia="Times New Roman" w:cs="Arial"/>
                <w:bCs/>
                <w:sz w:val="20"/>
                <w:szCs w:val="20"/>
                <w:lang w:eastAsia="pt-BR"/>
              </w:rPr>
            </w:pPr>
          </w:p>
        </w:tc>
        <w:tc>
          <w:tcPr>
            <w:tcW w:w="10722" w:type="dxa"/>
            <w:tcBorders>
              <w:top w:val="dashSmallGap" w:sz="4" w:space="0" w:color="1F497D"/>
              <w:bottom w:val="dashSmallGap" w:sz="4" w:space="0" w:color="1F497D"/>
            </w:tcBorders>
            <w:shd w:val="clear" w:color="auto" w:fill="auto"/>
            <w:vAlign w:val="center"/>
          </w:tcPr>
          <w:p w:rsidR="00646530" w:rsidRPr="003B7F15" w:rsidRDefault="00646530" w:rsidP="00B94A15">
            <w:pPr>
              <w:spacing w:before="40" w:after="40" w:line="240" w:lineRule="auto"/>
              <w:rPr>
                <w:rFonts w:eastAsia="Times New Roman" w:cs="Arial"/>
                <w:bCs/>
                <w:sz w:val="20"/>
                <w:szCs w:val="20"/>
                <w:lang w:eastAsia="pt-BR"/>
              </w:rPr>
            </w:pPr>
            <w:r w:rsidRPr="003B7F15">
              <w:rPr>
                <w:rFonts w:eastAsia="Times New Roman" w:cs="Arial"/>
                <w:bCs/>
                <w:sz w:val="20"/>
                <w:szCs w:val="20"/>
                <w:lang w:eastAsia="pt-BR"/>
              </w:rPr>
              <w:t>4.2 Mapeamento e cadastramento (banco de dados) de 100% dos sistemas de drenagem urbana de Córrego Novo.</w:t>
            </w:r>
          </w:p>
        </w:tc>
        <w:tc>
          <w:tcPr>
            <w:tcW w:w="0" w:type="auto"/>
            <w:tcBorders>
              <w:top w:val="dashSmallGap" w:sz="4" w:space="0" w:color="1F497D"/>
              <w:bottom w:val="dashSmallGap" w:sz="4" w:space="0" w:color="1F497D"/>
            </w:tcBorders>
            <w:shd w:val="clear" w:color="auto" w:fill="auto"/>
            <w:vAlign w:val="center"/>
          </w:tcPr>
          <w:p w:rsidR="00646530" w:rsidRPr="003B7F15" w:rsidRDefault="00727F55" w:rsidP="00B94A15">
            <w:pPr>
              <w:spacing w:before="40" w:after="40" w:line="240" w:lineRule="auto"/>
              <w:jc w:val="center"/>
              <w:rPr>
                <w:rFonts w:eastAsia="Times New Roman" w:cs="Arial"/>
                <w:bCs/>
                <w:color w:val="0070C0"/>
                <w:sz w:val="20"/>
                <w:szCs w:val="20"/>
              </w:rPr>
            </w:pPr>
            <w:r w:rsidRPr="003B7F15">
              <w:rPr>
                <w:rFonts w:eastAsia="Times New Roman" w:cs="Arial"/>
                <w:bCs/>
                <w:sz w:val="20"/>
                <w:szCs w:val="20"/>
              </w:rPr>
              <w:t>Médio</w:t>
            </w:r>
          </w:p>
        </w:tc>
      </w:tr>
      <w:tr w:rsidR="00646530" w:rsidRPr="003B7F15" w:rsidTr="00B94A15">
        <w:trPr>
          <w:cantSplit/>
          <w:trHeight w:val="340"/>
          <w:jc w:val="center"/>
        </w:trPr>
        <w:tc>
          <w:tcPr>
            <w:tcW w:w="2802" w:type="dxa"/>
            <w:vMerge/>
            <w:tcBorders>
              <w:top w:val="dashSmallGap" w:sz="4" w:space="0" w:color="1F497D"/>
              <w:bottom w:val="dashSmallGap" w:sz="4" w:space="0" w:color="1F497D"/>
            </w:tcBorders>
            <w:shd w:val="clear" w:color="auto" w:fill="auto"/>
            <w:vAlign w:val="center"/>
          </w:tcPr>
          <w:p w:rsidR="00646530" w:rsidRPr="003B7F15" w:rsidRDefault="00646530" w:rsidP="00A87269">
            <w:pPr>
              <w:numPr>
                <w:ilvl w:val="0"/>
                <w:numId w:val="26"/>
              </w:numPr>
              <w:spacing w:before="40" w:after="40" w:line="240" w:lineRule="auto"/>
              <w:ind w:left="173" w:hanging="173"/>
              <w:jc w:val="left"/>
              <w:rPr>
                <w:rFonts w:eastAsia="Times New Roman" w:cs="Arial"/>
                <w:bCs/>
                <w:sz w:val="20"/>
                <w:szCs w:val="20"/>
                <w:lang w:eastAsia="pt-BR"/>
              </w:rPr>
            </w:pPr>
          </w:p>
        </w:tc>
        <w:tc>
          <w:tcPr>
            <w:tcW w:w="10722" w:type="dxa"/>
            <w:tcBorders>
              <w:top w:val="dashSmallGap" w:sz="4" w:space="0" w:color="1F497D"/>
              <w:bottom w:val="dashSmallGap" w:sz="4" w:space="0" w:color="1F497D"/>
            </w:tcBorders>
            <w:shd w:val="clear" w:color="auto" w:fill="auto"/>
            <w:vAlign w:val="center"/>
          </w:tcPr>
          <w:p w:rsidR="00646530" w:rsidRPr="003B7F15" w:rsidRDefault="00646530" w:rsidP="00B94A15">
            <w:pPr>
              <w:spacing w:before="40" w:after="40" w:line="240" w:lineRule="auto"/>
              <w:rPr>
                <w:rFonts w:eastAsia="Times New Roman" w:cs="Arial"/>
                <w:sz w:val="20"/>
                <w:szCs w:val="20"/>
              </w:rPr>
            </w:pPr>
            <w:r w:rsidRPr="003B7F15">
              <w:rPr>
                <w:rFonts w:eastAsia="Times New Roman" w:cs="Arial"/>
                <w:bCs/>
                <w:sz w:val="20"/>
                <w:szCs w:val="20"/>
                <w:lang w:eastAsia="pt-BR"/>
              </w:rPr>
              <w:t>4.3 Manter o sistema de informações sobre o SDU atualizado.</w:t>
            </w:r>
          </w:p>
        </w:tc>
        <w:tc>
          <w:tcPr>
            <w:tcW w:w="0" w:type="auto"/>
            <w:tcBorders>
              <w:top w:val="dashSmallGap" w:sz="4" w:space="0" w:color="1F497D"/>
              <w:bottom w:val="dashSmallGap" w:sz="4" w:space="0" w:color="1F497D"/>
            </w:tcBorders>
            <w:shd w:val="clear" w:color="auto" w:fill="auto"/>
            <w:vAlign w:val="center"/>
          </w:tcPr>
          <w:p w:rsidR="00646530" w:rsidRPr="003B7F15" w:rsidRDefault="00646530" w:rsidP="00B94A15">
            <w:pPr>
              <w:spacing w:before="40" w:after="40" w:line="240" w:lineRule="auto"/>
              <w:jc w:val="center"/>
              <w:rPr>
                <w:rFonts w:eastAsia="Times New Roman" w:cs="Arial"/>
                <w:bCs/>
                <w:sz w:val="20"/>
                <w:szCs w:val="20"/>
              </w:rPr>
            </w:pPr>
            <w:r w:rsidRPr="003B7F15">
              <w:rPr>
                <w:rFonts w:eastAsia="Times New Roman" w:cs="Arial"/>
                <w:bCs/>
                <w:sz w:val="20"/>
                <w:szCs w:val="20"/>
              </w:rPr>
              <w:t>Curto</w:t>
            </w:r>
          </w:p>
        </w:tc>
      </w:tr>
      <w:tr w:rsidR="00646530" w:rsidRPr="003B7F15" w:rsidTr="00B94A15">
        <w:trPr>
          <w:cantSplit/>
          <w:trHeight w:val="340"/>
          <w:jc w:val="center"/>
        </w:trPr>
        <w:tc>
          <w:tcPr>
            <w:tcW w:w="2802" w:type="dxa"/>
            <w:vMerge/>
            <w:tcBorders>
              <w:top w:val="dashSmallGap" w:sz="4" w:space="0" w:color="1F497D"/>
              <w:bottom w:val="dashSmallGap" w:sz="4" w:space="0" w:color="1F497D"/>
            </w:tcBorders>
            <w:shd w:val="clear" w:color="auto" w:fill="auto"/>
            <w:vAlign w:val="center"/>
          </w:tcPr>
          <w:p w:rsidR="00646530" w:rsidRPr="003B7F15" w:rsidRDefault="00646530" w:rsidP="00A87269">
            <w:pPr>
              <w:numPr>
                <w:ilvl w:val="0"/>
                <w:numId w:val="26"/>
              </w:numPr>
              <w:spacing w:before="40" w:after="40" w:line="240" w:lineRule="auto"/>
              <w:ind w:left="173" w:hanging="173"/>
              <w:jc w:val="left"/>
              <w:rPr>
                <w:rFonts w:eastAsia="Times New Roman" w:cs="Arial"/>
                <w:bCs/>
                <w:sz w:val="20"/>
                <w:szCs w:val="20"/>
                <w:lang w:eastAsia="pt-BR"/>
              </w:rPr>
            </w:pPr>
          </w:p>
        </w:tc>
        <w:tc>
          <w:tcPr>
            <w:tcW w:w="10722" w:type="dxa"/>
            <w:tcBorders>
              <w:top w:val="dashSmallGap" w:sz="4" w:space="0" w:color="1F497D"/>
              <w:bottom w:val="dashSmallGap" w:sz="4" w:space="0" w:color="1F497D"/>
            </w:tcBorders>
            <w:shd w:val="clear" w:color="auto" w:fill="auto"/>
            <w:vAlign w:val="center"/>
          </w:tcPr>
          <w:p w:rsidR="00646530" w:rsidRPr="003B7F15" w:rsidRDefault="00646530" w:rsidP="00106CB4">
            <w:pPr>
              <w:spacing w:before="40" w:after="40" w:line="240" w:lineRule="auto"/>
              <w:rPr>
                <w:rFonts w:eastAsia="Times New Roman" w:cs="Arial"/>
                <w:sz w:val="20"/>
                <w:szCs w:val="20"/>
              </w:rPr>
            </w:pPr>
            <w:r w:rsidRPr="003B7F15">
              <w:rPr>
                <w:rFonts w:eastAsia="Times New Roman" w:cs="Arial"/>
                <w:sz w:val="20"/>
                <w:szCs w:val="20"/>
              </w:rPr>
              <w:t xml:space="preserve">4.4 Corpo técnico </w:t>
            </w:r>
            <w:r w:rsidR="00106CB4" w:rsidRPr="003B7F15">
              <w:rPr>
                <w:rFonts w:eastAsia="Times New Roman" w:cs="Arial"/>
                <w:sz w:val="20"/>
                <w:szCs w:val="20"/>
              </w:rPr>
              <w:t>capacitado</w:t>
            </w:r>
            <w:r w:rsidRPr="003B7F15">
              <w:rPr>
                <w:rFonts w:eastAsia="Times New Roman" w:cs="Arial"/>
                <w:sz w:val="20"/>
                <w:szCs w:val="20"/>
              </w:rPr>
              <w:t xml:space="preserve"> e em número suficiente para atuar em questões específicas de drenagem urbana.</w:t>
            </w:r>
          </w:p>
        </w:tc>
        <w:tc>
          <w:tcPr>
            <w:tcW w:w="0" w:type="auto"/>
            <w:tcBorders>
              <w:top w:val="dashSmallGap" w:sz="4" w:space="0" w:color="1F497D"/>
              <w:bottom w:val="dashSmallGap" w:sz="4" w:space="0" w:color="1F497D"/>
            </w:tcBorders>
            <w:shd w:val="clear" w:color="auto" w:fill="auto"/>
            <w:vAlign w:val="center"/>
          </w:tcPr>
          <w:p w:rsidR="00646530" w:rsidRPr="003B7F15" w:rsidRDefault="00646530" w:rsidP="00B94A15">
            <w:pPr>
              <w:spacing w:before="40" w:after="40" w:line="240" w:lineRule="auto"/>
              <w:jc w:val="center"/>
              <w:rPr>
                <w:rFonts w:eastAsia="Times New Roman" w:cs="Arial"/>
                <w:bCs/>
                <w:sz w:val="20"/>
                <w:szCs w:val="20"/>
              </w:rPr>
            </w:pPr>
            <w:r w:rsidRPr="003B7F15">
              <w:rPr>
                <w:rFonts w:eastAsia="Times New Roman" w:cs="Arial"/>
                <w:bCs/>
                <w:sz w:val="20"/>
                <w:szCs w:val="20"/>
              </w:rPr>
              <w:t>Curto</w:t>
            </w:r>
          </w:p>
        </w:tc>
      </w:tr>
      <w:tr w:rsidR="00646530" w:rsidRPr="003B7F15" w:rsidTr="00B94A15">
        <w:trPr>
          <w:cantSplit/>
          <w:trHeight w:val="340"/>
          <w:jc w:val="center"/>
        </w:trPr>
        <w:tc>
          <w:tcPr>
            <w:tcW w:w="2802" w:type="dxa"/>
            <w:vMerge/>
            <w:tcBorders>
              <w:top w:val="dashSmallGap" w:sz="4" w:space="0" w:color="1F497D"/>
              <w:bottom w:val="single" w:sz="4" w:space="0" w:color="1F497D"/>
            </w:tcBorders>
            <w:shd w:val="clear" w:color="auto" w:fill="auto"/>
            <w:vAlign w:val="center"/>
          </w:tcPr>
          <w:p w:rsidR="00646530" w:rsidRPr="003B7F15" w:rsidRDefault="00646530" w:rsidP="00A87269">
            <w:pPr>
              <w:numPr>
                <w:ilvl w:val="0"/>
                <w:numId w:val="26"/>
              </w:numPr>
              <w:spacing w:before="40" w:after="40" w:line="240" w:lineRule="auto"/>
              <w:ind w:left="173" w:hanging="173"/>
              <w:jc w:val="left"/>
              <w:rPr>
                <w:rFonts w:eastAsia="Times New Roman" w:cs="Arial"/>
                <w:bCs/>
                <w:sz w:val="20"/>
                <w:szCs w:val="20"/>
                <w:lang w:eastAsia="pt-BR"/>
              </w:rPr>
            </w:pPr>
          </w:p>
        </w:tc>
        <w:tc>
          <w:tcPr>
            <w:tcW w:w="10722" w:type="dxa"/>
            <w:tcBorders>
              <w:top w:val="dashSmallGap" w:sz="4" w:space="0" w:color="1F497D"/>
              <w:bottom w:val="single" w:sz="4" w:space="0" w:color="1F497D"/>
            </w:tcBorders>
            <w:shd w:val="clear" w:color="auto" w:fill="auto"/>
            <w:vAlign w:val="center"/>
          </w:tcPr>
          <w:p w:rsidR="00646530" w:rsidRPr="003B7F15" w:rsidRDefault="00646530" w:rsidP="00106CB4">
            <w:pPr>
              <w:spacing w:before="40" w:after="40" w:line="240" w:lineRule="auto"/>
              <w:rPr>
                <w:rFonts w:eastAsia="Times New Roman" w:cs="Arial"/>
                <w:sz w:val="20"/>
                <w:szCs w:val="20"/>
              </w:rPr>
            </w:pPr>
            <w:r w:rsidRPr="003B7F15">
              <w:rPr>
                <w:rFonts w:eastAsia="Times New Roman" w:cs="Arial"/>
                <w:sz w:val="20"/>
                <w:szCs w:val="20"/>
              </w:rPr>
              <w:t>4.5</w:t>
            </w:r>
            <w:r w:rsidR="00106CB4" w:rsidRPr="003B7F15">
              <w:rPr>
                <w:rFonts w:eastAsia="Times New Roman" w:cs="Arial"/>
                <w:sz w:val="20"/>
                <w:szCs w:val="20"/>
              </w:rPr>
              <w:t xml:space="preserve"> U</w:t>
            </w:r>
            <w:r w:rsidRPr="003B7F15">
              <w:rPr>
                <w:rFonts w:eastAsia="Times New Roman" w:cs="Arial"/>
                <w:sz w:val="20"/>
                <w:szCs w:val="20"/>
              </w:rPr>
              <w:t>so e Ocupação e macrozoneamento urbano devidamente regulamentados no município.</w:t>
            </w:r>
          </w:p>
        </w:tc>
        <w:tc>
          <w:tcPr>
            <w:tcW w:w="0" w:type="auto"/>
            <w:tcBorders>
              <w:top w:val="dashSmallGap" w:sz="4" w:space="0" w:color="1F497D"/>
              <w:bottom w:val="single" w:sz="4" w:space="0" w:color="1F497D"/>
            </w:tcBorders>
            <w:shd w:val="clear" w:color="auto" w:fill="auto"/>
            <w:vAlign w:val="center"/>
          </w:tcPr>
          <w:p w:rsidR="00646530" w:rsidRPr="003B7F15" w:rsidRDefault="00646530" w:rsidP="00B94A15">
            <w:pPr>
              <w:spacing w:before="40" w:after="40" w:line="240" w:lineRule="auto"/>
              <w:jc w:val="center"/>
              <w:rPr>
                <w:rFonts w:eastAsia="Times New Roman" w:cs="Arial"/>
                <w:bCs/>
                <w:sz w:val="20"/>
                <w:szCs w:val="20"/>
              </w:rPr>
            </w:pPr>
            <w:r w:rsidRPr="003B7F15">
              <w:rPr>
                <w:rFonts w:eastAsia="Times New Roman" w:cs="Arial"/>
                <w:bCs/>
                <w:sz w:val="20"/>
                <w:szCs w:val="20"/>
              </w:rPr>
              <w:t>Imediato</w:t>
            </w:r>
          </w:p>
        </w:tc>
      </w:tr>
      <w:tr w:rsidR="00646530" w:rsidRPr="003B7F15" w:rsidTr="00B94A15">
        <w:trPr>
          <w:cantSplit/>
          <w:trHeight w:val="340"/>
          <w:jc w:val="center"/>
        </w:trPr>
        <w:tc>
          <w:tcPr>
            <w:tcW w:w="2802" w:type="dxa"/>
            <w:vMerge w:val="restart"/>
            <w:tcBorders>
              <w:top w:val="single" w:sz="4" w:space="0" w:color="1F497D"/>
            </w:tcBorders>
            <w:shd w:val="clear" w:color="auto" w:fill="auto"/>
            <w:vAlign w:val="center"/>
          </w:tcPr>
          <w:p w:rsidR="00646530" w:rsidRPr="003B7F15" w:rsidRDefault="00646530" w:rsidP="00B94A15">
            <w:pPr>
              <w:spacing w:before="40" w:after="40" w:line="240" w:lineRule="auto"/>
              <w:rPr>
                <w:rFonts w:eastAsia="Times New Roman" w:cs="Arial"/>
                <w:bCs/>
                <w:sz w:val="20"/>
                <w:szCs w:val="20"/>
              </w:rPr>
            </w:pPr>
            <w:r w:rsidRPr="003B7F15">
              <w:rPr>
                <w:rFonts w:eastAsia="Times New Roman" w:cs="Arial"/>
                <w:bCs/>
                <w:sz w:val="20"/>
                <w:szCs w:val="20"/>
              </w:rPr>
              <w:t>5. Alcançar o pleno atendimento à legislação ambiental aplicável em todos os subprocessos integrantes do Sistema de Drenagem Urbana.</w:t>
            </w:r>
          </w:p>
        </w:tc>
        <w:tc>
          <w:tcPr>
            <w:tcW w:w="10722" w:type="dxa"/>
            <w:tcBorders>
              <w:top w:val="single" w:sz="4" w:space="0" w:color="1F497D"/>
            </w:tcBorders>
            <w:shd w:val="clear" w:color="auto" w:fill="auto"/>
            <w:vAlign w:val="center"/>
          </w:tcPr>
          <w:p w:rsidR="00646530" w:rsidRPr="003B7F15" w:rsidRDefault="00646530" w:rsidP="00B94A15">
            <w:pPr>
              <w:spacing w:before="40" w:after="40" w:line="240" w:lineRule="auto"/>
              <w:rPr>
                <w:rFonts w:eastAsia="Times New Roman" w:cs="Arial"/>
                <w:bCs/>
                <w:sz w:val="20"/>
                <w:szCs w:val="20"/>
              </w:rPr>
            </w:pPr>
            <w:r w:rsidRPr="003B7F15">
              <w:rPr>
                <w:rFonts w:eastAsia="Times New Roman" w:cs="Arial"/>
                <w:bCs/>
                <w:sz w:val="20"/>
                <w:szCs w:val="20"/>
              </w:rPr>
              <w:t>5.1 Regularização de todas as licenças ambientais da infraestrutura existente relacionada ao SDU.</w:t>
            </w:r>
          </w:p>
        </w:tc>
        <w:tc>
          <w:tcPr>
            <w:tcW w:w="0" w:type="auto"/>
            <w:tcBorders>
              <w:top w:val="single" w:sz="4" w:space="0" w:color="1F497D"/>
            </w:tcBorders>
            <w:shd w:val="clear" w:color="auto" w:fill="auto"/>
            <w:vAlign w:val="center"/>
          </w:tcPr>
          <w:p w:rsidR="00646530" w:rsidRPr="003B7F15" w:rsidRDefault="00727F55" w:rsidP="00B94A15">
            <w:pPr>
              <w:spacing w:before="40" w:after="40" w:line="240" w:lineRule="auto"/>
              <w:jc w:val="center"/>
              <w:rPr>
                <w:rFonts w:eastAsia="Times New Roman" w:cs="Arial"/>
                <w:bCs/>
                <w:sz w:val="20"/>
                <w:szCs w:val="20"/>
              </w:rPr>
            </w:pPr>
            <w:r w:rsidRPr="003B7F15">
              <w:rPr>
                <w:rFonts w:eastAsia="Times New Roman" w:cs="Arial"/>
                <w:bCs/>
                <w:sz w:val="20"/>
                <w:szCs w:val="20"/>
              </w:rPr>
              <w:t>Curto</w:t>
            </w:r>
          </w:p>
        </w:tc>
      </w:tr>
      <w:tr w:rsidR="00646530" w:rsidRPr="003B7F15" w:rsidTr="00B94A15">
        <w:trPr>
          <w:cantSplit/>
          <w:trHeight w:val="340"/>
          <w:jc w:val="center"/>
        </w:trPr>
        <w:tc>
          <w:tcPr>
            <w:tcW w:w="2802" w:type="dxa"/>
            <w:vMerge/>
            <w:tcBorders>
              <w:bottom w:val="single" w:sz="4" w:space="0" w:color="1F497D"/>
            </w:tcBorders>
            <w:shd w:val="clear" w:color="auto" w:fill="auto"/>
            <w:vAlign w:val="center"/>
          </w:tcPr>
          <w:p w:rsidR="00646530" w:rsidRPr="003B7F15" w:rsidRDefault="00646530" w:rsidP="00B94A15">
            <w:pPr>
              <w:spacing w:before="40" w:after="40" w:line="240" w:lineRule="auto"/>
              <w:rPr>
                <w:rFonts w:eastAsia="Times New Roman" w:cs="Arial"/>
                <w:bCs/>
                <w:sz w:val="20"/>
                <w:szCs w:val="20"/>
              </w:rPr>
            </w:pPr>
          </w:p>
        </w:tc>
        <w:tc>
          <w:tcPr>
            <w:tcW w:w="10722" w:type="dxa"/>
            <w:tcBorders>
              <w:bottom w:val="single" w:sz="4" w:space="0" w:color="1F497D"/>
            </w:tcBorders>
            <w:shd w:val="clear" w:color="auto" w:fill="auto"/>
            <w:vAlign w:val="center"/>
          </w:tcPr>
          <w:p w:rsidR="00646530" w:rsidRPr="003B7F15" w:rsidRDefault="00646530" w:rsidP="00B94A15">
            <w:pPr>
              <w:spacing w:before="40" w:after="40" w:line="240" w:lineRule="auto"/>
              <w:rPr>
                <w:rFonts w:eastAsia="Times New Roman" w:cs="Arial"/>
                <w:bCs/>
                <w:sz w:val="20"/>
                <w:szCs w:val="20"/>
              </w:rPr>
            </w:pPr>
            <w:r w:rsidRPr="003B7F15">
              <w:rPr>
                <w:rFonts w:cs="Arial"/>
                <w:sz w:val="20"/>
                <w:szCs w:val="20"/>
              </w:rPr>
              <w:t xml:space="preserve">5.2 </w:t>
            </w:r>
            <w:r w:rsidR="0070277D" w:rsidRPr="003B7F15">
              <w:rPr>
                <w:rFonts w:eastAsia="Times New Roman" w:cs="Arial"/>
                <w:sz w:val="20"/>
                <w:szCs w:val="20"/>
                <w:lang w:eastAsia="pt-BR"/>
              </w:rPr>
              <w:t>Possuir método de acompanhamento da validade das licenças ambientais do SDU, segundo procedimento pré-estabelecido.</w:t>
            </w:r>
          </w:p>
        </w:tc>
        <w:tc>
          <w:tcPr>
            <w:tcW w:w="0" w:type="auto"/>
            <w:tcBorders>
              <w:bottom w:val="single" w:sz="4" w:space="0" w:color="1F497D"/>
            </w:tcBorders>
            <w:shd w:val="clear" w:color="auto" w:fill="auto"/>
            <w:vAlign w:val="center"/>
          </w:tcPr>
          <w:p w:rsidR="00646530" w:rsidRPr="003B7F15" w:rsidRDefault="00646530" w:rsidP="00B94A15">
            <w:pPr>
              <w:spacing w:before="40" w:after="40" w:line="240" w:lineRule="auto"/>
              <w:jc w:val="center"/>
              <w:rPr>
                <w:rFonts w:eastAsia="Times New Roman" w:cs="Arial"/>
                <w:bCs/>
                <w:sz w:val="20"/>
                <w:szCs w:val="20"/>
              </w:rPr>
            </w:pPr>
            <w:r w:rsidRPr="003B7F15">
              <w:rPr>
                <w:rFonts w:eastAsia="Times New Roman" w:cs="Arial"/>
                <w:bCs/>
                <w:sz w:val="20"/>
                <w:szCs w:val="20"/>
              </w:rPr>
              <w:t>Longo</w:t>
            </w:r>
          </w:p>
        </w:tc>
      </w:tr>
      <w:tr w:rsidR="00646530" w:rsidRPr="003B7F15" w:rsidTr="00B94A15">
        <w:trPr>
          <w:cantSplit/>
          <w:trHeight w:val="340"/>
          <w:jc w:val="center"/>
        </w:trPr>
        <w:tc>
          <w:tcPr>
            <w:tcW w:w="2802" w:type="dxa"/>
            <w:vMerge w:val="restart"/>
            <w:tcBorders>
              <w:top w:val="single" w:sz="4" w:space="0" w:color="1F497D"/>
            </w:tcBorders>
            <w:shd w:val="clear" w:color="auto" w:fill="auto"/>
            <w:vAlign w:val="center"/>
          </w:tcPr>
          <w:p w:rsidR="00646530" w:rsidRPr="003B7F15" w:rsidRDefault="00646530" w:rsidP="00B94A15">
            <w:pPr>
              <w:spacing w:before="40" w:after="40" w:line="240" w:lineRule="auto"/>
              <w:rPr>
                <w:rFonts w:cs="Arial"/>
                <w:sz w:val="20"/>
                <w:szCs w:val="20"/>
              </w:rPr>
            </w:pPr>
            <w:r w:rsidRPr="003B7F15">
              <w:rPr>
                <w:rFonts w:cs="Arial"/>
                <w:sz w:val="20"/>
                <w:szCs w:val="20"/>
              </w:rPr>
              <w:t xml:space="preserve">6. </w:t>
            </w:r>
            <w:r w:rsidRPr="003B7F15">
              <w:rPr>
                <w:rFonts w:eastAsia="Times New Roman" w:cs="Arial"/>
                <w:bCs/>
                <w:sz w:val="20"/>
                <w:szCs w:val="20"/>
              </w:rPr>
              <w:t>Garantir a mobilização social e canais de comunicação com a sociedade, além de promover ações continuadas em educação ambiental.</w:t>
            </w:r>
          </w:p>
        </w:tc>
        <w:tc>
          <w:tcPr>
            <w:tcW w:w="10722" w:type="dxa"/>
            <w:tcBorders>
              <w:top w:val="single" w:sz="4" w:space="0" w:color="1F497D"/>
              <w:bottom w:val="dashSmallGap" w:sz="4" w:space="0" w:color="1F497D"/>
            </w:tcBorders>
            <w:shd w:val="clear" w:color="auto" w:fill="auto"/>
            <w:vAlign w:val="center"/>
          </w:tcPr>
          <w:p w:rsidR="00646530" w:rsidRPr="003B7F15" w:rsidRDefault="00646530" w:rsidP="0070277D">
            <w:pPr>
              <w:spacing w:before="40" w:after="40" w:line="240" w:lineRule="auto"/>
              <w:rPr>
                <w:rFonts w:eastAsia="Times New Roman" w:cs="Arial"/>
                <w:bCs/>
                <w:sz w:val="20"/>
                <w:szCs w:val="20"/>
              </w:rPr>
            </w:pPr>
            <w:r w:rsidRPr="003B7F15">
              <w:rPr>
                <w:rFonts w:eastAsia="Times New Roman" w:cs="Arial"/>
                <w:bCs/>
                <w:sz w:val="20"/>
                <w:szCs w:val="20"/>
              </w:rPr>
              <w:t xml:space="preserve">6.1 </w:t>
            </w:r>
            <w:r w:rsidR="0070277D" w:rsidRPr="003B7F15">
              <w:rPr>
                <w:rFonts w:eastAsia="Times New Roman" w:cs="Arial"/>
                <w:bCs/>
                <w:sz w:val="20"/>
                <w:szCs w:val="20"/>
              </w:rPr>
              <w:t>Promover, sistematicamente, eventos que proporcionem a participação de usuários e ampliem o controle social sobre o processo de tomada de decisão do SDU.</w:t>
            </w:r>
          </w:p>
        </w:tc>
        <w:tc>
          <w:tcPr>
            <w:tcW w:w="0" w:type="auto"/>
            <w:tcBorders>
              <w:top w:val="single" w:sz="4" w:space="0" w:color="1F497D"/>
              <w:bottom w:val="dashSmallGap" w:sz="4" w:space="0" w:color="1F497D"/>
            </w:tcBorders>
            <w:shd w:val="clear" w:color="auto" w:fill="auto"/>
            <w:vAlign w:val="center"/>
          </w:tcPr>
          <w:p w:rsidR="00646530" w:rsidRPr="003B7F15" w:rsidRDefault="00646530" w:rsidP="00B94A15">
            <w:pPr>
              <w:spacing w:before="40" w:after="40" w:line="240" w:lineRule="auto"/>
              <w:jc w:val="center"/>
              <w:rPr>
                <w:rFonts w:cs="Arial"/>
                <w:b/>
                <w:bCs/>
                <w:sz w:val="20"/>
                <w:szCs w:val="20"/>
              </w:rPr>
            </w:pPr>
            <w:r w:rsidRPr="003B7F15">
              <w:rPr>
                <w:rFonts w:cs="Arial"/>
                <w:sz w:val="20"/>
                <w:szCs w:val="20"/>
              </w:rPr>
              <w:t>Curto</w:t>
            </w:r>
          </w:p>
        </w:tc>
      </w:tr>
      <w:tr w:rsidR="00646530" w:rsidRPr="003B7F15" w:rsidTr="00B94A15">
        <w:trPr>
          <w:cantSplit/>
          <w:trHeight w:val="340"/>
          <w:jc w:val="center"/>
        </w:trPr>
        <w:tc>
          <w:tcPr>
            <w:tcW w:w="2802" w:type="dxa"/>
            <w:vMerge/>
            <w:shd w:val="clear" w:color="auto" w:fill="auto"/>
            <w:vAlign w:val="center"/>
          </w:tcPr>
          <w:p w:rsidR="00646530" w:rsidRPr="003B7F15" w:rsidRDefault="00646530" w:rsidP="00B94A15">
            <w:pPr>
              <w:spacing w:before="40" w:after="40" w:line="240" w:lineRule="auto"/>
              <w:rPr>
                <w:rFonts w:cs="Arial"/>
                <w:bCs/>
                <w:sz w:val="20"/>
                <w:szCs w:val="20"/>
              </w:rPr>
            </w:pPr>
          </w:p>
        </w:tc>
        <w:tc>
          <w:tcPr>
            <w:tcW w:w="10722" w:type="dxa"/>
            <w:tcBorders>
              <w:top w:val="dashSmallGap" w:sz="4" w:space="0" w:color="1F497D"/>
              <w:bottom w:val="dashSmallGap" w:sz="4" w:space="0" w:color="1F497D"/>
            </w:tcBorders>
            <w:shd w:val="clear" w:color="auto" w:fill="auto"/>
            <w:vAlign w:val="center"/>
          </w:tcPr>
          <w:p w:rsidR="00646530" w:rsidRPr="003B7F15" w:rsidRDefault="00646530" w:rsidP="00371C6B">
            <w:pPr>
              <w:spacing w:before="40" w:after="40" w:line="240" w:lineRule="auto"/>
              <w:rPr>
                <w:rFonts w:eastAsia="Times New Roman" w:cs="Arial"/>
                <w:bCs/>
                <w:sz w:val="20"/>
                <w:szCs w:val="20"/>
              </w:rPr>
            </w:pPr>
            <w:r w:rsidRPr="003B7F15">
              <w:rPr>
                <w:rFonts w:eastAsia="Times New Roman" w:cs="Arial"/>
                <w:bCs/>
                <w:sz w:val="20"/>
                <w:szCs w:val="20"/>
              </w:rPr>
              <w:t>6.2 Estabelec</w:t>
            </w:r>
            <w:r w:rsidR="00371C6B" w:rsidRPr="003B7F15">
              <w:rPr>
                <w:rFonts w:eastAsia="Times New Roman" w:cs="Arial"/>
                <w:bCs/>
                <w:sz w:val="20"/>
                <w:szCs w:val="20"/>
              </w:rPr>
              <w:t xml:space="preserve">er </w:t>
            </w:r>
            <w:r w:rsidRPr="003B7F15">
              <w:rPr>
                <w:rFonts w:eastAsia="Times New Roman" w:cs="Arial"/>
                <w:bCs/>
                <w:sz w:val="20"/>
                <w:szCs w:val="20"/>
              </w:rPr>
              <w:t>canais de comunicação com a população que sejam constantes e bem difundidos em todo o município.</w:t>
            </w:r>
          </w:p>
        </w:tc>
        <w:tc>
          <w:tcPr>
            <w:tcW w:w="0" w:type="auto"/>
            <w:tcBorders>
              <w:top w:val="dashSmallGap" w:sz="4" w:space="0" w:color="1F497D"/>
              <w:bottom w:val="dashSmallGap" w:sz="4" w:space="0" w:color="1F497D"/>
            </w:tcBorders>
            <w:shd w:val="clear" w:color="auto" w:fill="auto"/>
            <w:vAlign w:val="center"/>
          </w:tcPr>
          <w:p w:rsidR="00646530" w:rsidRPr="003B7F15" w:rsidRDefault="00646530" w:rsidP="00B94A15">
            <w:pPr>
              <w:spacing w:before="40" w:after="40" w:line="240" w:lineRule="auto"/>
              <w:jc w:val="center"/>
              <w:rPr>
                <w:rFonts w:cs="Arial"/>
                <w:bCs/>
                <w:sz w:val="20"/>
                <w:szCs w:val="20"/>
              </w:rPr>
            </w:pPr>
            <w:r w:rsidRPr="003B7F15">
              <w:rPr>
                <w:rFonts w:cs="Arial"/>
                <w:bCs/>
                <w:sz w:val="20"/>
                <w:szCs w:val="20"/>
              </w:rPr>
              <w:t>Curto</w:t>
            </w:r>
          </w:p>
        </w:tc>
      </w:tr>
      <w:tr w:rsidR="00646530" w:rsidRPr="003B7F15" w:rsidTr="00B94A15">
        <w:trPr>
          <w:cantSplit/>
          <w:trHeight w:val="340"/>
          <w:jc w:val="center"/>
        </w:trPr>
        <w:tc>
          <w:tcPr>
            <w:tcW w:w="2802" w:type="dxa"/>
            <w:vMerge/>
            <w:shd w:val="clear" w:color="auto" w:fill="auto"/>
            <w:vAlign w:val="center"/>
          </w:tcPr>
          <w:p w:rsidR="00646530" w:rsidRPr="003B7F15" w:rsidRDefault="00646530" w:rsidP="00B94A15">
            <w:pPr>
              <w:spacing w:before="40" w:after="40" w:line="240" w:lineRule="auto"/>
              <w:rPr>
                <w:rFonts w:cs="Arial"/>
                <w:bCs/>
                <w:sz w:val="20"/>
                <w:szCs w:val="20"/>
              </w:rPr>
            </w:pPr>
          </w:p>
        </w:tc>
        <w:tc>
          <w:tcPr>
            <w:tcW w:w="10722" w:type="dxa"/>
            <w:tcBorders>
              <w:top w:val="dashSmallGap" w:sz="4" w:space="0" w:color="1F497D"/>
              <w:bottom w:val="dashSmallGap" w:sz="4" w:space="0" w:color="1F497D"/>
            </w:tcBorders>
            <w:shd w:val="clear" w:color="auto" w:fill="auto"/>
            <w:vAlign w:val="center"/>
          </w:tcPr>
          <w:p w:rsidR="00646530" w:rsidRPr="003B7F15" w:rsidRDefault="00646530" w:rsidP="00B94A15">
            <w:pPr>
              <w:spacing w:before="40" w:after="40" w:line="240" w:lineRule="auto"/>
              <w:rPr>
                <w:rFonts w:eastAsia="Times New Roman" w:cs="Arial"/>
                <w:bCs/>
                <w:sz w:val="20"/>
                <w:szCs w:val="20"/>
              </w:rPr>
            </w:pPr>
            <w:r w:rsidRPr="003B7F15">
              <w:rPr>
                <w:rFonts w:eastAsia="Times New Roman" w:cs="Arial"/>
                <w:bCs/>
                <w:sz w:val="20"/>
                <w:szCs w:val="20"/>
              </w:rPr>
              <w:t xml:space="preserve">6.3 </w:t>
            </w:r>
            <w:r w:rsidR="0070277D" w:rsidRPr="003B7F15">
              <w:rPr>
                <w:rFonts w:eastAsia="Times New Roman" w:cs="Arial"/>
                <w:bCs/>
                <w:sz w:val="20"/>
                <w:szCs w:val="20"/>
              </w:rPr>
              <w:t>Realizar, anualmente no município, eventos voltados à conscientização acerca de boas práticas para correto funcionamento do SDU.</w:t>
            </w:r>
          </w:p>
        </w:tc>
        <w:tc>
          <w:tcPr>
            <w:tcW w:w="0" w:type="auto"/>
            <w:tcBorders>
              <w:top w:val="dashSmallGap" w:sz="4" w:space="0" w:color="1F497D"/>
              <w:bottom w:val="dashSmallGap" w:sz="4" w:space="0" w:color="1F497D"/>
            </w:tcBorders>
            <w:shd w:val="clear" w:color="auto" w:fill="auto"/>
            <w:vAlign w:val="center"/>
          </w:tcPr>
          <w:p w:rsidR="00646530" w:rsidRPr="003B7F15" w:rsidRDefault="00646530" w:rsidP="00B94A15">
            <w:pPr>
              <w:spacing w:before="40" w:after="40" w:line="240" w:lineRule="auto"/>
              <w:jc w:val="center"/>
              <w:rPr>
                <w:rFonts w:cs="Arial"/>
                <w:bCs/>
                <w:sz w:val="20"/>
                <w:szCs w:val="20"/>
              </w:rPr>
            </w:pPr>
            <w:r w:rsidRPr="003B7F15">
              <w:rPr>
                <w:rFonts w:cs="Arial"/>
                <w:bCs/>
                <w:sz w:val="20"/>
                <w:szCs w:val="20"/>
              </w:rPr>
              <w:t>Curto</w:t>
            </w:r>
          </w:p>
        </w:tc>
      </w:tr>
      <w:tr w:rsidR="00646530" w:rsidRPr="00371C6B" w:rsidTr="00B94A15">
        <w:trPr>
          <w:cantSplit/>
          <w:trHeight w:val="340"/>
          <w:jc w:val="center"/>
        </w:trPr>
        <w:tc>
          <w:tcPr>
            <w:tcW w:w="2802" w:type="dxa"/>
            <w:vMerge/>
            <w:tcBorders>
              <w:bottom w:val="single" w:sz="4" w:space="0" w:color="1F497D"/>
            </w:tcBorders>
            <w:shd w:val="clear" w:color="auto" w:fill="auto"/>
            <w:vAlign w:val="center"/>
          </w:tcPr>
          <w:p w:rsidR="00646530" w:rsidRPr="003B7F15" w:rsidRDefault="00646530" w:rsidP="00B94A15">
            <w:pPr>
              <w:spacing w:before="40" w:after="40" w:line="240" w:lineRule="auto"/>
              <w:rPr>
                <w:rFonts w:cs="Arial"/>
                <w:bCs/>
                <w:sz w:val="20"/>
                <w:szCs w:val="20"/>
              </w:rPr>
            </w:pPr>
          </w:p>
        </w:tc>
        <w:tc>
          <w:tcPr>
            <w:tcW w:w="10722" w:type="dxa"/>
            <w:tcBorders>
              <w:top w:val="dashSmallGap" w:sz="4" w:space="0" w:color="1F497D"/>
              <w:bottom w:val="single" w:sz="4" w:space="0" w:color="1F497D"/>
            </w:tcBorders>
            <w:shd w:val="clear" w:color="auto" w:fill="auto"/>
            <w:vAlign w:val="center"/>
          </w:tcPr>
          <w:p w:rsidR="00646530" w:rsidRPr="003B7F15" w:rsidRDefault="00646530" w:rsidP="00B94A15">
            <w:pPr>
              <w:spacing w:before="40" w:after="40" w:line="240" w:lineRule="auto"/>
              <w:rPr>
                <w:rFonts w:eastAsia="Times New Roman" w:cs="Arial"/>
                <w:bCs/>
                <w:sz w:val="20"/>
                <w:szCs w:val="20"/>
              </w:rPr>
            </w:pPr>
            <w:r w:rsidRPr="003B7F15">
              <w:rPr>
                <w:rFonts w:eastAsia="Times New Roman" w:cs="Arial"/>
                <w:bCs/>
                <w:sz w:val="20"/>
                <w:szCs w:val="20"/>
              </w:rPr>
              <w:t xml:space="preserve">6.4 </w:t>
            </w:r>
            <w:r w:rsidR="0070277D" w:rsidRPr="003B7F15">
              <w:rPr>
                <w:rFonts w:eastAsia="Times New Roman" w:cs="Arial"/>
                <w:bCs/>
                <w:sz w:val="20"/>
                <w:szCs w:val="20"/>
              </w:rPr>
              <w:t>Promover ações que visem à educação ambiental ligada ao SDU.</w:t>
            </w:r>
          </w:p>
        </w:tc>
        <w:tc>
          <w:tcPr>
            <w:tcW w:w="0" w:type="auto"/>
            <w:tcBorders>
              <w:top w:val="dashSmallGap" w:sz="4" w:space="0" w:color="1F497D"/>
              <w:bottom w:val="single" w:sz="4" w:space="0" w:color="1F497D"/>
            </w:tcBorders>
            <w:shd w:val="clear" w:color="auto" w:fill="auto"/>
            <w:vAlign w:val="center"/>
          </w:tcPr>
          <w:p w:rsidR="00646530" w:rsidRPr="00371C6B" w:rsidRDefault="00646530" w:rsidP="00B94A15">
            <w:pPr>
              <w:spacing w:before="40" w:after="40" w:line="240" w:lineRule="auto"/>
              <w:jc w:val="center"/>
              <w:rPr>
                <w:rFonts w:cs="Arial"/>
                <w:bCs/>
                <w:sz w:val="20"/>
                <w:szCs w:val="20"/>
              </w:rPr>
            </w:pPr>
            <w:r w:rsidRPr="003B7F15">
              <w:rPr>
                <w:rFonts w:cs="Arial"/>
                <w:bCs/>
                <w:sz w:val="20"/>
                <w:szCs w:val="20"/>
              </w:rPr>
              <w:t>Médio</w:t>
            </w:r>
          </w:p>
        </w:tc>
      </w:tr>
    </w:tbl>
    <w:p w:rsidR="00646530" w:rsidRDefault="00646530" w:rsidP="00646530">
      <w:pPr>
        <w:rPr>
          <w:lang w:eastAsia="pt-BR"/>
        </w:rPr>
        <w:sectPr w:rsidR="00646530" w:rsidSect="00B94A15">
          <w:footerReference w:type="default" r:id="rId73"/>
          <w:pgSz w:w="16838" w:h="11906" w:orient="landscape"/>
          <w:pgMar w:top="1418" w:right="1134" w:bottom="1134" w:left="1134" w:header="709" w:footer="709" w:gutter="0"/>
          <w:cols w:space="708"/>
          <w:docGrid w:linePitch="360"/>
        </w:sectPr>
      </w:pPr>
    </w:p>
    <w:p w:rsidR="00646530" w:rsidRPr="008044FA" w:rsidRDefault="00646530" w:rsidP="002828C8">
      <w:pPr>
        <w:pStyle w:val="SHS-Ttulo02"/>
      </w:pPr>
      <w:bookmarkStart w:id="765" w:name="_Toc484422559"/>
      <w:bookmarkStart w:id="766" w:name="_Toc484532472"/>
      <w:bookmarkStart w:id="767" w:name="_Toc497469091"/>
      <w:r w:rsidRPr="008044FA">
        <w:lastRenderedPageBreak/>
        <w:t>Sistema de Limpeza Urbana e Manejo de Resíduos Sólidos</w:t>
      </w:r>
      <w:bookmarkEnd w:id="765"/>
      <w:bookmarkEnd w:id="766"/>
      <w:bookmarkEnd w:id="767"/>
    </w:p>
    <w:p w:rsidR="00646530" w:rsidRDefault="00646530" w:rsidP="002828C8">
      <w:pPr>
        <w:pStyle w:val="Ttulo3"/>
      </w:pPr>
      <w:bookmarkStart w:id="768" w:name="_Toc484422560"/>
      <w:bookmarkStart w:id="769" w:name="_Toc484532473"/>
      <w:bookmarkStart w:id="770" w:name="_Toc497469092"/>
      <w:r w:rsidRPr="008044FA">
        <w:t>Proposição de cenários</w:t>
      </w:r>
      <w:bookmarkEnd w:id="768"/>
      <w:bookmarkEnd w:id="769"/>
      <w:bookmarkEnd w:id="770"/>
    </w:p>
    <w:p w:rsidR="00646530" w:rsidRDefault="00646530" w:rsidP="00646530">
      <w:pPr>
        <w:spacing w:before="120" w:after="120"/>
        <w:ind w:firstLine="708"/>
        <w:contextualSpacing/>
        <w:rPr>
          <w:rFonts w:cs="Arial"/>
          <w:szCs w:val="24"/>
          <w:lang w:eastAsia="pt-BR"/>
        </w:rPr>
      </w:pPr>
      <w:r w:rsidRPr="006F1904">
        <w:rPr>
          <w:rFonts w:cs="Arial"/>
          <w:szCs w:val="24"/>
          <w:lang w:eastAsia="pt-BR"/>
        </w:rPr>
        <w:t>A seguir é apresentada a Matriz SWOT para o sistema de limpeza urbana e manejo de resíduos sólidos</w:t>
      </w:r>
      <w:r>
        <w:rPr>
          <w:rFonts w:cs="Arial"/>
          <w:szCs w:val="24"/>
          <w:lang w:eastAsia="pt-BR"/>
        </w:rPr>
        <w:t xml:space="preserve"> (</w:t>
      </w:r>
      <w:r>
        <w:rPr>
          <w:rFonts w:cs="Arial"/>
          <w:szCs w:val="24"/>
          <w:lang w:eastAsia="pt-BR"/>
        </w:rPr>
        <w:fldChar w:fldCharType="begin"/>
      </w:r>
      <w:r>
        <w:rPr>
          <w:rFonts w:cs="Arial"/>
          <w:szCs w:val="24"/>
          <w:lang w:eastAsia="pt-BR"/>
        </w:rPr>
        <w:instrText xml:space="preserve"> REF _Ref484420738 \h </w:instrText>
      </w:r>
      <w:r>
        <w:rPr>
          <w:rFonts w:cs="Arial"/>
          <w:szCs w:val="24"/>
          <w:lang w:eastAsia="pt-BR"/>
        </w:rPr>
      </w:r>
      <w:r>
        <w:rPr>
          <w:rFonts w:cs="Arial"/>
          <w:szCs w:val="24"/>
          <w:lang w:eastAsia="pt-BR"/>
        </w:rPr>
        <w:fldChar w:fldCharType="separate"/>
      </w:r>
      <w:r w:rsidR="004D1D76" w:rsidRPr="000B03E0">
        <w:t xml:space="preserve">Quadro </w:t>
      </w:r>
      <w:r w:rsidR="004D1D76">
        <w:rPr>
          <w:noProof/>
        </w:rPr>
        <w:t>80</w:t>
      </w:r>
      <w:r>
        <w:rPr>
          <w:rFonts w:cs="Arial"/>
          <w:szCs w:val="24"/>
          <w:lang w:eastAsia="pt-BR"/>
        </w:rPr>
        <w:fldChar w:fldCharType="end"/>
      </w:r>
      <w:r>
        <w:rPr>
          <w:rFonts w:cs="Arial"/>
          <w:szCs w:val="24"/>
          <w:lang w:eastAsia="pt-BR"/>
        </w:rPr>
        <w:t>)</w:t>
      </w:r>
      <w:r w:rsidRPr="006F1904">
        <w:rPr>
          <w:rFonts w:cs="Arial"/>
          <w:szCs w:val="24"/>
          <w:lang w:eastAsia="pt-BR"/>
        </w:rPr>
        <w:t>. Ressalta-se que a análise do cenário atual por meio dessa metodologia subsidia a configuração dos cenários previsível e normativo para este eixo, adotando-se o cenário normativo para a proposição de objetivos e metas.</w:t>
      </w:r>
    </w:p>
    <w:p w:rsidR="00646530" w:rsidRDefault="00646530" w:rsidP="00646530">
      <w:pPr>
        <w:rPr>
          <w:rFonts w:cs="Arial"/>
          <w:szCs w:val="24"/>
          <w:lang w:eastAsia="pt-BR"/>
        </w:rPr>
        <w:sectPr w:rsidR="00646530" w:rsidSect="00B94A15">
          <w:footerReference w:type="default" r:id="rId74"/>
          <w:pgSz w:w="11906" w:h="16838"/>
          <w:pgMar w:top="1418" w:right="1134" w:bottom="1134" w:left="1134" w:header="709" w:footer="709" w:gutter="0"/>
          <w:cols w:space="708"/>
          <w:docGrid w:linePitch="360"/>
        </w:sectPr>
      </w:pPr>
    </w:p>
    <w:p w:rsidR="00646530" w:rsidRPr="000B03E0" w:rsidRDefault="00646530" w:rsidP="00646530">
      <w:pPr>
        <w:pStyle w:val="Legenda"/>
      </w:pPr>
      <w:bookmarkStart w:id="771" w:name="_Ref484420738"/>
      <w:bookmarkStart w:id="772" w:name="_Toc484423921"/>
      <w:bookmarkStart w:id="773" w:name="_Toc484532483"/>
      <w:bookmarkStart w:id="774" w:name="_Toc497469201"/>
      <w:r w:rsidRPr="000B03E0">
        <w:lastRenderedPageBreak/>
        <w:t xml:space="preserve">Quadro </w:t>
      </w:r>
      <w:r w:rsidR="00D71C43">
        <w:fldChar w:fldCharType="begin"/>
      </w:r>
      <w:r w:rsidR="00D71C43">
        <w:instrText xml:space="preserve"> SEQ Quadro \* ARABIC </w:instrText>
      </w:r>
      <w:r w:rsidR="00D71C43">
        <w:fldChar w:fldCharType="separate"/>
      </w:r>
      <w:r w:rsidR="004D1D76">
        <w:rPr>
          <w:noProof/>
        </w:rPr>
        <w:t>80</w:t>
      </w:r>
      <w:r w:rsidR="00D71C43">
        <w:rPr>
          <w:noProof/>
        </w:rPr>
        <w:fldChar w:fldCharType="end"/>
      </w:r>
      <w:bookmarkEnd w:id="771"/>
      <w:r w:rsidRPr="000B03E0">
        <w:t xml:space="preserve"> - Matriz SWOT do Sistema de Limpeza Urbana e Manejo de Resíduos Sólidos</w:t>
      </w:r>
      <w:bookmarkEnd w:id="772"/>
      <w:bookmarkEnd w:id="773"/>
      <w:bookmarkEnd w:id="774"/>
      <w:r w:rsidRPr="000B03E0">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67"/>
        <w:gridCol w:w="5090"/>
        <w:gridCol w:w="2554"/>
        <w:gridCol w:w="6699"/>
      </w:tblGrid>
      <w:tr w:rsidR="00646530" w:rsidRPr="006052D1" w:rsidTr="00B94A15">
        <w:trPr>
          <w:trHeight w:val="481"/>
          <w:tblHeader/>
        </w:trPr>
        <w:tc>
          <w:tcPr>
            <w:tcW w:w="125" w:type="pct"/>
            <w:shd w:val="clear" w:color="auto" w:fill="auto"/>
            <w:noWrap/>
            <w:vAlign w:val="bottom"/>
            <w:hideMark/>
          </w:tcPr>
          <w:p w:rsidR="00646530" w:rsidRPr="006052D1" w:rsidRDefault="00646530" w:rsidP="00B94A15">
            <w:pPr>
              <w:spacing w:line="240" w:lineRule="auto"/>
              <w:rPr>
                <w:rFonts w:eastAsia="Times New Roman" w:cs="Arial"/>
                <w:color w:val="000000"/>
                <w:sz w:val="20"/>
                <w:szCs w:val="20"/>
                <w:lang w:eastAsia="pt-BR"/>
              </w:rPr>
            </w:pPr>
          </w:p>
        </w:tc>
        <w:tc>
          <w:tcPr>
            <w:tcW w:w="1730" w:type="pct"/>
            <w:shd w:val="clear" w:color="auto" w:fill="95B3D7"/>
            <w:noWrap/>
            <w:vAlign w:val="center"/>
            <w:hideMark/>
          </w:tcPr>
          <w:p w:rsidR="00646530" w:rsidRPr="006052D1" w:rsidRDefault="00646530" w:rsidP="00B94A15">
            <w:pPr>
              <w:spacing w:line="240" w:lineRule="auto"/>
              <w:jc w:val="center"/>
              <w:rPr>
                <w:rFonts w:eastAsia="Times New Roman" w:cs="Arial"/>
                <w:b/>
                <w:bCs/>
                <w:color w:val="000000"/>
                <w:sz w:val="20"/>
                <w:szCs w:val="20"/>
                <w:lang w:eastAsia="pt-BR"/>
              </w:rPr>
            </w:pPr>
            <w:r w:rsidRPr="006052D1">
              <w:rPr>
                <w:rFonts w:eastAsia="Times New Roman" w:cs="Arial"/>
                <w:b/>
                <w:bCs/>
                <w:color w:val="000000"/>
                <w:sz w:val="20"/>
                <w:szCs w:val="20"/>
                <w:lang w:eastAsia="pt-BR"/>
              </w:rPr>
              <w:t>PONTOS POSITIVOS</w:t>
            </w:r>
          </w:p>
        </w:tc>
        <w:tc>
          <w:tcPr>
            <w:tcW w:w="868" w:type="pct"/>
            <w:shd w:val="clear" w:color="auto" w:fill="95B3D7"/>
            <w:noWrap/>
            <w:vAlign w:val="center"/>
            <w:hideMark/>
          </w:tcPr>
          <w:p w:rsidR="00646530" w:rsidRPr="006052D1" w:rsidRDefault="00646530" w:rsidP="00B94A15">
            <w:pPr>
              <w:spacing w:line="240" w:lineRule="auto"/>
              <w:jc w:val="center"/>
              <w:rPr>
                <w:rFonts w:eastAsia="Times New Roman" w:cs="Arial"/>
                <w:b/>
                <w:bCs/>
                <w:color w:val="000000"/>
                <w:sz w:val="20"/>
                <w:szCs w:val="20"/>
                <w:lang w:eastAsia="pt-BR"/>
              </w:rPr>
            </w:pPr>
            <w:r w:rsidRPr="006052D1">
              <w:rPr>
                <w:rFonts w:eastAsia="Times New Roman" w:cs="Arial"/>
                <w:b/>
                <w:bCs/>
                <w:color w:val="000000"/>
                <w:sz w:val="20"/>
                <w:szCs w:val="20"/>
                <w:lang w:eastAsia="pt-BR"/>
              </w:rPr>
              <w:t>ITENS DE REFLEXÃO</w:t>
            </w:r>
          </w:p>
        </w:tc>
        <w:tc>
          <w:tcPr>
            <w:tcW w:w="2277" w:type="pct"/>
            <w:shd w:val="clear" w:color="auto" w:fill="95B3D7"/>
            <w:noWrap/>
            <w:vAlign w:val="center"/>
            <w:hideMark/>
          </w:tcPr>
          <w:p w:rsidR="00646530" w:rsidRPr="006052D1" w:rsidRDefault="00646530" w:rsidP="00B94A15">
            <w:pPr>
              <w:spacing w:line="240" w:lineRule="auto"/>
              <w:jc w:val="center"/>
              <w:rPr>
                <w:rFonts w:eastAsia="Times New Roman" w:cs="Arial"/>
                <w:b/>
                <w:bCs/>
                <w:color w:val="000000"/>
                <w:sz w:val="20"/>
                <w:szCs w:val="20"/>
                <w:lang w:eastAsia="pt-BR"/>
              </w:rPr>
            </w:pPr>
            <w:r w:rsidRPr="006052D1">
              <w:rPr>
                <w:rFonts w:eastAsia="Times New Roman" w:cs="Arial"/>
                <w:b/>
                <w:bCs/>
                <w:color w:val="000000"/>
                <w:sz w:val="20"/>
                <w:szCs w:val="20"/>
                <w:lang w:eastAsia="pt-BR"/>
              </w:rPr>
              <w:t>PONTOS NEGATIVOS</w:t>
            </w:r>
          </w:p>
        </w:tc>
      </w:tr>
      <w:tr w:rsidR="00646530" w:rsidRPr="006052D1" w:rsidTr="00B94A15">
        <w:trPr>
          <w:trHeight w:val="1970"/>
        </w:trPr>
        <w:tc>
          <w:tcPr>
            <w:tcW w:w="125" w:type="pct"/>
            <w:shd w:val="clear" w:color="auto" w:fill="365F91"/>
            <w:noWrap/>
            <w:textDirection w:val="btLr"/>
            <w:vAlign w:val="center"/>
            <w:hideMark/>
          </w:tcPr>
          <w:p w:rsidR="00646530" w:rsidRPr="006052D1" w:rsidRDefault="00646530" w:rsidP="00B94A15">
            <w:pPr>
              <w:spacing w:line="240" w:lineRule="auto"/>
              <w:jc w:val="center"/>
              <w:rPr>
                <w:rFonts w:eastAsia="Times New Roman" w:cs="Arial"/>
                <w:b/>
                <w:color w:val="000000"/>
                <w:sz w:val="20"/>
                <w:szCs w:val="20"/>
                <w:lang w:eastAsia="pt-BR"/>
              </w:rPr>
            </w:pPr>
            <w:r w:rsidRPr="006052D1">
              <w:rPr>
                <w:rFonts w:eastAsia="Times New Roman" w:cs="Arial"/>
                <w:b/>
                <w:color w:val="FFFFFF"/>
                <w:sz w:val="20"/>
                <w:szCs w:val="20"/>
                <w:lang w:eastAsia="pt-BR"/>
              </w:rPr>
              <w:t>Ambiente Interno</w:t>
            </w:r>
          </w:p>
        </w:tc>
        <w:tc>
          <w:tcPr>
            <w:tcW w:w="1730" w:type="pct"/>
            <w:shd w:val="clear" w:color="auto" w:fill="B8CCE4"/>
            <w:noWrap/>
            <w:hideMark/>
          </w:tcPr>
          <w:p w:rsidR="00646530" w:rsidRPr="006052D1" w:rsidRDefault="00646530" w:rsidP="00B94A15">
            <w:pPr>
              <w:autoSpaceDE w:val="0"/>
              <w:autoSpaceDN w:val="0"/>
              <w:adjustRightInd w:val="0"/>
              <w:spacing w:beforeLines="60" w:before="144" w:afterLines="60" w:after="144"/>
              <w:ind w:left="66"/>
              <w:jc w:val="center"/>
              <w:rPr>
                <w:rFonts w:cs="Arial"/>
                <w:b/>
                <w:sz w:val="20"/>
                <w:szCs w:val="20"/>
              </w:rPr>
            </w:pPr>
            <w:r w:rsidRPr="006052D1">
              <w:rPr>
                <w:rFonts w:cs="Arial"/>
                <w:b/>
                <w:sz w:val="20"/>
                <w:szCs w:val="20"/>
              </w:rPr>
              <w:t>FORÇAS</w:t>
            </w:r>
          </w:p>
          <w:p w:rsidR="00646530" w:rsidRPr="006052D1" w:rsidRDefault="00646530" w:rsidP="00B94A15">
            <w:pPr>
              <w:autoSpaceDE w:val="0"/>
              <w:autoSpaceDN w:val="0"/>
              <w:adjustRightInd w:val="0"/>
              <w:spacing w:beforeLines="60" w:before="144" w:afterLines="60" w:after="144" w:line="240" w:lineRule="auto"/>
              <w:ind w:left="66"/>
              <w:rPr>
                <w:rFonts w:cs="Arial"/>
                <w:b/>
                <w:sz w:val="20"/>
                <w:szCs w:val="20"/>
              </w:rPr>
            </w:pPr>
            <w:r w:rsidRPr="006052D1">
              <w:rPr>
                <w:rFonts w:cs="Arial"/>
                <w:b/>
                <w:sz w:val="20"/>
                <w:szCs w:val="20"/>
              </w:rPr>
              <w:t>2. Gerenciamento de resíduos sólidos</w:t>
            </w:r>
          </w:p>
          <w:p w:rsidR="00646530" w:rsidRPr="006052D1" w:rsidRDefault="00646530" w:rsidP="00B94A15">
            <w:pPr>
              <w:autoSpaceDE w:val="0"/>
              <w:autoSpaceDN w:val="0"/>
              <w:adjustRightInd w:val="0"/>
              <w:spacing w:beforeLines="60" w:before="144" w:afterLines="60" w:after="144" w:line="240" w:lineRule="auto"/>
              <w:ind w:left="66"/>
              <w:rPr>
                <w:rFonts w:cs="Arial"/>
                <w:sz w:val="20"/>
                <w:szCs w:val="20"/>
              </w:rPr>
            </w:pPr>
            <w:r w:rsidRPr="006052D1">
              <w:rPr>
                <w:rFonts w:cs="Arial"/>
                <w:sz w:val="20"/>
                <w:szCs w:val="20"/>
              </w:rPr>
              <w:t>- Existe uma Usina de Reciclagem e Compostagem (UTC) no município.</w:t>
            </w:r>
          </w:p>
          <w:p w:rsidR="00646530" w:rsidRPr="006052D1" w:rsidRDefault="00646530" w:rsidP="00B94A15">
            <w:pPr>
              <w:autoSpaceDE w:val="0"/>
              <w:autoSpaceDN w:val="0"/>
              <w:adjustRightInd w:val="0"/>
              <w:spacing w:beforeLines="60" w:before="144" w:afterLines="60" w:after="144" w:line="240" w:lineRule="auto"/>
              <w:ind w:left="66"/>
              <w:rPr>
                <w:rFonts w:cs="Arial"/>
                <w:sz w:val="20"/>
                <w:szCs w:val="20"/>
              </w:rPr>
            </w:pPr>
            <w:r w:rsidRPr="006052D1">
              <w:rPr>
                <w:rFonts w:cs="Arial"/>
                <w:sz w:val="20"/>
                <w:szCs w:val="20"/>
              </w:rPr>
              <w:t xml:space="preserve">- A </w:t>
            </w:r>
            <w:r>
              <w:rPr>
                <w:rFonts w:cs="Arial"/>
                <w:sz w:val="20"/>
                <w:szCs w:val="20"/>
              </w:rPr>
              <w:t>maior parte</w:t>
            </w:r>
            <w:r w:rsidRPr="006052D1">
              <w:rPr>
                <w:rFonts w:cs="Arial"/>
                <w:sz w:val="20"/>
                <w:szCs w:val="20"/>
              </w:rPr>
              <w:t xml:space="preserve"> dos resíduos gerados no município recebe destinação final adequada.</w:t>
            </w:r>
          </w:p>
          <w:p w:rsidR="00646530" w:rsidRPr="006052D1" w:rsidRDefault="00646530" w:rsidP="00B94A15">
            <w:pPr>
              <w:autoSpaceDE w:val="0"/>
              <w:autoSpaceDN w:val="0"/>
              <w:adjustRightInd w:val="0"/>
              <w:spacing w:beforeLines="60" w:before="144" w:afterLines="60" w:after="144" w:line="240" w:lineRule="auto"/>
              <w:ind w:left="66"/>
              <w:rPr>
                <w:rFonts w:cs="Arial"/>
                <w:sz w:val="20"/>
                <w:szCs w:val="20"/>
              </w:rPr>
            </w:pPr>
          </w:p>
        </w:tc>
        <w:tc>
          <w:tcPr>
            <w:tcW w:w="868" w:type="pct"/>
            <w:vMerge w:val="restart"/>
            <w:shd w:val="clear" w:color="auto" w:fill="B8CCE4"/>
            <w:noWrap/>
            <w:vAlign w:val="center"/>
            <w:hideMark/>
          </w:tcPr>
          <w:p w:rsidR="00646530" w:rsidRPr="006052D1" w:rsidRDefault="00646530" w:rsidP="00B94A15">
            <w:pPr>
              <w:autoSpaceDE w:val="0"/>
              <w:autoSpaceDN w:val="0"/>
              <w:adjustRightInd w:val="0"/>
              <w:spacing w:beforeLines="60" w:before="144" w:afterLines="60" w:after="144"/>
              <w:ind w:left="66"/>
              <w:jc w:val="center"/>
              <w:rPr>
                <w:rFonts w:cs="Arial"/>
                <w:b/>
                <w:sz w:val="20"/>
                <w:szCs w:val="20"/>
              </w:rPr>
            </w:pPr>
            <w:r w:rsidRPr="006052D1">
              <w:rPr>
                <w:rFonts w:cs="Arial"/>
                <w:b/>
                <w:sz w:val="20"/>
                <w:szCs w:val="20"/>
              </w:rPr>
              <w:t>1. Perfil institucional</w:t>
            </w:r>
          </w:p>
          <w:p w:rsidR="00646530" w:rsidRPr="006052D1" w:rsidRDefault="00646530" w:rsidP="00B94A15">
            <w:pPr>
              <w:autoSpaceDE w:val="0"/>
              <w:autoSpaceDN w:val="0"/>
              <w:adjustRightInd w:val="0"/>
              <w:spacing w:beforeLines="60" w:before="144" w:afterLines="60" w:after="144"/>
              <w:ind w:left="66"/>
              <w:jc w:val="center"/>
              <w:rPr>
                <w:rFonts w:cs="Arial"/>
                <w:b/>
                <w:sz w:val="20"/>
                <w:szCs w:val="20"/>
              </w:rPr>
            </w:pPr>
            <w:r w:rsidRPr="006052D1">
              <w:rPr>
                <w:rFonts w:cs="Arial"/>
                <w:b/>
                <w:sz w:val="20"/>
                <w:szCs w:val="20"/>
              </w:rPr>
              <w:t>2. Gerenciamento de resíduos sólidos</w:t>
            </w:r>
          </w:p>
          <w:p w:rsidR="00646530" w:rsidRPr="006052D1" w:rsidRDefault="00646530" w:rsidP="00B94A15">
            <w:pPr>
              <w:autoSpaceDE w:val="0"/>
              <w:autoSpaceDN w:val="0"/>
              <w:adjustRightInd w:val="0"/>
              <w:spacing w:beforeLines="60" w:before="144" w:afterLines="60" w:after="144"/>
              <w:ind w:left="66"/>
              <w:jc w:val="center"/>
              <w:rPr>
                <w:rFonts w:cs="Arial"/>
                <w:b/>
                <w:sz w:val="20"/>
                <w:szCs w:val="20"/>
              </w:rPr>
            </w:pPr>
            <w:r w:rsidRPr="006052D1">
              <w:rPr>
                <w:rFonts w:cs="Arial"/>
                <w:b/>
                <w:sz w:val="20"/>
                <w:szCs w:val="20"/>
              </w:rPr>
              <w:t>3. Sustentabilidade econômica</w:t>
            </w:r>
          </w:p>
          <w:p w:rsidR="00646530" w:rsidRPr="006052D1" w:rsidRDefault="00646530" w:rsidP="00B94A15">
            <w:pPr>
              <w:autoSpaceDE w:val="0"/>
              <w:autoSpaceDN w:val="0"/>
              <w:adjustRightInd w:val="0"/>
              <w:spacing w:beforeLines="60" w:before="144" w:afterLines="60" w:after="144"/>
              <w:ind w:left="66"/>
              <w:jc w:val="center"/>
              <w:rPr>
                <w:rFonts w:cs="Arial"/>
                <w:b/>
                <w:sz w:val="20"/>
                <w:szCs w:val="20"/>
              </w:rPr>
            </w:pPr>
            <w:r w:rsidRPr="006052D1">
              <w:rPr>
                <w:rFonts w:cs="Arial"/>
                <w:b/>
                <w:sz w:val="20"/>
                <w:szCs w:val="20"/>
              </w:rPr>
              <w:t>4. Legislação e normatização do setor</w:t>
            </w:r>
          </w:p>
          <w:p w:rsidR="00646530" w:rsidRPr="006052D1" w:rsidRDefault="00646530" w:rsidP="00B94A15">
            <w:pPr>
              <w:autoSpaceDE w:val="0"/>
              <w:autoSpaceDN w:val="0"/>
              <w:adjustRightInd w:val="0"/>
              <w:spacing w:beforeLines="60" w:before="144" w:afterLines="60" w:after="144"/>
              <w:ind w:left="66"/>
              <w:jc w:val="center"/>
              <w:rPr>
                <w:rFonts w:cs="Arial"/>
                <w:b/>
                <w:sz w:val="20"/>
                <w:szCs w:val="20"/>
              </w:rPr>
            </w:pPr>
            <w:r w:rsidRPr="006052D1">
              <w:rPr>
                <w:rFonts w:cs="Arial"/>
                <w:b/>
                <w:sz w:val="20"/>
                <w:szCs w:val="20"/>
              </w:rPr>
              <w:t>5. Sistema de obtenção e acesso a dados</w:t>
            </w:r>
          </w:p>
          <w:p w:rsidR="00646530" w:rsidRPr="006052D1" w:rsidRDefault="00646530" w:rsidP="00B94A15">
            <w:pPr>
              <w:autoSpaceDE w:val="0"/>
              <w:autoSpaceDN w:val="0"/>
              <w:adjustRightInd w:val="0"/>
              <w:spacing w:beforeLines="60" w:before="144" w:afterLines="60" w:after="144"/>
              <w:ind w:left="66"/>
              <w:jc w:val="left"/>
              <w:rPr>
                <w:rFonts w:cs="Arial"/>
                <w:b/>
                <w:sz w:val="20"/>
                <w:szCs w:val="20"/>
              </w:rPr>
            </w:pPr>
          </w:p>
        </w:tc>
        <w:tc>
          <w:tcPr>
            <w:tcW w:w="2277" w:type="pct"/>
            <w:shd w:val="clear" w:color="auto" w:fill="B8CCE4"/>
            <w:noWrap/>
            <w:hideMark/>
          </w:tcPr>
          <w:p w:rsidR="00646530" w:rsidRPr="006052D1" w:rsidRDefault="00646530" w:rsidP="00B94A15">
            <w:pPr>
              <w:autoSpaceDE w:val="0"/>
              <w:autoSpaceDN w:val="0"/>
              <w:adjustRightInd w:val="0"/>
              <w:spacing w:beforeLines="60" w:before="144" w:afterLines="60" w:after="144"/>
              <w:jc w:val="center"/>
              <w:rPr>
                <w:rFonts w:cs="Arial"/>
                <w:b/>
                <w:sz w:val="20"/>
                <w:szCs w:val="20"/>
              </w:rPr>
            </w:pPr>
            <w:r w:rsidRPr="006052D1">
              <w:rPr>
                <w:rFonts w:eastAsia="Times New Roman" w:cs="Arial"/>
                <w:color w:val="000000"/>
                <w:sz w:val="20"/>
                <w:szCs w:val="20"/>
                <w:lang w:eastAsia="pt-BR"/>
              </w:rPr>
              <w:t> </w:t>
            </w:r>
            <w:r w:rsidRPr="006052D1">
              <w:rPr>
                <w:rFonts w:cs="Arial"/>
                <w:b/>
                <w:sz w:val="20"/>
                <w:szCs w:val="20"/>
              </w:rPr>
              <w:t>FRAQUEZAS</w:t>
            </w:r>
          </w:p>
          <w:p w:rsidR="00646530" w:rsidRPr="006052D1" w:rsidRDefault="00646530" w:rsidP="00B94A15">
            <w:pPr>
              <w:autoSpaceDE w:val="0"/>
              <w:autoSpaceDN w:val="0"/>
              <w:adjustRightInd w:val="0"/>
              <w:spacing w:beforeLines="60" w:before="144" w:afterLines="60" w:after="144" w:line="240" w:lineRule="auto"/>
              <w:ind w:left="66"/>
              <w:rPr>
                <w:rFonts w:cs="Arial"/>
                <w:b/>
                <w:sz w:val="20"/>
                <w:szCs w:val="20"/>
              </w:rPr>
            </w:pPr>
            <w:r w:rsidRPr="006052D1">
              <w:rPr>
                <w:rFonts w:cs="Arial"/>
                <w:b/>
                <w:sz w:val="20"/>
                <w:szCs w:val="20"/>
              </w:rPr>
              <w:t>1. Perfil institucional</w:t>
            </w:r>
          </w:p>
          <w:p w:rsidR="00646530" w:rsidRPr="006052D1" w:rsidRDefault="00646530" w:rsidP="00B94A15">
            <w:pPr>
              <w:autoSpaceDE w:val="0"/>
              <w:autoSpaceDN w:val="0"/>
              <w:adjustRightInd w:val="0"/>
              <w:spacing w:beforeLines="60" w:before="144" w:afterLines="60" w:after="144" w:line="240" w:lineRule="auto"/>
              <w:ind w:left="66"/>
              <w:rPr>
                <w:bCs/>
                <w:sz w:val="20"/>
                <w:szCs w:val="20"/>
              </w:rPr>
            </w:pPr>
            <w:r w:rsidRPr="006052D1">
              <w:rPr>
                <w:rFonts w:cs="Arial"/>
                <w:b/>
                <w:sz w:val="20"/>
                <w:szCs w:val="20"/>
              </w:rPr>
              <w:t xml:space="preserve">- </w:t>
            </w:r>
            <w:r w:rsidRPr="006052D1">
              <w:rPr>
                <w:bCs/>
                <w:sz w:val="20"/>
                <w:szCs w:val="20"/>
              </w:rPr>
              <w:t>Ausência de Planos de Contingência e Emergência.</w:t>
            </w:r>
          </w:p>
          <w:p w:rsidR="00646530" w:rsidRPr="006052D1" w:rsidRDefault="00646530" w:rsidP="00B94A15">
            <w:pPr>
              <w:autoSpaceDE w:val="0"/>
              <w:autoSpaceDN w:val="0"/>
              <w:adjustRightInd w:val="0"/>
              <w:spacing w:beforeLines="60" w:before="144" w:afterLines="60" w:after="144" w:line="240" w:lineRule="auto"/>
              <w:ind w:left="66"/>
              <w:rPr>
                <w:rFonts w:cs="Arial"/>
                <w:b/>
                <w:sz w:val="20"/>
                <w:szCs w:val="20"/>
              </w:rPr>
            </w:pPr>
          </w:p>
          <w:p w:rsidR="00646530" w:rsidRPr="006052D1" w:rsidRDefault="00646530" w:rsidP="00B94A15">
            <w:pPr>
              <w:autoSpaceDE w:val="0"/>
              <w:autoSpaceDN w:val="0"/>
              <w:adjustRightInd w:val="0"/>
              <w:spacing w:beforeLines="60" w:before="144" w:afterLines="60" w:after="144" w:line="240" w:lineRule="auto"/>
              <w:ind w:left="66"/>
              <w:rPr>
                <w:rFonts w:cs="Arial"/>
                <w:b/>
                <w:sz w:val="20"/>
                <w:szCs w:val="20"/>
              </w:rPr>
            </w:pPr>
            <w:r w:rsidRPr="006052D1">
              <w:rPr>
                <w:rFonts w:cs="Arial"/>
                <w:b/>
                <w:sz w:val="20"/>
                <w:szCs w:val="20"/>
              </w:rPr>
              <w:t>2. Gerenciamento de resíduos sólidos</w:t>
            </w:r>
          </w:p>
          <w:p w:rsidR="00646530" w:rsidRPr="006052D1" w:rsidRDefault="00646530" w:rsidP="00B94A15">
            <w:pPr>
              <w:autoSpaceDE w:val="0"/>
              <w:autoSpaceDN w:val="0"/>
              <w:adjustRightInd w:val="0"/>
              <w:spacing w:beforeLines="60" w:before="144" w:afterLines="60" w:after="144" w:line="240" w:lineRule="auto"/>
              <w:rPr>
                <w:rFonts w:cs="Arial"/>
                <w:sz w:val="20"/>
                <w:szCs w:val="20"/>
              </w:rPr>
            </w:pPr>
            <w:r w:rsidRPr="006052D1">
              <w:rPr>
                <w:rFonts w:cs="Arial"/>
                <w:sz w:val="20"/>
                <w:szCs w:val="20"/>
              </w:rPr>
              <w:t>- Área rural não é atendida em sua totalidade.</w:t>
            </w:r>
          </w:p>
          <w:p w:rsidR="00646530" w:rsidRPr="006052D1" w:rsidRDefault="00646530" w:rsidP="00B94A15">
            <w:pPr>
              <w:autoSpaceDE w:val="0"/>
              <w:autoSpaceDN w:val="0"/>
              <w:adjustRightInd w:val="0"/>
              <w:spacing w:beforeLines="60" w:before="144" w:afterLines="60" w:after="144" w:line="240" w:lineRule="auto"/>
              <w:rPr>
                <w:rFonts w:cs="Arial"/>
                <w:sz w:val="20"/>
                <w:szCs w:val="20"/>
              </w:rPr>
            </w:pPr>
            <w:r w:rsidRPr="006052D1">
              <w:rPr>
                <w:rFonts w:cs="Arial"/>
                <w:sz w:val="20"/>
                <w:szCs w:val="20"/>
              </w:rPr>
              <w:t>- Não existe um programa de gerenciamento de resíduos especiais.</w:t>
            </w:r>
          </w:p>
          <w:p w:rsidR="00646530" w:rsidRPr="006052D1" w:rsidRDefault="00646530" w:rsidP="00B94A15">
            <w:pPr>
              <w:autoSpaceDE w:val="0"/>
              <w:autoSpaceDN w:val="0"/>
              <w:adjustRightInd w:val="0"/>
              <w:spacing w:beforeLines="60" w:before="144" w:afterLines="60" w:after="144" w:line="240" w:lineRule="auto"/>
              <w:rPr>
                <w:rFonts w:cs="Arial"/>
                <w:sz w:val="20"/>
                <w:szCs w:val="20"/>
              </w:rPr>
            </w:pPr>
            <w:r w:rsidRPr="006052D1">
              <w:rPr>
                <w:rFonts w:cs="Arial"/>
                <w:sz w:val="20"/>
                <w:szCs w:val="20"/>
              </w:rPr>
              <w:t>- Não há coleta seletiva.</w:t>
            </w:r>
          </w:p>
          <w:p w:rsidR="00646530" w:rsidRPr="006052D1" w:rsidRDefault="00646530" w:rsidP="00B94A15">
            <w:pPr>
              <w:autoSpaceDE w:val="0"/>
              <w:autoSpaceDN w:val="0"/>
              <w:adjustRightInd w:val="0"/>
              <w:spacing w:beforeLines="60" w:before="144" w:afterLines="60" w:after="144" w:line="240" w:lineRule="auto"/>
              <w:rPr>
                <w:rFonts w:cs="Arial"/>
                <w:sz w:val="20"/>
                <w:szCs w:val="20"/>
              </w:rPr>
            </w:pPr>
          </w:p>
          <w:p w:rsidR="00646530" w:rsidRPr="006052D1" w:rsidRDefault="00646530" w:rsidP="00B94A15">
            <w:pPr>
              <w:autoSpaceDE w:val="0"/>
              <w:autoSpaceDN w:val="0"/>
              <w:adjustRightInd w:val="0"/>
              <w:spacing w:beforeLines="60" w:before="144" w:afterLines="60" w:after="144" w:line="240" w:lineRule="auto"/>
              <w:ind w:left="66"/>
              <w:rPr>
                <w:rFonts w:cs="Arial"/>
                <w:b/>
                <w:sz w:val="20"/>
                <w:szCs w:val="20"/>
              </w:rPr>
            </w:pPr>
            <w:r w:rsidRPr="006052D1">
              <w:rPr>
                <w:rFonts w:cs="Arial"/>
                <w:b/>
                <w:sz w:val="20"/>
                <w:szCs w:val="20"/>
              </w:rPr>
              <w:t>3. Sustentabilidade econômica</w:t>
            </w:r>
          </w:p>
          <w:p w:rsidR="00646530" w:rsidRPr="006052D1" w:rsidRDefault="00646530" w:rsidP="00B94A15">
            <w:pPr>
              <w:autoSpaceDE w:val="0"/>
              <w:autoSpaceDN w:val="0"/>
              <w:adjustRightInd w:val="0"/>
              <w:spacing w:beforeLines="60" w:before="144" w:afterLines="60" w:after="144" w:line="240" w:lineRule="auto"/>
              <w:rPr>
                <w:sz w:val="20"/>
                <w:szCs w:val="20"/>
              </w:rPr>
            </w:pPr>
            <w:r w:rsidRPr="006052D1">
              <w:rPr>
                <w:sz w:val="20"/>
                <w:szCs w:val="20"/>
              </w:rPr>
              <w:t xml:space="preserve">- Não há taxa ou cobrança pela prestação dos serviços públicos de gestão de resíduos sólidos e o sistema opera em </w:t>
            </w:r>
            <w:r w:rsidRPr="006052D1">
              <w:rPr>
                <w:i/>
                <w:sz w:val="20"/>
                <w:szCs w:val="20"/>
              </w:rPr>
              <w:t>déficit</w:t>
            </w:r>
            <w:r w:rsidRPr="006052D1">
              <w:rPr>
                <w:sz w:val="20"/>
                <w:szCs w:val="20"/>
              </w:rPr>
              <w:t>.</w:t>
            </w:r>
          </w:p>
          <w:p w:rsidR="00646530" w:rsidRPr="006052D1" w:rsidRDefault="00646530" w:rsidP="00B94A15">
            <w:pPr>
              <w:autoSpaceDE w:val="0"/>
              <w:autoSpaceDN w:val="0"/>
              <w:adjustRightInd w:val="0"/>
              <w:spacing w:beforeLines="60" w:before="144" w:afterLines="60" w:after="144" w:line="240" w:lineRule="auto"/>
              <w:rPr>
                <w:sz w:val="20"/>
                <w:szCs w:val="20"/>
              </w:rPr>
            </w:pPr>
          </w:p>
          <w:p w:rsidR="00646530" w:rsidRPr="006052D1" w:rsidRDefault="00646530" w:rsidP="00B94A15">
            <w:pPr>
              <w:autoSpaceDE w:val="0"/>
              <w:autoSpaceDN w:val="0"/>
              <w:adjustRightInd w:val="0"/>
              <w:spacing w:beforeLines="60" w:before="144" w:afterLines="60" w:after="144" w:line="240" w:lineRule="auto"/>
              <w:rPr>
                <w:rFonts w:cs="Arial"/>
                <w:b/>
                <w:sz w:val="20"/>
                <w:szCs w:val="20"/>
              </w:rPr>
            </w:pPr>
            <w:r w:rsidRPr="006052D1">
              <w:rPr>
                <w:rFonts w:cs="Arial"/>
                <w:b/>
                <w:sz w:val="20"/>
                <w:szCs w:val="20"/>
              </w:rPr>
              <w:t>5. Sistema de obtenção e acesso a dados</w:t>
            </w:r>
          </w:p>
          <w:p w:rsidR="00646530" w:rsidRPr="006052D1" w:rsidRDefault="00646530" w:rsidP="00B94A15">
            <w:pPr>
              <w:autoSpaceDE w:val="0"/>
              <w:autoSpaceDN w:val="0"/>
              <w:adjustRightInd w:val="0"/>
              <w:spacing w:beforeLines="60" w:before="144" w:afterLines="60" w:after="144" w:line="240" w:lineRule="auto"/>
              <w:rPr>
                <w:sz w:val="20"/>
                <w:szCs w:val="20"/>
              </w:rPr>
            </w:pPr>
            <w:r w:rsidRPr="006052D1">
              <w:rPr>
                <w:rFonts w:cs="Arial"/>
                <w:b/>
                <w:sz w:val="20"/>
                <w:szCs w:val="20"/>
              </w:rPr>
              <w:t xml:space="preserve">- </w:t>
            </w:r>
            <w:r w:rsidRPr="006052D1">
              <w:rPr>
                <w:rFonts w:cs="Arial"/>
                <w:sz w:val="20"/>
                <w:szCs w:val="20"/>
              </w:rPr>
              <w:t xml:space="preserve">Não existe um canal de comunicação </w:t>
            </w:r>
            <w:r>
              <w:rPr>
                <w:rFonts w:cs="Arial"/>
                <w:sz w:val="20"/>
                <w:szCs w:val="20"/>
              </w:rPr>
              <w:t>bem estruturado</w:t>
            </w:r>
            <w:r w:rsidRPr="006052D1">
              <w:rPr>
                <w:rFonts w:cs="Arial"/>
                <w:b/>
                <w:sz w:val="20"/>
                <w:szCs w:val="20"/>
              </w:rPr>
              <w:t xml:space="preserve"> </w:t>
            </w:r>
            <w:r w:rsidRPr="006052D1">
              <w:rPr>
                <w:rFonts w:cs="Arial"/>
                <w:sz w:val="20"/>
                <w:szCs w:val="20"/>
              </w:rPr>
              <w:t>com a população</w:t>
            </w:r>
            <w:r>
              <w:rPr>
                <w:rFonts w:cs="Arial"/>
                <w:sz w:val="20"/>
                <w:szCs w:val="20"/>
              </w:rPr>
              <w:t>.</w:t>
            </w:r>
            <w:r w:rsidRPr="006052D1">
              <w:rPr>
                <w:rFonts w:cs="Arial"/>
                <w:sz w:val="20"/>
                <w:szCs w:val="20"/>
              </w:rPr>
              <w:t xml:space="preserve"> </w:t>
            </w:r>
          </w:p>
        </w:tc>
      </w:tr>
      <w:tr w:rsidR="00646530" w:rsidRPr="006052D1" w:rsidTr="00B94A15">
        <w:trPr>
          <w:trHeight w:val="1970"/>
        </w:trPr>
        <w:tc>
          <w:tcPr>
            <w:tcW w:w="125" w:type="pct"/>
            <w:shd w:val="clear" w:color="auto" w:fill="365F91"/>
            <w:noWrap/>
            <w:textDirection w:val="btLr"/>
            <w:vAlign w:val="center"/>
            <w:hideMark/>
          </w:tcPr>
          <w:p w:rsidR="00646530" w:rsidRPr="006052D1" w:rsidRDefault="00646530" w:rsidP="00B94A15">
            <w:pPr>
              <w:spacing w:line="240" w:lineRule="auto"/>
              <w:jc w:val="center"/>
              <w:rPr>
                <w:rFonts w:eastAsia="Times New Roman" w:cs="Arial"/>
                <w:b/>
                <w:color w:val="FFFFFF"/>
                <w:sz w:val="20"/>
                <w:szCs w:val="20"/>
                <w:lang w:eastAsia="pt-BR"/>
              </w:rPr>
            </w:pPr>
            <w:r w:rsidRPr="006052D1">
              <w:rPr>
                <w:rFonts w:eastAsia="Times New Roman" w:cs="Arial"/>
                <w:b/>
                <w:color w:val="FFFFFF"/>
                <w:sz w:val="20"/>
                <w:szCs w:val="20"/>
                <w:lang w:eastAsia="pt-BR"/>
              </w:rPr>
              <w:lastRenderedPageBreak/>
              <w:t>Ambiente Externo</w:t>
            </w:r>
          </w:p>
        </w:tc>
        <w:tc>
          <w:tcPr>
            <w:tcW w:w="1730" w:type="pct"/>
            <w:shd w:val="clear" w:color="auto" w:fill="B8CCE4"/>
            <w:noWrap/>
            <w:hideMark/>
          </w:tcPr>
          <w:p w:rsidR="00646530" w:rsidRPr="006052D1" w:rsidRDefault="00646530" w:rsidP="00B94A15">
            <w:pPr>
              <w:autoSpaceDE w:val="0"/>
              <w:autoSpaceDN w:val="0"/>
              <w:adjustRightInd w:val="0"/>
              <w:spacing w:beforeLines="60" w:before="144" w:afterLines="60" w:after="144"/>
              <w:ind w:left="66"/>
              <w:jc w:val="center"/>
              <w:rPr>
                <w:rFonts w:cs="Arial"/>
                <w:b/>
                <w:sz w:val="20"/>
                <w:szCs w:val="20"/>
              </w:rPr>
            </w:pPr>
            <w:r w:rsidRPr="006052D1">
              <w:rPr>
                <w:rFonts w:cs="Arial"/>
                <w:b/>
                <w:sz w:val="20"/>
                <w:szCs w:val="20"/>
              </w:rPr>
              <w:t>OPORTUNIDADES</w:t>
            </w:r>
          </w:p>
          <w:p w:rsidR="00646530" w:rsidRPr="006052D1" w:rsidRDefault="00646530" w:rsidP="00B94A15">
            <w:pPr>
              <w:autoSpaceDE w:val="0"/>
              <w:autoSpaceDN w:val="0"/>
              <w:adjustRightInd w:val="0"/>
              <w:spacing w:before="60" w:after="60" w:line="240" w:lineRule="auto"/>
              <w:rPr>
                <w:rFonts w:cs="Arial"/>
                <w:b/>
                <w:sz w:val="20"/>
                <w:szCs w:val="20"/>
              </w:rPr>
            </w:pPr>
            <w:r w:rsidRPr="006052D1">
              <w:rPr>
                <w:rFonts w:cs="Arial"/>
                <w:b/>
                <w:sz w:val="20"/>
                <w:szCs w:val="20"/>
              </w:rPr>
              <w:t>3. Sustentabilidade econômica</w:t>
            </w:r>
          </w:p>
          <w:p w:rsidR="00646530" w:rsidRPr="006052D1" w:rsidRDefault="00646530" w:rsidP="00B94A15">
            <w:pPr>
              <w:jc w:val="left"/>
              <w:rPr>
                <w:rFonts w:eastAsiaTheme="minorHAnsi" w:cs="Arial"/>
                <w:sz w:val="20"/>
                <w:szCs w:val="20"/>
              </w:rPr>
            </w:pPr>
            <w:r w:rsidRPr="006052D1">
              <w:rPr>
                <w:rFonts w:cs="Arial"/>
                <w:sz w:val="20"/>
                <w:szCs w:val="20"/>
              </w:rPr>
              <w:t xml:space="preserve">- </w:t>
            </w:r>
            <w:r w:rsidRPr="006052D1">
              <w:rPr>
                <w:rFonts w:eastAsiaTheme="minorHAnsi" w:cs="Arial"/>
                <w:sz w:val="20"/>
                <w:szCs w:val="20"/>
              </w:rPr>
              <w:t>Devido ao desastre com a barragem de Fundão, existe a possibilidade de novos investimentos em saneamento básico pela SAMARCO S.A., responsável pelo acidente.</w:t>
            </w:r>
          </w:p>
          <w:p w:rsidR="00646530" w:rsidRPr="006052D1" w:rsidRDefault="00646530" w:rsidP="00B94A15">
            <w:pPr>
              <w:autoSpaceDE w:val="0"/>
              <w:autoSpaceDN w:val="0"/>
              <w:adjustRightInd w:val="0"/>
              <w:spacing w:beforeLines="60" w:before="144" w:afterLines="60" w:after="144"/>
              <w:ind w:left="66"/>
              <w:rPr>
                <w:rFonts w:cs="Arial"/>
                <w:b/>
                <w:sz w:val="20"/>
                <w:szCs w:val="20"/>
              </w:rPr>
            </w:pPr>
            <w:r w:rsidRPr="006052D1">
              <w:rPr>
                <w:rFonts w:cs="Arial"/>
                <w:sz w:val="20"/>
                <w:szCs w:val="20"/>
              </w:rPr>
              <w:t>.</w:t>
            </w:r>
          </w:p>
        </w:tc>
        <w:tc>
          <w:tcPr>
            <w:tcW w:w="868" w:type="pct"/>
            <w:vMerge/>
            <w:shd w:val="clear" w:color="auto" w:fill="B8CCE4"/>
            <w:noWrap/>
            <w:vAlign w:val="center"/>
            <w:hideMark/>
          </w:tcPr>
          <w:p w:rsidR="00646530" w:rsidRPr="006052D1" w:rsidRDefault="00646530" w:rsidP="00B94A15">
            <w:pPr>
              <w:autoSpaceDE w:val="0"/>
              <w:autoSpaceDN w:val="0"/>
              <w:adjustRightInd w:val="0"/>
              <w:spacing w:beforeLines="60" w:before="144" w:afterLines="60" w:after="144"/>
              <w:ind w:left="66"/>
              <w:jc w:val="left"/>
              <w:rPr>
                <w:rFonts w:cs="Arial"/>
                <w:b/>
                <w:sz w:val="20"/>
                <w:szCs w:val="20"/>
              </w:rPr>
            </w:pPr>
          </w:p>
        </w:tc>
        <w:tc>
          <w:tcPr>
            <w:tcW w:w="2277" w:type="pct"/>
            <w:shd w:val="clear" w:color="auto" w:fill="B8CCE4"/>
            <w:noWrap/>
            <w:hideMark/>
          </w:tcPr>
          <w:p w:rsidR="00646530" w:rsidRPr="006052D1" w:rsidRDefault="00646530" w:rsidP="00B94A15">
            <w:pPr>
              <w:autoSpaceDE w:val="0"/>
              <w:autoSpaceDN w:val="0"/>
              <w:adjustRightInd w:val="0"/>
              <w:spacing w:beforeLines="60" w:before="144" w:afterLines="60" w:after="144"/>
              <w:jc w:val="center"/>
              <w:rPr>
                <w:rFonts w:eastAsia="Times New Roman" w:cs="Arial"/>
                <w:b/>
                <w:color w:val="000000"/>
                <w:sz w:val="20"/>
                <w:szCs w:val="20"/>
                <w:lang w:eastAsia="pt-BR"/>
              </w:rPr>
            </w:pPr>
            <w:r w:rsidRPr="006052D1">
              <w:rPr>
                <w:rFonts w:eastAsia="Times New Roman" w:cs="Arial"/>
                <w:b/>
                <w:color w:val="000000"/>
                <w:sz w:val="20"/>
                <w:szCs w:val="20"/>
                <w:lang w:eastAsia="pt-BR"/>
              </w:rPr>
              <w:t>AMEAÇAS</w:t>
            </w:r>
          </w:p>
          <w:p w:rsidR="00646530" w:rsidRPr="006052D1" w:rsidRDefault="00646530" w:rsidP="00B94A15">
            <w:pPr>
              <w:autoSpaceDE w:val="0"/>
              <w:autoSpaceDN w:val="0"/>
              <w:adjustRightInd w:val="0"/>
              <w:spacing w:beforeLines="60" w:before="144" w:afterLines="60" w:after="144" w:line="240" w:lineRule="auto"/>
              <w:ind w:left="66"/>
              <w:rPr>
                <w:rFonts w:cs="Arial"/>
                <w:b/>
                <w:sz w:val="20"/>
                <w:szCs w:val="20"/>
              </w:rPr>
            </w:pPr>
            <w:r w:rsidRPr="006052D1">
              <w:rPr>
                <w:rFonts w:cs="Arial"/>
                <w:b/>
                <w:sz w:val="20"/>
                <w:szCs w:val="20"/>
              </w:rPr>
              <w:t>4. Legislação e normatização do setor</w:t>
            </w:r>
          </w:p>
          <w:p w:rsidR="00646530" w:rsidRPr="006052D1" w:rsidRDefault="00646530" w:rsidP="00B94A15">
            <w:pPr>
              <w:autoSpaceDE w:val="0"/>
              <w:autoSpaceDN w:val="0"/>
              <w:adjustRightInd w:val="0"/>
              <w:spacing w:beforeLines="60" w:before="144" w:afterLines="60" w:after="144"/>
              <w:ind w:left="66"/>
              <w:jc w:val="left"/>
              <w:rPr>
                <w:rFonts w:cs="Arial"/>
                <w:sz w:val="20"/>
                <w:szCs w:val="20"/>
              </w:rPr>
            </w:pPr>
            <w:r w:rsidRPr="006052D1">
              <w:rPr>
                <w:rFonts w:cs="Arial"/>
                <w:sz w:val="20"/>
                <w:szCs w:val="20"/>
              </w:rPr>
              <w:t>- Ausência de regulamentos que cerceiem ações degradadoras do meio ambiente devido a disposições inadequadas de resíduos e rejeitos.</w:t>
            </w:r>
          </w:p>
          <w:p w:rsidR="00646530" w:rsidRPr="006052D1" w:rsidRDefault="00646530" w:rsidP="00B94A15">
            <w:pPr>
              <w:autoSpaceDE w:val="0"/>
              <w:autoSpaceDN w:val="0"/>
              <w:adjustRightInd w:val="0"/>
              <w:spacing w:beforeLines="60" w:before="144" w:afterLines="60" w:after="144"/>
              <w:rPr>
                <w:rFonts w:eastAsia="Times New Roman" w:cs="Arial"/>
                <w:color w:val="000000"/>
                <w:sz w:val="20"/>
                <w:szCs w:val="20"/>
                <w:lang w:eastAsia="pt-BR"/>
              </w:rPr>
            </w:pPr>
          </w:p>
        </w:tc>
      </w:tr>
    </w:tbl>
    <w:p w:rsidR="00646530" w:rsidRDefault="00646530" w:rsidP="00646530">
      <w:pPr>
        <w:pStyle w:val="Fonte"/>
        <w:rPr>
          <w:rFonts w:cs="Arial"/>
          <w:szCs w:val="24"/>
        </w:rPr>
      </w:pPr>
      <w:r w:rsidRPr="00F23897">
        <w:t>Fonte: adaptado por SHS, 2017.</w:t>
      </w:r>
    </w:p>
    <w:p w:rsidR="00646530" w:rsidRDefault="00646530" w:rsidP="00646530">
      <w:pPr>
        <w:rPr>
          <w:rFonts w:cs="Arial"/>
          <w:szCs w:val="24"/>
          <w:lang w:eastAsia="pt-BR"/>
        </w:rPr>
        <w:sectPr w:rsidR="00646530" w:rsidSect="00B94A15">
          <w:footerReference w:type="default" r:id="rId75"/>
          <w:pgSz w:w="16838" w:h="11906" w:orient="landscape"/>
          <w:pgMar w:top="1418" w:right="1134" w:bottom="1134" w:left="1134" w:header="709" w:footer="709" w:gutter="0"/>
          <w:cols w:space="708"/>
          <w:docGrid w:linePitch="360"/>
        </w:sectPr>
      </w:pPr>
    </w:p>
    <w:p w:rsidR="00646530" w:rsidRPr="009B798E" w:rsidRDefault="00646530" w:rsidP="00646530">
      <w:pPr>
        <w:spacing w:before="120" w:after="120"/>
        <w:ind w:firstLine="708"/>
        <w:contextualSpacing/>
        <w:rPr>
          <w:rFonts w:cs="Arial"/>
          <w:szCs w:val="24"/>
          <w:lang w:eastAsia="pt-BR"/>
        </w:rPr>
      </w:pPr>
      <w:r w:rsidRPr="003F7F83">
        <w:rPr>
          <w:rFonts w:cs="Arial"/>
          <w:szCs w:val="24"/>
          <w:lang w:eastAsia="pt-BR"/>
        </w:rPr>
        <w:lastRenderedPageBreak/>
        <w:t xml:space="preserve">Com </w:t>
      </w:r>
      <w:r>
        <w:rPr>
          <w:rFonts w:cs="Arial"/>
          <w:szCs w:val="24"/>
          <w:lang w:eastAsia="pt-BR"/>
        </w:rPr>
        <w:t>base na matriz SWOT, que avalia aspectos positivos e negativos internos e externos à gestão de l</w:t>
      </w:r>
      <w:r w:rsidRPr="000B5EBA">
        <w:rPr>
          <w:rFonts w:cs="Arial"/>
          <w:szCs w:val="24"/>
          <w:lang w:eastAsia="pt-BR"/>
        </w:rPr>
        <w:t xml:space="preserve">impeza </w:t>
      </w:r>
      <w:r>
        <w:rPr>
          <w:rFonts w:cs="Arial"/>
          <w:szCs w:val="24"/>
          <w:lang w:eastAsia="pt-BR"/>
        </w:rPr>
        <w:t>u</w:t>
      </w:r>
      <w:r w:rsidRPr="000B5EBA">
        <w:rPr>
          <w:rFonts w:cs="Arial"/>
          <w:szCs w:val="24"/>
          <w:lang w:eastAsia="pt-BR"/>
        </w:rPr>
        <w:t xml:space="preserve">rbana e </w:t>
      </w:r>
      <w:r>
        <w:rPr>
          <w:rFonts w:cs="Arial"/>
          <w:szCs w:val="24"/>
          <w:lang w:eastAsia="pt-BR"/>
        </w:rPr>
        <w:t>m</w:t>
      </w:r>
      <w:r w:rsidRPr="000B5EBA">
        <w:rPr>
          <w:rFonts w:cs="Arial"/>
          <w:szCs w:val="24"/>
          <w:lang w:eastAsia="pt-BR"/>
        </w:rPr>
        <w:t xml:space="preserve">anejo de </w:t>
      </w:r>
      <w:r>
        <w:rPr>
          <w:rFonts w:cs="Arial"/>
          <w:szCs w:val="24"/>
          <w:lang w:eastAsia="pt-BR"/>
        </w:rPr>
        <w:t>r</w:t>
      </w:r>
      <w:r w:rsidRPr="000B5EBA">
        <w:rPr>
          <w:rFonts w:cs="Arial"/>
          <w:szCs w:val="24"/>
          <w:lang w:eastAsia="pt-BR"/>
        </w:rPr>
        <w:t xml:space="preserve">esíduos </w:t>
      </w:r>
      <w:r>
        <w:rPr>
          <w:rFonts w:cs="Arial"/>
          <w:szCs w:val="24"/>
          <w:lang w:eastAsia="pt-BR"/>
        </w:rPr>
        <w:t>s</w:t>
      </w:r>
      <w:r w:rsidRPr="000B5EBA">
        <w:rPr>
          <w:rFonts w:cs="Arial"/>
          <w:szCs w:val="24"/>
          <w:lang w:eastAsia="pt-BR"/>
        </w:rPr>
        <w:t xml:space="preserve">ólidos </w:t>
      </w:r>
      <w:r w:rsidRPr="003F7F83">
        <w:rPr>
          <w:rFonts w:cs="Arial"/>
          <w:szCs w:val="24"/>
          <w:lang w:eastAsia="pt-BR"/>
        </w:rPr>
        <w:t xml:space="preserve">do município de </w:t>
      </w:r>
      <w:r>
        <w:rPr>
          <w:rFonts w:cs="Arial"/>
          <w:szCs w:val="24"/>
          <w:lang w:eastAsia="pt-BR"/>
        </w:rPr>
        <w:t xml:space="preserve">Córrego Novo, foi possível elaborar a </w:t>
      </w:r>
      <w:r w:rsidRPr="009B798E">
        <w:rPr>
          <w:rFonts w:cs="Arial"/>
          <w:szCs w:val="24"/>
          <w:lang w:eastAsia="pt-BR"/>
        </w:rPr>
        <w:t>descrição dos cenários previsível e normativo para o horizonte de planejamento (</w:t>
      </w:r>
      <w:r w:rsidRPr="009B798E">
        <w:rPr>
          <w:rFonts w:cs="Arial"/>
          <w:szCs w:val="24"/>
          <w:lang w:eastAsia="pt-BR"/>
        </w:rPr>
        <w:fldChar w:fldCharType="begin"/>
      </w:r>
      <w:r w:rsidRPr="009B798E">
        <w:rPr>
          <w:rFonts w:cs="Arial"/>
          <w:szCs w:val="24"/>
          <w:lang w:eastAsia="pt-BR"/>
        </w:rPr>
        <w:instrText xml:space="preserve"> REF _Ref484420761 \h </w:instrText>
      </w:r>
      <w:r w:rsidRPr="009B798E">
        <w:rPr>
          <w:rFonts w:cs="Arial"/>
          <w:szCs w:val="24"/>
          <w:lang w:eastAsia="pt-BR"/>
        </w:rPr>
      </w:r>
      <w:r w:rsidRPr="009B798E">
        <w:rPr>
          <w:rFonts w:cs="Arial"/>
          <w:szCs w:val="24"/>
          <w:lang w:eastAsia="pt-BR"/>
        </w:rPr>
        <w:fldChar w:fldCharType="separate"/>
      </w:r>
      <w:r w:rsidR="004D1D76">
        <w:t xml:space="preserve">Quadro </w:t>
      </w:r>
      <w:r w:rsidR="004D1D76">
        <w:rPr>
          <w:noProof/>
        </w:rPr>
        <w:t>81</w:t>
      </w:r>
      <w:r w:rsidRPr="009B798E">
        <w:rPr>
          <w:rFonts w:cs="Arial"/>
          <w:szCs w:val="24"/>
          <w:lang w:eastAsia="pt-BR"/>
        </w:rPr>
        <w:fldChar w:fldCharType="end"/>
      </w:r>
      <w:r w:rsidRPr="009B798E">
        <w:rPr>
          <w:rFonts w:cs="Arial"/>
          <w:szCs w:val="24"/>
          <w:lang w:eastAsia="pt-BR"/>
        </w:rPr>
        <w:t>).</w:t>
      </w:r>
    </w:p>
    <w:p w:rsidR="00646530" w:rsidRDefault="00646530" w:rsidP="00646530">
      <w:pPr>
        <w:pStyle w:val="Legenda"/>
        <w:rPr>
          <w:lang w:eastAsia="pt-BR"/>
        </w:rPr>
      </w:pPr>
      <w:bookmarkStart w:id="775" w:name="_Ref484420761"/>
      <w:bookmarkStart w:id="776" w:name="_Toc484423922"/>
      <w:bookmarkStart w:id="777" w:name="_Toc484532484"/>
      <w:bookmarkStart w:id="778" w:name="_Toc497469202"/>
      <w:r>
        <w:t xml:space="preserve">Quadro </w:t>
      </w:r>
      <w:r w:rsidR="00D71C43">
        <w:fldChar w:fldCharType="begin"/>
      </w:r>
      <w:r w:rsidR="00D71C43">
        <w:instrText xml:space="preserve"> SEQ Quadro \* ARABIC </w:instrText>
      </w:r>
      <w:r w:rsidR="00D71C43">
        <w:fldChar w:fldCharType="separate"/>
      </w:r>
      <w:r w:rsidR="004D1D76">
        <w:rPr>
          <w:noProof/>
        </w:rPr>
        <w:t>81</w:t>
      </w:r>
      <w:r w:rsidR="00D71C43">
        <w:rPr>
          <w:noProof/>
        </w:rPr>
        <w:fldChar w:fldCharType="end"/>
      </w:r>
      <w:bookmarkEnd w:id="775"/>
      <w:r>
        <w:rPr>
          <w:lang w:val="pt-BR"/>
        </w:rPr>
        <w:t xml:space="preserve"> - </w:t>
      </w:r>
      <w:r w:rsidRPr="006E1C7F">
        <w:t xml:space="preserve">Descrição dos cenários previsível e normativo para o </w:t>
      </w:r>
      <w:r>
        <w:rPr>
          <w:lang w:val="pt-BR"/>
        </w:rPr>
        <w:t xml:space="preserve">Sistema de </w:t>
      </w:r>
      <w:r>
        <w:t>Limpeza Urbana e Manejo de Resíduos Sólidos</w:t>
      </w:r>
      <w:bookmarkEnd w:id="776"/>
      <w:bookmarkEnd w:id="777"/>
      <w:bookmarkEnd w:id="778"/>
    </w:p>
    <w:tbl>
      <w:tblPr>
        <w:tblW w:w="9215" w:type="dxa"/>
        <w:jc w:val="center"/>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4679"/>
        <w:gridCol w:w="4536"/>
      </w:tblGrid>
      <w:tr w:rsidR="00646530" w:rsidRPr="004E510B" w:rsidTr="00B94A15">
        <w:trPr>
          <w:tblHeader/>
          <w:jc w:val="center"/>
        </w:trPr>
        <w:tc>
          <w:tcPr>
            <w:tcW w:w="4679" w:type="dxa"/>
            <w:tcBorders>
              <w:top w:val="single" w:sz="8" w:space="0" w:color="4F81BD"/>
              <w:bottom w:val="single" w:sz="8" w:space="0" w:color="4F81BD"/>
              <w:right w:val="single" w:sz="8" w:space="0" w:color="4F81BD"/>
            </w:tcBorders>
            <w:shd w:val="clear" w:color="auto" w:fill="4F81BD"/>
            <w:vAlign w:val="center"/>
          </w:tcPr>
          <w:p w:rsidR="00646530" w:rsidRPr="003E5F4C" w:rsidRDefault="00646530" w:rsidP="00B94A15">
            <w:pPr>
              <w:autoSpaceDE w:val="0"/>
              <w:autoSpaceDN w:val="0"/>
              <w:adjustRightInd w:val="0"/>
              <w:spacing w:line="252" w:lineRule="auto"/>
              <w:contextualSpacing/>
              <w:jc w:val="center"/>
              <w:rPr>
                <w:rFonts w:cs="Arial"/>
                <w:b/>
                <w:bCs/>
                <w:color w:val="FFFFFF" w:themeColor="background1"/>
                <w:sz w:val="20"/>
              </w:rPr>
            </w:pPr>
            <w:r w:rsidRPr="003E5F4C">
              <w:rPr>
                <w:rFonts w:cs="Arial"/>
                <w:b/>
                <w:bCs/>
                <w:color w:val="FFFFFF" w:themeColor="background1"/>
                <w:sz w:val="20"/>
              </w:rPr>
              <w:t>Cenário Previsível</w:t>
            </w:r>
          </w:p>
        </w:tc>
        <w:tc>
          <w:tcPr>
            <w:tcW w:w="4536" w:type="dxa"/>
            <w:tcBorders>
              <w:left w:val="single" w:sz="8" w:space="0" w:color="4F81BD"/>
            </w:tcBorders>
            <w:shd w:val="clear" w:color="auto" w:fill="4F81BD"/>
            <w:vAlign w:val="center"/>
          </w:tcPr>
          <w:p w:rsidR="00646530" w:rsidRPr="003E5F4C" w:rsidRDefault="00646530" w:rsidP="00B94A15">
            <w:pPr>
              <w:autoSpaceDE w:val="0"/>
              <w:autoSpaceDN w:val="0"/>
              <w:adjustRightInd w:val="0"/>
              <w:spacing w:line="252" w:lineRule="auto"/>
              <w:contextualSpacing/>
              <w:jc w:val="center"/>
              <w:rPr>
                <w:rFonts w:cs="Arial"/>
                <w:b/>
                <w:bCs/>
                <w:color w:val="FFFFFF" w:themeColor="background1"/>
                <w:sz w:val="20"/>
              </w:rPr>
            </w:pPr>
            <w:r w:rsidRPr="003E5F4C">
              <w:rPr>
                <w:rFonts w:cs="Arial"/>
                <w:b/>
                <w:bCs/>
                <w:color w:val="FFFFFF" w:themeColor="background1"/>
                <w:sz w:val="20"/>
              </w:rPr>
              <w:t>Cenário Normativo</w:t>
            </w:r>
          </w:p>
        </w:tc>
      </w:tr>
      <w:tr w:rsidR="00646530" w:rsidRPr="004E510B" w:rsidTr="00B94A15">
        <w:trPr>
          <w:jc w:val="center"/>
        </w:trPr>
        <w:tc>
          <w:tcPr>
            <w:tcW w:w="4679" w:type="dxa"/>
            <w:tcBorders>
              <w:top w:val="single" w:sz="8" w:space="0" w:color="4F81BD"/>
              <w:left w:val="single" w:sz="8" w:space="0" w:color="4F81BD"/>
              <w:bottom w:val="single" w:sz="8" w:space="0" w:color="4F81BD"/>
              <w:right w:val="single" w:sz="8" w:space="0" w:color="4F81BD"/>
            </w:tcBorders>
            <w:shd w:val="clear" w:color="auto" w:fill="auto"/>
          </w:tcPr>
          <w:p w:rsidR="00646530" w:rsidRPr="004E510B" w:rsidRDefault="00646530" w:rsidP="00B94A15">
            <w:pPr>
              <w:autoSpaceDE w:val="0"/>
              <w:autoSpaceDN w:val="0"/>
              <w:adjustRightInd w:val="0"/>
              <w:spacing w:line="252" w:lineRule="auto"/>
              <w:contextualSpacing/>
              <w:rPr>
                <w:rFonts w:cs="Arial"/>
                <w:bCs/>
                <w:sz w:val="20"/>
              </w:rPr>
            </w:pPr>
            <w:r w:rsidRPr="004E510B">
              <w:rPr>
                <w:rFonts w:cs="Arial"/>
                <w:bCs/>
                <w:sz w:val="20"/>
              </w:rPr>
              <w:t>Coleta convencional sem atingir a totalidade da população e inexistência de coleta seletiva estruturada no município.</w:t>
            </w:r>
          </w:p>
        </w:tc>
        <w:tc>
          <w:tcPr>
            <w:tcW w:w="4536" w:type="dxa"/>
            <w:tcBorders>
              <w:top w:val="single" w:sz="8" w:space="0" w:color="4F81BD"/>
              <w:left w:val="single" w:sz="8" w:space="0" w:color="4F81BD"/>
              <w:bottom w:val="single" w:sz="8" w:space="0" w:color="4F81BD"/>
              <w:right w:val="single" w:sz="8" w:space="0" w:color="4F81BD"/>
            </w:tcBorders>
            <w:shd w:val="clear" w:color="auto" w:fill="auto"/>
            <w:vAlign w:val="center"/>
          </w:tcPr>
          <w:p w:rsidR="00646530" w:rsidRPr="004E510B" w:rsidRDefault="00646530" w:rsidP="00B94A15">
            <w:pPr>
              <w:autoSpaceDE w:val="0"/>
              <w:autoSpaceDN w:val="0"/>
              <w:adjustRightInd w:val="0"/>
              <w:spacing w:line="252" w:lineRule="auto"/>
              <w:contextualSpacing/>
              <w:rPr>
                <w:rFonts w:cs="Arial"/>
                <w:sz w:val="20"/>
              </w:rPr>
            </w:pPr>
            <w:r w:rsidRPr="004E510B">
              <w:rPr>
                <w:rFonts w:cs="Arial"/>
                <w:sz w:val="20"/>
              </w:rPr>
              <w:t>Coleta convencional e seletiva com abrangência em todo o município.</w:t>
            </w:r>
          </w:p>
        </w:tc>
      </w:tr>
      <w:tr w:rsidR="00646530" w:rsidRPr="004E510B" w:rsidTr="00B94A15">
        <w:trPr>
          <w:jc w:val="center"/>
        </w:trPr>
        <w:tc>
          <w:tcPr>
            <w:tcW w:w="4679" w:type="dxa"/>
            <w:tcBorders>
              <w:bottom w:val="single" w:sz="4" w:space="0" w:color="auto"/>
              <w:right w:val="single" w:sz="8" w:space="0" w:color="4F81BD"/>
            </w:tcBorders>
            <w:shd w:val="clear" w:color="auto" w:fill="auto"/>
            <w:vAlign w:val="center"/>
          </w:tcPr>
          <w:p w:rsidR="00646530" w:rsidRPr="004E510B" w:rsidRDefault="00646530" w:rsidP="00B94A15">
            <w:pPr>
              <w:pStyle w:val="Default"/>
              <w:spacing w:line="252" w:lineRule="auto"/>
              <w:contextualSpacing/>
              <w:jc w:val="both"/>
              <w:rPr>
                <w:bCs/>
                <w:color w:val="auto"/>
                <w:sz w:val="20"/>
                <w:szCs w:val="20"/>
              </w:rPr>
            </w:pPr>
            <w:r w:rsidRPr="004E510B">
              <w:rPr>
                <w:bCs/>
                <w:color w:val="auto"/>
                <w:sz w:val="20"/>
                <w:szCs w:val="20"/>
              </w:rPr>
              <w:t>Sistema de fiscalização atende apenas sob demanda da população (denúncias).</w:t>
            </w:r>
          </w:p>
        </w:tc>
        <w:tc>
          <w:tcPr>
            <w:tcW w:w="4536" w:type="dxa"/>
            <w:tcBorders>
              <w:left w:val="single" w:sz="8" w:space="0" w:color="4F81BD"/>
              <w:bottom w:val="single" w:sz="4" w:space="0" w:color="auto"/>
            </w:tcBorders>
            <w:shd w:val="clear" w:color="auto" w:fill="auto"/>
            <w:vAlign w:val="center"/>
          </w:tcPr>
          <w:p w:rsidR="00646530" w:rsidRPr="004E510B" w:rsidRDefault="00646530" w:rsidP="00B94A15">
            <w:pPr>
              <w:pStyle w:val="Default"/>
              <w:spacing w:line="252" w:lineRule="auto"/>
              <w:contextualSpacing/>
              <w:jc w:val="both"/>
              <w:rPr>
                <w:color w:val="auto"/>
                <w:sz w:val="20"/>
                <w:szCs w:val="20"/>
              </w:rPr>
            </w:pPr>
            <w:r w:rsidRPr="004E510B">
              <w:rPr>
                <w:color w:val="auto"/>
                <w:sz w:val="20"/>
                <w:szCs w:val="20"/>
              </w:rPr>
              <w:t>Processos de fiscalização melhor estruturados e planejados, de forma a atender às demandas da gestão integrada de resíduos, com definição das responsabilidades e competências.</w:t>
            </w:r>
          </w:p>
        </w:tc>
      </w:tr>
      <w:tr w:rsidR="00646530" w:rsidRPr="004E510B" w:rsidTr="00B94A15">
        <w:trPr>
          <w:jc w:val="center"/>
        </w:trPr>
        <w:tc>
          <w:tcPr>
            <w:tcW w:w="4679" w:type="dxa"/>
            <w:tcBorders>
              <w:top w:val="single" w:sz="4" w:space="0" w:color="auto"/>
              <w:right w:val="single" w:sz="8" w:space="0" w:color="4F81BD"/>
            </w:tcBorders>
            <w:shd w:val="clear" w:color="auto" w:fill="auto"/>
            <w:vAlign w:val="center"/>
          </w:tcPr>
          <w:p w:rsidR="00646530" w:rsidRPr="004E510B" w:rsidRDefault="00646530" w:rsidP="00B94A15">
            <w:pPr>
              <w:pStyle w:val="Default"/>
              <w:spacing w:line="252" w:lineRule="auto"/>
              <w:contextualSpacing/>
              <w:jc w:val="both"/>
              <w:rPr>
                <w:b/>
                <w:bCs/>
                <w:color w:val="auto"/>
                <w:sz w:val="20"/>
                <w:szCs w:val="20"/>
              </w:rPr>
            </w:pPr>
            <w:r w:rsidRPr="004E510B">
              <w:rPr>
                <w:color w:val="auto"/>
                <w:sz w:val="20"/>
              </w:rPr>
              <w:t>Não há taxa ou cobrança pela prestação dos serviços públicos de gestão de resíduos sólidos.</w:t>
            </w:r>
          </w:p>
        </w:tc>
        <w:tc>
          <w:tcPr>
            <w:tcW w:w="4536" w:type="dxa"/>
            <w:tcBorders>
              <w:top w:val="single" w:sz="4" w:space="0" w:color="auto"/>
              <w:left w:val="single" w:sz="8" w:space="0" w:color="4F81BD"/>
            </w:tcBorders>
            <w:shd w:val="clear" w:color="auto" w:fill="auto"/>
            <w:vAlign w:val="center"/>
          </w:tcPr>
          <w:p w:rsidR="00646530" w:rsidRPr="004E510B" w:rsidRDefault="00646530" w:rsidP="00B94A15">
            <w:pPr>
              <w:pStyle w:val="Default"/>
              <w:spacing w:line="252" w:lineRule="auto"/>
              <w:contextualSpacing/>
              <w:jc w:val="both"/>
              <w:rPr>
                <w:color w:val="auto"/>
                <w:sz w:val="20"/>
                <w:szCs w:val="20"/>
              </w:rPr>
            </w:pPr>
            <w:r w:rsidRPr="004E510B">
              <w:rPr>
                <w:color w:val="auto"/>
                <w:sz w:val="20"/>
                <w:szCs w:val="20"/>
              </w:rPr>
              <w:t>Cobrança estabelecida de maneira participativa e suficiente para auxiliar uma gestão integrada de resíduos sólidos com sustentabilidade financeira.</w:t>
            </w:r>
          </w:p>
        </w:tc>
      </w:tr>
      <w:tr w:rsidR="00646530" w:rsidRPr="004E510B" w:rsidTr="00B94A15">
        <w:trPr>
          <w:jc w:val="center"/>
        </w:trPr>
        <w:tc>
          <w:tcPr>
            <w:tcW w:w="4679" w:type="dxa"/>
            <w:tcBorders>
              <w:top w:val="single" w:sz="8" w:space="0" w:color="4F81BD"/>
              <w:left w:val="single" w:sz="8" w:space="0" w:color="4F81BD"/>
              <w:bottom w:val="single" w:sz="8" w:space="0" w:color="4F81BD"/>
              <w:right w:val="single" w:sz="8" w:space="0" w:color="4F81BD"/>
            </w:tcBorders>
            <w:shd w:val="clear" w:color="auto" w:fill="auto"/>
            <w:vAlign w:val="center"/>
          </w:tcPr>
          <w:p w:rsidR="00646530" w:rsidRPr="004E510B" w:rsidRDefault="00646530" w:rsidP="00B94A15">
            <w:pPr>
              <w:pStyle w:val="Default"/>
              <w:spacing w:line="252" w:lineRule="auto"/>
              <w:contextualSpacing/>
              <w:jc w:val="both"/>
              <w:rPr>
                <w:bCs/>
                <w:color w:val="auto"/>
                <w:sz w:val="20"/>
                <w:szCs w:val="20"/>
              </w:rPr>
            </w:pPr>
            <w:r w:rsidRPr="004E510B">
              <w:rPr>
                <w:bCs/>
                <w:color w:val="auto"/>
                <w:sz w:val="20"/>
                <w:szCs w:val="20"/>
              </w:rPr>
              <w:t>Pouco aproveitamento dos resíduos de construção civil para fins sustentáveis. Grande quantidade de RCC sendo destinada diretamente a áreas irregulares.</w:t>
            </w:r>
          </w:p>
        </w:tc>
        <w:tc>
          <w:tcPr>
            <w:tcW w:w="4536" w:type="dxa"/>
            <w:tcBorders>
              <w:top w:val="single" w:sz="8" w:space="0" w:color="4F81BD"/>
              <w:left w:val="single" w:sz="8" w:space="0" w:color="4F81BD"/>
              <w:bottom w:val="single" w:sz="8" w:space="0" w:color="4F81BD"/>
              <w:right w:val="single" w:sz="8" w:space="0" w:color="4F81BD"/>
            </w:tcBorders>
            <w:shd w:val="clear" w:color="auto" w:fill="auto"/>
            <w:vAlign w:val="center"/>
          </w:tcPr>
          <w:p w:rsidR="00646530" w:rsidRPr="004E510B" w:rsidRDefault="00646530" w:rsidP="00B94A15">
            <w:pPr>
              <w:pStyle w:val="Default"/>
              <w:spacing w:line="252" w:lineRule="auto"/>
              <w:contextualSpacing/>
              <w:jc w:val="both"/>
              <w:rPr>
                <w:color w:val="auto"/>
                <w:sz w:val="20"/>
                <w:szCs w:val="20"/>
              </w:rPr>
            </w:pPr>
            <w:r w:rsidRPr="004E510B">
              <w:rPr>
                <w:color w:val="auto"/>
                <w:sz w:val="20"/>
                <w:szCs w:val="20"/>
              </w:rPr>
              <w:t>Coleta dos RCC</w:t>
            </w:r>
            <w:r>
              <w:rPr>
                <w:color w:val="auto"/>
                <w:sz w:val="20"/>
                <w:szCs w:val="20"/>
              </w:rPr>
              <w:t>s</w:t>
            </w:r>
            <w:r w:rsidRPr="004E510B">
              <w:rPr>
                <w:color w:val="auto"/>
                <w:sz w:val="20"/>
                <w:szCs w:val="20"/>
              </w:rPr>
              <w:t xml:space="preserve"> regulada. Reaproveitamento e/ou comercialização dos resíduos de construção civil. Disposição final ambientalmente adequada em possível aterro de inertes</w:t>
            </w:r>
            <w:r>
              <w:rPr>
                <w:color w:val="auto"/>
                <w:sz w:val="20"/>
                <w:szCs w:val="20"/>
              </w:rPr>
              <w:t>,</w:t>
            </w:r>
            <w:r w:rsidRPr="004E510B">
              <w:rPr>
                <w:color w:val="auto"/>
                <w:sz w:val="20"/>
                <w:szCs w:val="20"/>
              </w:rPr>
              <w:t xml:space="preserve"> municipal ou consorciado.</w:t>
            </w:r>
          </w:p>
        </w:tc>
      </w:tr>
      <w:tr w:rsidR="00646530" w:rsidRPr="004E510B" w:rsidTr="00B94A15">
        <w:trPr>
          <w:trHeight w:val="225"/>
          <w:jc w:val="center"/>
        </w:trPr>
        <w:tc>
          <w:tcPr>
            <w:tcW w:w="4679" w:type="dxa"/>
            <w:tcBorders>
              <w:top w:val="single" w:sz="4" w:space="0" w:color="4F81BD"/>
              <w:left w:val="single" w:sz="4" w:space="0" w:color="4F81BD"/>
              <w:bottom w:val="single" w:sz="4" w:space="0" w:color="4F81BD"/>
              <w:right w:val="single" w:sz="4" w:space="0" w:color="4F81BD"/>
            </w:tcBorders>
            <w:shd w:val="clear" w:color="auto" w:fill="auto"/>
          </w:tcPr>
          <w:p w:rsidR="00646530" w:rsidRPr="004E510B" w:rsidRDefault="00646530" w:rsidP="00B94A15">
            <w:pPr>
              <w:pStyle w:val="Default"/>
              <w:spacing w:line="252" w:lineRule="auto"/>
              <w:contextualSpacing/>
              <w:jc w:val="both"/>
              <w:rPr>
                <w:bCs/>
                <w:color w:val="auto"/>
                <w:sz w:val="20"/>
                <w:szCs w:val="20"/>
              </w:rPr>
            </w:pPr>
            <w:r w:rsidRPr="004E510B">
              <w:rPr>
                <w:bCs/>
                <w:color w:val="auto"/>
                <w:sz w:val="20"/>
                <w:szCs w:val="20"/>
              </w:rPr>
              <w:t>Ausência de um destino ambientalmente correto para os resíduos especiais.</w:t>
            </w:r>
          </w:p>
        </w:tc>
        <w:tc>
          <w:tcPr>
            <w:tcW w:w="4536" w:type="dxa"/>
            <w:tcBorders>
              <w:top w:val="single" w:sz="4" w:space="0" w:color="4F81BD"/>
              <w:left w:val="single" w:sz="4" w:space="0" w:color="4F81BD"/>
              <w:bottom w:val="single" w:sz="4" w:space="0" w:color="4F81BD"/>
              <w:right w:val="single" w:sz="4" w:space="0" w:color="auto"/>
            </w:tcBorders>
            <w:shd w:val="clear" w:color="auto" w:fill="auto"/>
          </w:tcPr>
          <w:p w:rsidR="00646530" w:rsidRPr="004E510B" w:rsidRDefault="00646530" w:rsidP="00B94A15">
            <w:pPr>
              <w:pStyle w:val="Default"/>
              <w:spacing w:line="252" w:lineRule="auto"/>
              <w:contextualSpacing/>
              <w:jc w:val="both"/>
              <w:rPr>
                <w:bCs/>
                <w:color w:val="auto"/>
                <w:sz w:val="20"/>
                <w:szCs w:val="20"/>
              </w:rPr>
            </w:pPr>
            <w:r w:rsidRPr="004E510B">
              <w:rPr>
                <w:bCs/>
                <w:color w:val="auto"/>
                <w:sz w:val="20"/>
                <w:szCs w:val="20"/>
              </w:rPr>
              <w:t>Coleta e destinação adequada para os resíduos especiais gerados.</w:t>
            </w:r>
          </w:p>
        </w:tc>
      </w:tr>
      <w:tr w:rsidR="00646530" w:rsidRPr="004E510B" w:rsidTr="00B94A15">
        <w:trPr>
          <w:trHeight w:val="225"/>
          <w:jc w:val="center"/>
        </w:trPr>
        <w:tc>
          <w:tcPr>
            <w:tcW w:w="4679" w:type="dxa"/>
            <w:tcBorders>
              <w:top w:val="single" w:sz="4" w:space="0" w:color="4F81BD"/>
              <w:left w:val="single" w:sz="4" w:space="0" w:color="4F81BD"/>
              <w:bottom w:val="single" w:sz="4" w:space="0" w:color="4F81BD"/>
              <w:right w:val="single" w:sz="4" w:space="0" w:color="4F81BD"/>
            </w:tcBorders>
            <w:shd w:val="clear" w:color="auto" w:fill="auto"/>
          </w:tcPr>
          <w:p w:rsidR="00646530" w:rsidRPr="004E510B" w:rsidRDefault="00646530" w:rsidP="00B94A15">
            <w:pPr>
              <w:pStyle w:val="Default"/>
              <w:spacing w:line="252" w:lineRule="auto"/>
              <w:contextualSpacing/>
              <w:jc w:val="both"/>
              <w:rPr>
                <w:bCs/>
                <w:color w:val="auto"/>
                <w:sz w:val="20"/>
                <w:szCs w:val="20"/>
              </w:rPr>
            </w:pPr>
            <w:r w:rsidRPr="004E510B">
              <w:rPr>
                <w:bCs/>
                <w:color w:val="auto"/>
                <w:sz w:val="20"/>
                <w:szCs w:val="20"/>
              </w:rPr>
              <w:t>Ausência e/ou desatualização de Planos de Contingência e Emergência.</w:t>
            </w:r>
          </w:p>
        </w:tc>
        <w:tc>
          <w:tcPr>
            <w:tcW w:w="4536" w:type="dxa"/>
            <w:tcBorders>
              <w:top w:val="single" w:sz="4" w:space="0" w:color="4F81BD"/>
              <w:left w:val="single" w:sz="4" w:space="0" w:color="4F81BD"/>
              <w:bottom w:val="single" w:sz="4" w:space="0" w:color="4F81BD"/>
              <w:right w:val="single" w:sz="4" w:space="0" w:color="auto"/>
            </w:tcBorders>
            <w:shd w:val="clear" w:color="auto" w:fill="auto"/>
          </w:tcPr>
          <w:p w:rsidR="00646530" w:rsidRPr="004E510B" w:rsidRDefault="00646530" w:rsidP="00B94A15">
            <w:pPr>
              <w:pStyle w:val="Default"/>
              <w:spacing w:line="252" w:lineRule="auto"/>
              <w:contextualSpacing/>
              <w:jc w:val="both"/>
              <w:rPr>
                <w:bCs/>
                <w:color w:val="auto"/>
                <w:sz w:val="20"/>
                <w:szCs w:val="20"/>
              </w:rPr>
            </w:pPr>
            <w:r w:rsidRPr="004E510B">
              <w:rPr>
                <w:bCs/>
                <w:color w:val="auto"/>
                <w:sz w:val="20"/>
                <w:szCs w:val="20"/>
              </w:rPr>
              <w:t>Existência de Planos de Contingência e Emergência que se adaptam à realidade local.</w:t>
            </w:r>
          </w:p>
        </w:tc>
      </w:tr>
    </w:tbl>
    <w:p w:rsidR="00646530" w:rsidRDefault="00646530" w:rsidP="002828C8">
      <w:pPr>
        <w:pStyle w:val="Ttulo3"/>
      </w:pPr>
      <w:bookmarkStart w:id="779" w:name="_Toc484422561"/>
      <w:bookmarkStart w:id="780" w:name="_Toc484532474"/>
      <w:bookmarkStart w:id="781" w:name="_Toc497469093"/>
      <w:r>
        <w:t>Objetivos e metas</w:t>
      </w:r>
      <w:bookmarkEnd w:id="779"/>
      <w:bookmarkEnd w:id="780"/>
      <w:bookmarkEnd w:id="781"/>
    </w:p>
    <w:p w:rsidR="00646530" w:rsidRPr="003E5F4C" w:rsidRDefault="00646530" w:rsidP="00646530">
      <w:pPr>
        <w:spacing w:before="120" w:after="120" w:line="324" w:lineRule="auto"/>
        <w:ind w:firstLine="709"/>
        <w:contextualSpacing/>
        <w:rPr>
          <w:rFonts w:cs="Arial"/>
          <w:szCs w:val="24"/>
          <w:lang w:eastAsia="pt-BR"/>
        </w:rPr>
      </w:pPr>
      <w:r w:rsidRPr="005706A5">
        <w:rPr>
          <w:rFonts w:cs="Arial"/>
          <w:szCs w:val="24"/>
          <w:lang w:eastAsia="pt-BR"/>
        </w:rPr>
        <w:t xml:space="preserve">Para o sistema de limpeza urbana e manejo de resíduos sólidos foram propostos sete objetivos específicos, de acordo com seus aspectos, com as características de </w:t>
      </w:r>
      <w:r>
        <w:rPr>
          <w:rFonts w:cs="Arial"/>
          <w:szCs w:val="24"/>
          <w:lang w:eastAsia="pt-BR"/>
        </w:rPr>
        <w:t>Córrego Novo</w:t>
      </w:r>
      <w:r w:rsidRPr="005706A5">
        <w:rPr>
          <w:rFonts w:cs="Arial"/>
          <w:szCs w:val="24"/>
          <w:lang w:eastAsia="pt-BR"/>
        </w:rPr>
        <w:t xml:space="preserve"> levantadas na etapa do diagnóstico técnico-participativo e com o cenário normativo como </w:t>
      </w:r>
      <w:r w:rsidRPr="00D41B5B">
        <w:rPr>
          <w:rFonts w:cs="Arial"/>
          <w:szCs w:val="24"/>
          <w:lang w:eastAsia="pt-BR"/>
        </w:rPr>
        <w:t xml:space="preserve">elemento norteador para </w:t>
      </w:r>
      <w:r w:rsidRPr="003E5F4C">
        <w:rPr>
          <w:rFonts w:cs="Arial"/>
          <w:szCs w:val="24"/>
          <w:lang w:eastAsia="pt-BR"/>
        </w:rPr>
        <w:t>o alcance das metas. Esses objetivos são descritos a seguir.</w:t>
      </w:r>
    </w:p>
    <w:p w:rsidR="00646530" w:rsidRPr="003E5F4C" w:rsidRDefault="00E0523A" w:rsidP="00A87269">
      <w:pPr>
        <w:pStyle w:val="PargrafodaLista"/>
        <w:numPr>
          <w:ilvl w:val="0"/>
          <w:numId w:val="29"/>
        </w:numPr>
        <w:ind w:left="2127" w:hanging="1560"/>
        <w:rPr>
          <w:b/>
          <w:bCs/>
          <w:szCs w:val="24"/>
        </w:rPr>
      </w:pPr>
      <w:r w:rsidRPr="00D774E9">
        <w:rPr>
          <w:b/>
          <w:bCs/>
          <w:szCs w:val="24"/>
        </w:rPr>
        <w:t>Atender com coleta convencional e seletiva a 100% do município, de forma ininterrupta</w:t>
      </w:r>
      <w:r w:rsidR="00646530" w:rsidRPr="003E5F4C">
        <w:rPr>
          <w:b/>
          <w:bCs/>
          <w:szCs w:val="24"/>
        </w:rPr>
        <w:t>.</w:t>
      </w:r>
    </w:p>
    <w:p w:rsidR="00646530" w:rsidRPr="003E5F4C" w:rsidRDefault="00646530" w:rsidP="00A87269">
      <w:pPr>
        <w:pStyle w:val="PargrafodaLista"/>
        <w:numPr>
          <w:ilvl w:val="0"/>
          <w:numId w:val="29"/>
        </w:numPr>
        <w:ind w:left="2127" w:hanging="1560"/>
        <w:rPr>
          <w:b/>
          <w:bCs/>
          <w:szCs w:val="24"/>
        </w:rPr>
      </w:pPr>
      <w:r w:rsidRPr="003E5F4C">
        <w:rPr>
          <w:b/>
          <w:bCs/>
          <w:szCs w:val="24"/>
        </w:rPr>
        <w:t>Ampliar e otimizar a cobertura dos serviços de limpeza urbana.</w:t>
      </w:r>
    </w:p>
    <w:p w:rsidR="00646530" w:rsidRPr="003E5F4C" w:rsidRDefault="00646530" w:rsidP="00A87269">
      <w:pPr>
        <w:pStyle w:val="PargrafodaLista"/>
        <w:numPr>
          <w:ilvl w:val="0"/>
          <w:numId w:val="29"/>
        </w:numPr>
        <w:ind w:left="2127" w:hanging="1560"/>
        <w:rPr>
          <w:b/>
          <w:bCs/>
          <w:szCs w:val="24"/>
        </w:rPr>
      </w:pPr>
      <w:r w:rsidRPr="003E5F4C">
        <w:rPr>
          <w:b/>
          <w:bCs/>
          <w:szCs w:val="24"/>
        </w:rPr>
        <w:t>Reduzir o envio de resíduos recicláveis e passíveis de compostagem ao local de disposição final (aterro sanitário).</w:t>
      </w:r>
    </w:p>
    <w:p w:rsidR="00646530" w:rsidRPr="003E5F4C" w:rsidRDefault="00646530" w:rsidP="00A87269">
      <w:pPr>
        <w:pStyle w:val="PargrafodaLista"/>
        <w:numPr>
          <w:ilvl w:val="0"/>
          <w:numId w:val="29"/>
        </w:numPr>
        <w:ind w:left="2127" w:hanging="1560"/>
        <w:rPr>
          <w:b/>
          <w:bCs/>
          <w:szCs w:val="24"/>
        </w:rPr>
      </w:pPr>
      <w:r w:rsidRPr="003E5F4C">
        <w:rPr>
          <w:b/>
          <w:bCs/>
          <w:szCs w:val="24"/>
        </w:rPr>
        <w:t>Implementar manejo de resíduos sólidos urbanos.</w:t>
      </w:r>
    </w:p>
    <w:p w:rsidR="00646530" w:rsidRPr="003E5F4C" w:rsidRDefault="00646530" w:rsidP="00A87269">
      <w:pPr>
        <w:pStyle w:val="PargrafodaLista"/>
        <w:numPr>
          <w:ilvl w:val="0"/>
          <w:numId w:val="29"/>
        </w:numPr>
        <w:ind w:left="2127" w:hanging="1560"/>
        <w:rPr>
          <w:b/>
          <w:bCs/>
          <w:szCs w:val="24"/>
        </w:rPr>
      </w:pPr>
      <w:r w:rsidRPr="003E5F4C">
        <w:rPr>
          <w:b/>
          <w:bCs/>
          <w:szCs w:val="24"/>
        </w:rPr>
        <w:lastRenderedPageBreak/>
        <w:t>Regulamentar procedimentos de Gestão Integrada de Resíduos Sólidos, a partir de legislação específica.</w:t>
      </w:r>
    </w:p>
    <w:p w:rsidR="00646530" w:rsidRPr="003E5F4C" w:rsidRDefault="00646530" w:rsidP="00A87269">
      <w:pPr>
        <w:pStyle w:val="PargrafodaLista"/>
        <w:numPr>
          <w:ilvl w:val="0"/>
          <w:numId w:val="29"/>
        </w:numPr>
        <w:ind w:left="2127" w:hanging="1560"/>
        <w:rPr>
          <w:b/>
          <w:bCs/>
          <w:szCs w:val="24"/>
        </w:rPr>
      </w:pPr>
      <w:r w:rsidRPr="003E5F4C">
        <w:rPr>
          <w:b/>
          <w:bCs/>
          <w:szCs w:val="24"/>
        </w:rPr>
        <w:t>Atender à legislação ambiental aplicável ao gerenciamento de resíduos sólidos.</w:t>
      </w:r>
    </w:p>
    <w:p w:rsidR="00646530" w:rsidRPr="003E5F4C" w:rsidRDefault="00646530" w:rsidP="00A87269">
      <w:pPr>
        <w:pStyle w:val="PargrafodaLista"/>
        <w:numPr>
          <w:ilvl w:val="0"/>
          <w:numId w:val="29"/>
        </w:numPr>
        <w:ind w:left="2127" w:hanging="1560"/>
        <w:rPr>
          <w:b/>
          <w:bCs/>
          <w:szCs w:val="24"/>
        </w:rPr>
      </w:pPr>
      <w:r w:rsidRPr="003E5F4C">
        <w:rPr>
          <w:b/>
          <w:bCs/>
          <w:szCs w:val="24"/>
        </w:rPr>
        <w:t>Garantir a mobilização social e canais de comunicação com a sociedade, além de promover ações para a avaliação periódica da percepção dos usuários e para a promoção de educação ambiental.</w:t>
      </w:r>
    </w:p>
    <w:p w:rsidR="00646530" w:rsidRPr="006F1904" w:rsidRDefault="00646530" w:rsidP="00646530">
      <w:pPr>
        <w:spacing w:before="120" w:after="120"/>
        <w:ind w:firstLine="708"/>
        <w:contextualSpacing/>
        <w:rPr>
          <w:rFonts w:cs="Arial"/>
          <w:szCs w:val="24"/>
          <w:lang w:eastAsia="pt-BR"/>
        </w:rPr>
      </w:pPr>
      <w:r w:rsidRPr="003E5F4C">
        <w:rPr>
          <w:rFonts w:cs="Arial"/>
          <w:szCs w:val="24"/>
          <w:lang w:eastAsia="pt-BR"/>
        </w:rPr>
        <w:t xml:space="preserve">A </w:t>
      </w:r>
      <w:r w:rsidRPr="003E5F4C">
        <w:rPr>
          <w:rFonts w:cs="Arial"/>
          <w:szCs w:val="24"/>
          <w:lang w:eastAsia="pt-BR"/>
        </w:rPr>
        <w:fldChar w:fldCharType="begin"/>
      </w:r>
      <w:r w:rsidRPr="003E5F4C">
        <w:rPr>
          <w:rFonts w:cs="Arial"/>
          <w:szCs w:val="24"/>
          <w:lang w:eastAsia="pt-BR"/>
        </w:rPr>
        <w:instrText xml:space="preserve"> REF _Ref484160502 \h  \* MERGEFORMAT </w:instrText>
      </w:r>
      <w:r w:rsidRPr="003E5F4C">
        <w:rPr>
          <w:rFonts w:cs="Arial"/>
          <w:szCs w:val="24"/>
          <w:lang w:eastAsia="pt-BR"/>
        </w:rPr>
      </w:r>
      <w:r w:rsidRPr="003E5F4C">
        <w:rPr>
          <w:rFonts w:cs="Arial"/>
          <w:szCs w:val="24"/>
          <w:lang w:eastAsia="pt-BR"/>
        </w:rPr>
        <w:fldChar w:fldCharType="separate"/>
      </w:r>
      <w:r w:rsidR="004D1D76" w:rsidRPr="004D1D76">
        <w:rPr>
          <w:rFonts w:cs="Arial"/>
          <w:szCs w:val="24"/>
          <w:lang w:eastAsia="pt-BR"/>
        </w:rPr>
        <w:t>Tabela 16</w:t>
      </w:r>
      <w:r w:rsidRPr="003E5F4C">
        <w:rPr>
          <w:rFonts w:cs="Arial"/>
          <w:szCs w:val="24"/>
          <w:lang w:eastAsia="pt-BR"/>
        </w:rPr>
        <w:fldChar w:fldCharType="end"/>
      </w:r>
      <w:r w:rsidRPr="003E5F4C">
        <w:rPr>
          <w:rFonts w:cs="Arial"/>
          <w:szCs w:val="24"/>
          <w:lang w:eastAsia="pt-BR"/>
        </w:rPr>
        <w:t xml:space="preserve"> apresenta os objetivos e as respectivas metas de forma sistematizada, relacionando-os com </w:t>
      </w:r>
      <w:r w:rsidRPr="006F1904">
        <w:rPr>
          <w:rFonts w:cs="Arial"/>
          <w:szCs w:val="24"/>
          <w:lang w:eastAsia="pt-BR"/>
        </w:rPr>
        <w:t>a situação atual do setor e com os prazos de cada meta.</w:t>
      </w:r>
    </w:p>
    <w:p w:rsidR="00646530" w:rsidRDefault="00646530" w:rsidP="00646530">
      <w:pPr>
        <w:rPr>
          <w:rFonts w:cs="Arial"/>
          <w:color w:val="FF0000"/>
          <w:szCs w:val="24"/>
          <w:lang w:eastAsia="pt-BR"/>
        </w:rPr>
        <w:sectPr w:rsidR="00646530" w:rsidSect="00B94A15">
          <w:footerReference w:type="default" r:id="rId76"/>
          <w:pgSz w:w="11906" w:h="16838"/>
          <w:pgMar w:top="1418" w:right="1134" w:bottom="1134" w:left="1134" w:header="709" w:footer="709" w:gutter="0"/>
          <w:cols w:space="708"/>
          <w:docGrid w:linePitch="360"/>
        </w:sectPr>
      </w:pPr>
    </w:p>
    <w:p w:rsidR="00646530" w:rsidRPr="00182A97" w:rsidRDefault="00646530" w:rsidP="00646530">
      <w:pPr>
        <w:pStyle w:val="Legenda"/>
        <w:rPr>
          <w:highlight w:val="yellow"/>
        </w:rPr>
      </w:pPr>
      <w:bookmarkStart w:id="782" w:name="_Ref484160502"/>
      <w:bookmarkStart w:id="783" w:name="_Toc484422576"/>
      <w:bookmarkStart w:id="784" w:name="_Toc484532489"/>
      <w:bookmarkStart w:id="785" w:name="_Toc497469218"/>
      <w:r>
        <w:lastRenderedPageBreak/>
        <w:t xml:space="preserve">Tabela </w:t>
      </w:r>
      <w:r w:rsidR="00D71C43">
        <w:fldChar w:fldCharType="begin"/>
      </w:r>
      <w:r w:rsidR="00D71C43">
        <w:instrText xml:space="preserve"> SEQ Tabela \* ARABIC </w:instrText>
      </w:r>
      <w:r w:rsidR="00D71C43">
        <w:fldChar w:fldCharType="separate"/>
      </w:r>
      <w:r w:rsidR="004D1D76">
        <w:rPr>
          <w:noProof/>
        </w:rPr>
        <w:t>16</w:t>
      </w:r>
      <w:r w:rsidR="00D71C43">
        <w:rPr>
          <w:noProof/>
        </w:rPr>
        <w:fldChar w:fldCharType="end"/>
      </w:r>
      <w:bookmarkEnd w:id="782"/>
      <w:r>
        <w:rPr>
          <w:lang w:val="pt-BR"/>
        </w:rPr>
        <w:t xml:space="preserve"> - </w:t>
      </w:r>
      <w:r>
        <w:t xml:space="preserve">Objetivos e </w:t>
      </w:r>
      <w:r>
        <w:rPr>
          <w:lang w:val="pt-BR"/>
        </w:rPr>
        <w:t>m</w:t>
      </w:r>
      <w:r>
        <w:t>etas do Sistema de Limpeza Urbana e Manejo de Resíduos Sólidos</w:t>
      </w:r>
      <w:bookmarkEnd w:id="783"/>
      <w:bookmarkEnd w:id="784"/>
      <w:bookmarkEnd w:id="785"/>
    </w:p>
    <w:tbl>
      <w:tblPr>
        <w:tblW w:w="0" w:type="auto"/>
        <w:jc w:val="center"/>
        <w:tblBorders>
          <w:top w:val="single" w:sz="4" w:space="0" w:color="1F497D" w:themeColor="text2"/>
          <w:bottom w:val="single" w:sz="4" w:space="0" w:color="1F497D" w:themeColor="text2"/>
          <w:insideH w:val="dashSmallGap" w:sz="4" w:space="0" w:color="1F497D" w:themeColor="text2"/>
          <w:insideV w:val="single" w:sz="4" w:space="0" w:color="1F497D" w:themeColor="text2"/>
        </w:tblBorders>
        <w:tblLook w:val="04A0" w:firstRow="1" w:lastRow="0" w:firstColumn="1" w:lastColumn="0" w:noHBand="0" w:noVBand="1"/>
      </w:tblPr>
      <w:tblGrid>
        <w:gridCol w:w="5733"/>
        <w:gridCol w:w="7854"/>
        <w:gridCol w:w="1199"/>
      </w:tblGrid>
      <w:tr w:rsidR="00646530" w:rsidRPr="00F75CE5" w:rsidTr="00B94A15">
        <w:trPr>
          <w:cantSplit/>
          <w:trHeight w:val="680"/>
          <w:tblHeader/>
          <w:jc w:val="center"/>
        </w:trPr>
        <w:tc>
          <w:tcPr>
            <w:tcW w:w="0" w:type="auto"/>
            <w:tcBorders>
              <w:top w:val="single" w:sz="4" w:space="0" w:color="1F497D" w:themeColor="text2"/>
              <w:left w:val="single" w:sz="4" w:space="0" w:color="1F497D" w:themeColor="text2"/>
              <w:bottom w:val="single" w:sz="4" w:space="0" w:color="1F497D" w:themeColor="text2"/>
              <w:right w:val="single" w:sz="4" w:space="0" w:color="1F497D" w:themeColor="text2"/>
            </w:tcBorders>
            <w:shd w:val="clear" w:color="auto" w:fill="4F81BD"/>
            <w:vAlign w:val="center"/>
            <w:hideMark/>
          </w:tcPr>
          <w:p w:rsidR="00646530" w:rsidRPr="00F75CE5" w:rsidRDefault="00646530" w:rsidP="00B94A15">
            <w:pPr>
              <w:autoSpaceDE w:val="0"/>
              <w:autoSpaceDN w:val="0"/>
              <w:adjustRightInd w:val="0"/>
              <w:spacing w:before="60" w:after="60" w:line="240" w:lineRule="auto"/>
              <w:jc w:val="center"/>
              <w:rPr>
                <w:rFonts w:eastAsia="Times New Roman" w:cs="Arial"/>
                <w:bCs/>
                <w:color w:val="FFFFFF"/>
                <w:sz w:val="20"/>
                <w:szCs w:val="20"/>
              </w:rPr>
            </w:pPr>
            <w:r w:rsidRPr="00F75CE5">
              <w:rPr>
                <w:rFonts w:eastAsia="Times New Roman" w:cs="Arial"/>
                <w:bCs/>
                <w:color w:val="FFFFFF"/>
                <w:sz w:val="20"/>
                <w:szCs w:val="20"/>
              </w:rPr>
              <w:t>Objetivo</w:t>
            </w:r>
          </w:p>
        </w:tc>
        <w:tc>
          <w:tcPr>
            <w:tcW w:w="0" w:type="auto"/>
            <w:tcBorders>
              <w:top w:val="single" w:sz="4" w:space="0" w:color="1F497D" w:themeColor="text2"/>
              <w:left w:val="single" w:sz="4" w:space="0" w:color="1F497D" w:themeColor="text2"/>
              <w:bottom w:val="single" w:sz="4" w:space="0" w:color="1F497D" w:themeColor="text2"/>
              <w:right w:val="single" w:sz="4" w:space="0" w:color="1F497D" w:themeColor="text2"/>
            </w:tcBorders>
            <w:shd w:val="clear" w:color="auto" w:fill="4F81BD"/>
            <w:vAlign w:val="center"/>
            <w:hideMark/>
          </w:tcPr>
          <w:p w:rsidR="00646530" w:rsidRPr="00F75CE5" w:rsidRDefault="00646530" w:rsidP="00B94A15">
            <w:pPr>
              <w:autoSpaceDE w:val="0"/>
              <w:autoSpaceDN w:val="0"/>
              <w:adjustRightInd w:val="0"/>
              <w:spacing w:before="60" w:after="60" w:line="240" w:lineRule="auto"/>
              <w:jc w:val="center"/>
              <w:rPr>
                <w:rFonts w:eastAsia="Times New Roman" w:cs="Arial"/>
                <w:b/>
                <w:bCs/>
                <w:color w:val="FFFFFF"/>
                <w:sz w:val="20"/>
                <w:szCs w:val="20"/>
              </w:rPr>
            </w:pPr>
            <w:r w:rsidRPr="00F75CE5">
              <w:rPr>
                <w:rFonts w:eastAsia="Times New Roman" w:cs="Arial"/>
                <w:b/>
                <w:bCs/>
                <w:color w:val="FFFFFF"/>
                <w:sz w:val="20"/>
                <w:szCs w:val="20"/>
              </w:rPr>
              <w:t>Metas</w:t>
            </w:r>
          </w:p>
        </w:tc>
        <w:tc>
          <w:tcPr>
            <w:tcW w:w="0" w:type="auto"/>
            <w:tcBorders>
              <w:top w:val="single" w:sz="4" w:space="0" w:color="1F497D" w:themeColor="text2"/>
              <w:left w:val="single" w:sz="4" w:space="0" w:color="1F497D" w:themeColor="text2"/>
              <w:bottom w:val="single" w:sz="4" w:space="0" w:color="1F497D" w:themeColor="text2"/>
              <w:right w:val="single" w:sz="4" w:space="0" w:color="1F497D" w:themeColor="text2"/>
            </w:tcBorders>
            <w:shd w:val="clear" w:color="auto" w:fill="4F81BD"/>
            <w:vAlign w:val="center"/>
            <w:hideMark/>
          </w:tcPr>
          <w:p w:rsidR="00646530" w:rsidRPr="00F75CE5" w:rsidRDefault="00646530" w:rsidP="00B94A15">
            <w:pPr>
              <w:autoSpaceDE w:val="0"/>
              <w:autoSpaceDN w:val="0"/>
              <w:adjustRightInd w:val="0"/>
              <w:spacing w:before="60" w:after="60" w:line="240" w:lineRule="auto"/>
              <w:jc w:val="center"/>
              <w:rPr>
                <w:rFonts w:eastAsia="Times New Roman" w:cs="Arial"/>
                <w:b/>
                <w:bCs/>
                <w:color w:val="FFFFFF"/>
                <w:sz w:val="20"/>
                <w:szCs w:val="20"/>
              </w:rPr>
            </w:pPr>
            <w:r>
              <w:rPr>
                <w:rFonts w:eastAsia="Times New Roman" w:cs="Arial"/>
                <w:b/>
                <w:bCs/>
                <w:color w:val="FFFFFF"/>
                <w:sz w:val="20"/>
                <w:szCs w:val="20"/>
              </w:rPr>
              <w:t>Prazo de entrega</w:t>
            </w:r>
          </w:p>
        </w:tc>
      </w:tr>
      <w:tr w:rsidR="00646530" w:rsidRPr="00F75CE5" w:rsidTr="00B94A15">
        <w:trPr>
          <w:cantSplit/>
          <w:trHeight w:val="737"/>
          <w:jc w:val="center"/>
        </w:trPr>
        <w:tc>
          <w:tcPr>
            <w:tcW w:w="0" w:type="auto"/>
            <w:vMerge w:val="restart"/>
            <w:tcBorders>
              <w:top w:val="single" w:sz="4" w:space="0" w:color="1F497D" w:themeColor="text2"/>
              <w:left w:val="nil"/>
              <w:bottom w:val="single" w:sz="4" w:space="0" w:color="1F497D" w:themeColor="text2"/>
              <w:right w:val="single" w:sz="4" w:space="0" w:color="1F497D" w:themeColor="text2"/>
            </w:tcBorders>
            <w:vAlign w:val="center"/>
            <w:hideMark/>
          </w:tcPr>
          <w:p w:rsidR="00646530" w:rsidRPr="00FC3829" w:rsidRDefault="00646530" w:rsidP="00B94A15">
            <w:pPr>
              <w:spacing w:before="60" w:after="60"/>
              <w:rPr>
                <w:rFonts w:cs="Arial"/>
                <w:bCs/>
                <w:sz w:val="20"/>
                <w:szCs w:val="20"/>
              </w:rPr>
            </w:pPr>
            <w:r w:rsidRPr="00F75CE5">
              <w:rPr>
                <w:rFonts w:eastAsia="Times New Roman" w:cs="Arial"/>
                <w:bCs/>
                <w:sz w:val="20"/>
                <w:szCs w:val="20"/>
              </w:rPr>
              <w:t>1</w:t>
            </w:r>
            <w:r w:rsidRPr="00FC3829">
              <w:rPr>
                <w:rFonts w:eastAsia="Times New Roman" w:cs="Arial"/>
                <w:bCs/>
                <w:sz w:val="20"/>
                <w:szCs w:val="20"/>
              </w:rPr>
              <w:t>. Atender com coleta convencional e seletiva a 100% do município, de forma ininterrupta.</w:t>
            </w:r>
          </w:p>
          <w:p w:rsidR="00646530" w:rsidRPr="00F75CE5" w:rsidRDefault="00646530" w:rsidP="00B94A15">
            <w:pPr>
              <w:spacing w:before="60" w:after="60" w:line="240" w:lineRule="auto"/>
              <w:rPr>
                <w:rFonts w:eastAsia="Times New Roman" w:cs="Arial"/>
                <w:bCs/>
                <w:sz w:val="20"/>
                <w:szCs w:val="20"/>
              </w:rPr>
            </w:pPr>
          </w:p>
        </w:tc>
        <w:tc>
          <w:tcPr>
            <w:tcW w:w="0" w:type="auto"/>
            <w:tcBorders>
              <w:top w:val="single" w:sz="4" w:space="0" w:color="1F497D" w:themeColor="text2"/>
              <w:left w:val="single" w:sz="4" w:space="0" w:color="1F497D" w:themeColor="text2"/>
              <w:bottom w:val="dashSmallGap" w:sz="4" w:space="0" w:color="1F497D" w:themeColor="text2"/>
              <w:right w:val="single" w:sz="4" w:space="0" w:color="1F497D" w:themeColor="text2"/>
            </w:tcBorders>
            <w:vAlign w:val="center"/>
            <w:hideMark/>
          </w:tcPr>
          <w:p w:rsidR="00646530" w:rsidRPr="00F75CE5" w:rsidRDefault="00646530" w:rsidP="00B94A15">
            <w:pPr>
              <w:spacing w:before="60" w:after="60" w:line="240" w:lineRule="auto"/>
              <w:rPr>
                <w:rFonts w:eastAsia="Times New Roman" w:cs="Arial"/>
                <w:bCs/>
                <w:sz w:val="20"/>
                <w:szCs w:val="20"/>
              </w:rPr>
            </w:pPr>
            <w:r w:rsidRPr="00F75CE5">
              <w:rPr>
                <w:rFonts w:eastAsia="Times New Roman" w:cs="Arial"/>
                <w:bCs/>
                <w:sz w:val="20"/>
                <w:szCs w:val="20"/>
              </w:rPr>
              <w:t xml:space="preserve">1.1. </w:t>
            </w:r>
            <w:r w:rsidRPr="00F75CE5">
              <w:rPr>
                <w:rFonts w:cs="Arial"/>
                <w:bCs/>
                <w:sz w:val="20"/>
                <w:szCs w:val="20"/>
              </w:rPr>
              <w:t>Manter a coleta</w:t>
            </w:r>
            <w:r>
              <w:rPr>
                <w:rFonts w:cs="Arial"/>
                <w:bCs/>
                <w:sz w:val="20"/>
                <w:szCs w:val="20"/>
              </w:rPr>
              <w:t xml:space="preserve"> regular na zona urbana em 100%.</w:t>
            </w:r>
          </w:p>
        </w:tc>
        <w:tc>
          <w:tcPr>
            <w:tcW w:w="0" w:type="auto"/>
            <w:tcBorders>
              <w:top w:val="single" w:sz="4" w:space="0" w:color="1F497D" w:themeColor="text2"/>
              <w:left w:val="single" w:sz="4" w:space="0" w:color="1F497D" w:themeColor="text2"/>
              <w:bottom w:val="dashSmallGap" w:sz="4" w:space="0" w:color="1F497D" w:themeColor="text2"/>
              <w:right w:val="nil"/>
            </w:tcBorders>
            <w:vAlign w:val="center"/>
            <w:hideMark/>
          </w:tcPr>
          <w:p w:rsidR="00646530" w:rsidRPr="00F75CE5" w:rsidRDefault="00646530" w:rsidP="00B94A15">
            <w:pPr>
              <w:spacing w:before="60" w:after="60" w:line="240" w:lineRule="auto"/>
              <w:jc w:val="center"/>
              <w:rPr>
                <w:rFonts w:eastAsia="Times New Roman" w:cs="Arial"/>
                <w:bCs/>
                <w:sz w:val="20"/>
                <w:szCs w:val="20"/>
              </w:rPr>
            </w:pPr>
            <w:r>
              <w:rPr>
                <w:rFonts w:eastAsia="Times New Roman" w:cs="Arial"/>
                <w:bCs/>
                <w:sz w:val="20"/>
                <w:szCs w:val="20"/>
              </w:rPr>
              <w:t>Imediato</w:t>
            </w:r>
          </w:p>
        </w:tc>
      </w:tr>
      <w:tr w:rsidR="00646530" w:rsidRPr="00F75CE5" w:rsidTr="00B94A15">
        <w:trPr>
          <w:cantSplit/>
          <w:trHeight w:val="737"/>
          <w:jc w:val="center"/>
        </w:trPr>
        <w:tc>
          <w:tcPr>
            <w:tcW w:w="0" w:type="auto"/>
            <w:vMerge/>
            <w:tcBorders>
              <w:top w:val="single" w:sz="4" w:space="0" w:color="1F497D" w:themeColor="text2"/>
              <w:left w:val="nil"/>
              <w:bottom w:val="single" w:sz="4" w:space="0" w:color="1F497D" w:themeColor="text2"/>
              <w:right w:val="single" w:sz="4" w:space="0" w:color="1F497D" w:themeColor="text2"/>
            </w:tcBorders>
            <w:vAlign w:val="center"/>
            <w:hideMark/>
          </w:tcPr>
          <w:p w:rsidR="00646530" w:rsidRPr="00F75CE5" w:rsidRDefault="00646530" w:rsidP="00B94A15">
            <w:pPr>
              <w:spacing w:line="240" w:lineRule="auto"/>
              <w:jc w:val="left"/>
              <w:rPr>
                <w:rFonts w:eastAsia="Times New Roman" w:cs="Arial"/>
                <w:bCs/>
                <w:sz w:val="20"/>
                <w:szCs w:val="20"/>
              </w:rPr>
            </w:pPr>
          </w:p>
        </w:tc>
        <w:tc>
          <w:tcPr>
            <w:tcW w:w="0" w:type="auto"/>
            <w:tcBorders>
              <w:top w:val="dashSmallGap" w:sz="4" w:space="0" w:color="1F497D" w:themeColor="text2"/>
              <w:left w:val="single" w:sz="4" w:space="0" w:color="1F497D" w:themeColor="text2"/>
              <w:bottom w:val="dashSmallGap" w:sz="4" w:space="0" w:color="1F497D" w:themeColor="text2"/>
              <w:right w:val="single" w:sz="4" w:space="0" w:color="1F497D" w:themeColor="text2"/>
            </w:tcBorders>
            <w:vAlign w:val="center"/>
            <w:hideMark/>
          </w:tcPr>
          <w:p w:rsidR="00646530" w:rsidRPr="00F75CE5" w:rsidRDefault="00646530" w:rsidP="00B94A15">
            <w:pPr>
              <w:spacing w:before="60" w:after="60"/>
              <w:rPr>
                <w:rFonts w:cs="Arial"/>
                <w:bCs/>
                <w:sz w:val="20"/>
                <w:szCs w:val="20"/>
              </w:rPr>
            </w:pPr>
            <w:r w:rsidRPr="00F75CE5">
              <w:rPr>
                <w:rFonts w:eastAsia="Times New Roman" w:cs="Arial"/>
                <w:bCs/>
                <w:sz w:val="20"/>
                <w:szCs w:val="20"/>
              </w:rPr>
              <w:t>1.2. Atender com coleta convencional a 100% dos domicílios da zona rural de forma ininterrupta.</w:t>
            </w:r>
          </w:p>
        </w:tc>
        <w:tc>
          <w:tcPr>
            <w:tcW w:w="0" w:type="auto"/>
            <w:tcBorders>
              <w:top w:val="dashSmallGap" w:sz="4" w:space="0" w:color="1F497D" w:themeColor="text2"/>
              <w:left w:val="single" w:sz="4" w:space="0" w:color="1F497D" w:themeColor="text2"/>
              <w:bottom w:val="dashSmallGap" w:sz="4" w:space="0" w:color="1F497D" w:themeColor="text2"/>
              <w:right w:val="nil"/>
            </w:tcBorders>
            <w:vAlign w:val="center"/>
            <w:hideMark/>
          </w:tcPr>
          <w:p w:rsidR="00646530" w:rsidRPr="00685949" w:rsidRDefault="003C4F7A" w:rsidP="00B94A15">
            <w:pPr>
              <w:spacing w:before="60" w:after="60" w:line="240" w:lineRule="auto"/>
              <w:jc w:val="center"/>
              <w:rPr>
                <w:rFonts w:eastAsia="Times New Roman" w:cs="Arial"/>
                <w:bCs/>
                <w:sz w:val="20"/>
                <w:szCs w:val="20"/>
              </w:rPr>
            </w:pPr>
            <w:r w:rsidRPr="00685949">
              <w:rPr>
                <w:rFonts w:eastAsia="Times New Roman" w:cs="Arial"/>
                <w:bCs/>
                <w:sz w:val="20"/>
                <w:szCs w:val="20"/>
              </w:rPr>
              <w:t>Médio</w:t>
            </w:r>
          </w:p>
        </w:tc>
      </w:tr>
      <w:tr w:rsidR="00646530" w:rsidRPr="00F75CE5" w:rsidTr="00B94A15">
        <w:trPr>
          <w:cantSplit/>
          <w:trHeight w:val="737"/>
          <w:jc w:val="center"/>
        </w:trPr>
        <w:tc>
          <w:tcPr>
            <w:tcW w:w="0" w:type="auto"/>
            <w:vMerge/>
            <w:tcBorders>
              <w:top w:val="single" w:sz="4" w:space="0" w:color="1F497D" w:themeColor="text2"/>
              <w:left w:val="nil"/>
              <w:bottom w:val="single" w:sz="4" w:space="0" w:color="1F497D" w:themeColor="text2"/>
              <w:right w:val="single" w:sz="4" w:space="0" w:color="1F497D" w:themeColor="text2"/>
            </w:tcBorders>
            <w:vAlign w:val="center"/>
            <w:hideMark/>
          </w:tcPr>
          <w:p w:rsidR="00646530" w:rsidRPr="00F75CE5" w:rsidRDefault="00646530" w:rsidP="00B94A15">
            <w:pPr>
              <w:spacing w:line="240" w:lineRule="auto"/>
              <w:jc w:val="left"/>
              <w:rPr>
                <w:rFonts w:eastAsia="Times New Roman" w:cs="Arial"/>
                <w:bCs/>
                <w:sz w:val="20"/>
                <w:szCs w:val="20"/>
              </w:rPr>
            </w:pPr>
          </w:p>
        </w:tc>
        <w:tc>
          <w:tcPr>
            <w:tcW w:w="0" w:type="auto"/>
            <w:tcBorders>
              <w:top w:val="dashSmallGap" w:sz="4" w:space="0" w:color="1F497D" w:themeColor="text2"/>
              <w:left w:val="single" w:sz="4" w:space="0" w:color="1F497D" w:themeColor="text2"/>
              <w:bottom w:val="dashSmallGap" w:sz="4" w:space="0" w:color="1F497D" w:themeColor="text2"/>
              <w:right w:val="single" w:sz="4" w:space="0" w:color="1F497D" w:themeColor="text2"/>
            </w:tcBorders>
            <w:vAlign w:val="center"/>
            <w:hideMark/>
          </w:tcPr>
          <w:p w:rsidR="00646530" w:rsidRPr="00F75CE5" w:rsidRDefault="00646530" w:rsidP="00B94A15">
            <w:pPr>
              <w:spacing w:before="60" w:after="60" w:line="240" w:lineRule="auto"/>
              <w:rPr>
                <w:rFonts w:eastAsia="Times New Roman" w:cs="Arial"/>
                <w:bCs/>
                <w:sz w:val="20"/>
                <w:szCs w:val="20"/>
              </w:rPr>
            </w:pPr>
            <w:r w:rsidRPr="00F75CE5">
              <w:rPr>
                <w:rFonts w:eastAsia="Times New Roman" w:cs="Arial"/>
                <w:bCs/>
                <w:sz w:val="20"/>
                <w:szCs w:val="20"/>
              </w:rPr>
              <w:t xml:space="preserve">1.3. Estruturar, formalizar e implementar a coleta seletiva, atingindo 100% </w:t>
            </w:r>
            <w:r>
              <w:rPr>
                <w:rFonts w:eastAsia="Times New Roman" w:cs="Arial"/>
                <w:bCs/>
                <w:sz w:val="20"/>
                <w:szCs w:val="20"/>
              </w:rPr>
              <w:t>do município.</w:t>
            </w:r>
          </w:p>
        </w:tc>
        <w:tc>
          <w:tcPr>
            <w:tcW w:w="0" w:type="auto"/>
            <w:tcBorders>
              <w:top w:val="dashSmallGap" w:sz="4" w:space="0" w:color="1F497D" w:themeColor="text2"/>
              <w:left w:val="single" w:sz="4" w:space="0" w:color="1F497D" w:themeColor="text2"/>
              <w:bottom w:val="dashSmallGap" w:sz="4" w:space="0" w:color="1F497D" w:themeColor="text2"/>
              <w:right w:val="nil"/>
            </w:tcBorders>
            <w:vAlign w:val="center"/>
            <w:hideMark/>
          </w:tcPr>
          <w:p w:rsidR="00646530" w:rsidRPr="00685949" w:rsidRDefault="003C4F7A" w:rsidP="00B94A15">
            <w:pPr>
              <w:spacing w:before="60" w:after="60" w:line="240" w:lineRule="auto"/>
              <w:jc w:val="center"/>
              <w:rPr>
                <w:rFonts w:eastAsia="Times New Roman" w:cs="Arial"/>
                <w:bCs/>
                <w:sz w:val="20"/>
                <w:szCs w:val="20"/>
              </w:rPr>
            </w:pPr>
            <w:r w:rsidRPr="00685949">
              <w:rPr>
                <w:rFonts w:eastAsia="Times New Roman" w:cs="Arial"/>
                <w:bCs/>
                <w:sz w:val="20"/>
                <w:szCs w:val="20"/>
              </w:rPr>
              <w:t>Curto</w:t>
            </w:r>
          </w:p>
        </w:tc>
      </w:tr>
      <w:tr w:rsidR="00646530" w:rsidRPr="00F75CE5" w:rsidTr="00B94A15">
        <w:trPr>
          <w:cantSplit/>
          <w:trHeight w:val="737"/>
          <w:jc w:val="center"/>
        </w:trPr>
        <w:tc>
          <w:tcPr>
            <w:tcW w:w="0" w:type="auto"/>
            <w:vMerge/>
            <w:tcBorders>
              <w:top w:val="single" w:sz="4" w:space="0" w:color="1F497D" w:themeColor="text2"/>
              <w:left w:val="nil"/>
              <w:bottom w:val="single" w:sz="4" w:space="0" w:color="1F497D" w:themeColor="text2"/>
              <w:right w:val="single" w:sz="4" w:space="0" w:color="1F497D" w:themeColor="text2"/>
            </w:tcBorders>
            <w:vAlign w:val="center"/>
            <w:hideMark/>
          </w:tcPr>
          <w:p w:rsidR="00646530" w:rsidRPr="00F75CE5" w:rsidRDefault="00646530" w:rsidP="00B94A15">
            <w:pPr>
              <w:spacing w:line="240" w:lineRule="auto"/>
              <w:jc w:val="left"/>
              <w:rPr>
                <w:rFonts w:eastAsia="Times New Roman" w:cs="Arial"/>
                <w:bCs/>
                <w:sz w:val="20"/>
                <w:szCs w:val="20"/>
              </w:rPr>
            </w:pPr>
          </w:p>
        </w:tc>
        <w:tc>
          <w:tcPr>
            <w:tcW w:w="0" w:type="auto"/>
            <w:tcBorders>
              <w:top w:val="dashSmallGap" w:sz="4" w:space="0" w:color="1F497D" w:themeColor="text2"/>
              <w:left w:val="single" w:sz="4" w:space="0" w:color="1F497D" w:themeColor="text2"/>
              <w:bottom w:val="single" w:sz="4" w:space="0" w:color="1F497D" w:themeColor="text2"/>
              <w:right w:val="single" w:sz="4" w:space="0" w:color="1F497D" w:themeColor="text2"/>
            </w:tcBorders>
            <w:vAlign w:val="center"/>
            <w:hideMark/>
          </w:tcPr>
          <w:p w:rsidR="00646530" w:rsidRPr="00F75CE5" w:rsidRDefault="00646530" w:rsidP="00B94A15">
            <w:pPr>
              <w:spacing w:before="60" w:after="60" w:line="240" w:lineRule="auto"/>
              <w:rPr>
                <w:rFonts w:eastAsia="Times New Roman" w:cs="Arial"/>
                <w:bCs/>
                <w:sz w:val="20"/>
                <w:szCs w:val="20"/>
              </w:rPr>
            </w:pPr>
            <w:r w:rsidRPr="00F75CE5">
              <w:rPr>
                <w:rFonts w:eastAsia="Times New Roman" w:cs="Arial"/>
                <w:bCs/>
                <w:sz w:val="20"/>
                <w:szCs w:val="20"/>
              </w:rPr>
              <w:t>1.4. Criar mecanismos para manutenção preventiva e corretiva e para armazenamento e recuperação de dados sobre os procedimentos realizados.</w:t>
            </w:r>
          </w:p>
        </w:tc>
        <w:tc>
          <w:tcPr>
            <w:tcW w:w="0" w:type="auto"/>
            <w:tcBorders>
              <w:top w:val="dashSmallGap" w:sz="4" w:space="0" w:color="1F497D" w:themeColor="text2"/>
              <w:left w:val="single" w:sz="4" w:space="0" w:color="1F497D" w:themeColor="text2"/>
              <w:bottom w:val="single" w:sz="4" w:space="0" w:color="1F497D" w:themeColor="text2"/>
              <w:right w:val="nil"/>
            </w:tcBorders>
            <w:vAlign w:val="center"/>
            <w:hideMark/>
          </w:tcPr>
          <w:p w:rsidR="00646530" w:rsidRPr="00685949" w:rsidRDefault="00646530" w:rsidP="00B94A15">
            <w:pPr>
              <w:spacing w:before="60" w:after="60" w:line="240" w:lineRule="auto"/>
              <w:jc w:val="center"/>
              <w:rPr>
                <w:rFonts w:eastAsia="Times New Roman" w:cs="Arial"/>
                <w:bCs/>
                <w:sz w:val="20"/>
                <w:szCs w:val="20"/>
              </w:rPr>
            </w:pPr>
            <w:r w:rsidRPr="00685949">
              <w:rPr>
                <w:rFonts w:eastAsia="Times New Roman" w:cs="Arial"/>
                <w:bCs/>
                <w:sz w:val="20"/>
                <w:szCs w:val="20"/>
              </w:rPr>
              <w:t>Médio</w:t>
            </w:r>
          </w:p>
        </w:tc>
      </w:tr>
      <w:tr w:rsidR="00646530" w:rsidRPr="00F75CE5" w:rsidTr="00B94A15">
        <w:trPr>
          <w:cantSplit/>
          <w:trHeight w:val="737"/>
          <w:jc w:val="center"/>
        </w:trPr>
        <w:tc>
          <w:tcPr>
            <w:tcW w:w="0" w:type="auto"/>
            <w:vMerge w:val="restart"/>
            <w:tcBorders>
              <w:top w:val="single" w:sz="4" w:space="0" w:color="1F497D" w:themeColor="text2"/>
              <w:left w:val="nil"/>
              <w:bottom w:val="single" w:sz="4" w:space="0" w:color="1F497D" w:themeColor="text2"/>
              <w:right w:val="single" w:sz="4" w:space="0" w:color="1F497D" w:themeColor="text2"/>
            </w:tcBorders>
            <w:vAlign w:val="center"/>
            <w:hideMark/>
          </w:tcPr>
          <w:p w:rsidR="00646530" w:rsidRPr="00F75CE5" w:rsidRDefault="00646530" w:rsidP="00B94A15">
            <w:pPr>
              <w:spacing w:before="60" w:after="60" w:line="240" w:lineRule="auto"/>
              <w:rPr>
                <w:rFonts w:eastAsia="Times New Roman" w:cs="Arial"/>
                <w:bCs/>
                <w:sz w:val="20"/>
                <w:szCs w:val="20"/>
              </w:rPr>
            </w:pPr>
            <w:r w:rsidRPr="00F75CE5">
              <w:rPr>
                <w:rFonts w:eastAsia="Times New Roman" w:cs="Arial"/>
                <w:bCs/>
                <w:sz w:val="20"/>
                <w:szCs w:val="20"/>
              </w:rPr>
              <w:t>2. Ampliar e otimizar a cobertura dos serviços de limpeza urbana.</w:t>
            </w:r>
          </w:p>
        </w:tc>
        <w:tc>
          <w:tcPr>
            <w:tcW w:w="0" w:type="auto"/>
            <w:tcBorders>
              <w:top w:val="single" w:sz="4" w:space="0" w:color="1F497D" w:themeColor="text2"/>
              <w:left w:val="single" w:sz="4" w:space="0" w:color="1F497D" w:themeColor="text2"/>
              <w:bottom w:val="dashSmallGap" w:sz="4" w:space="0" w:color="1F497D" w:themeColor="text2"/>
              <w:right w:val="single" w:sz="4" w:space="0" w:color="1F497D" w:themeColor="text2"/>
            </w:tcBorders>
            <w:vAlign w:val="center"/>
            <w:hideMark/>
          </w:tcPr>
          <w:p w:rsidR="00646530" w:rsidRPr="00F75CE5" w:rsidRDefault="00646530" w:rsidP="00B94A15">
            <w:pPr>
              <w:spacing w:before="60" w:after="60" w:line="240" w:lineRule="auto"/>
              <w:rPr>
                <w:rFonts w:eastAsia="Times New Roman" w:cs="Arial"/>
                <w:bCs/>
                <w:sz w:val="20"/>
                <w:szCs w:val="20"/>
              </w:rPr>
            </w:pPr>
            <w:r w:rsidRPr="00F75CE5">
              <w:rPr>
                <w:rFonts w:eastAsia="Times New Roman" w:cs="Arial"/>
                <w:bCs/>
                <w:sz w:val="20"/>
                <w:szCs w:val="20"/>
              </w:rPr>
              <w:t>2.1. Executar serviços de varrição, poda, capina, roçagem e raspage</w:t>
            </w:r>
            <w:r>
              <w:rPr>
                <w:rFonts w:eastAsia="Times New Roman" w:cs="Arial"/>
                <w:bCs/>
                <w:sz w:val="20"/>
                <w:szCs w:val="20"/>
              </w:rPr>
              <w:t>m em 100% das áreas públicas das</w:t>
            </w:r>
            <w:r w:rsidRPr="00F75CE5">
              <w:rPr>
                <w:rFonts w:eastAsia="Times New Roman" w:cs="Arial"/>
                <w:bCs/>
                <w:sz w:val="20"/>
                <w:szCs w:val="20"/>
              </w:rPr>
              <w:t xml:space="preserve"> zonas urbanas passíveis dos serviços.</w:t>
            </w:r>
          </w:p>
        </w:tc>
        <w:tc>
          <w:tcPr>
            <w:tcW w:w="0" w:type="auto"/>
            <w:tcBorders>
              <w:top w:val="single" w:sz="4" w:space="0" w:color="1F497D" w:themeColor="text2"/>
              <w:left w:val="single" w:sz="4" w:space="0" w:color="1F497D" w:themeColor="text2"/>
              <w:bottom w:val="dashSmallGap" w:sz="4" w:space="0" w:color="1F497D" w:themeColor="text2"/>
              <w:right w:val="nil"/>
            </w:tcBorders>
            <w:vAlign w:val="center"/>
            <w:hideMark/>
          </w:tcPr>
          <w:p w:rsidR="00646530" w:rsidRPr="00685949" w:rsidRDefault="00646530" w:rsidP="00B94A15">
            <w:pPr>
              <w:spacing w:before="60" w:after="60" w:line="240" w:lineRule="auto"/>
              <w:jc w:val="center"/>
              <w:rPr>
                <w:rFonts w:eastAsia="Times New Roman" w:cs="Arial"/>
                <w:bCs/>
                <w:sz w:val="20"/>
                <w:szCs w:val="20"/>
              </w:rPr>
            </w:pPr>
            <w:r w:rsidRPr="00685949">
              <w:rPr>
                <w:rFonts w:eastAsia="Times New Roman" w:cs="Arial"/>
                <w:bCs/>
                <w:sz w:val="20"/>
                <w:szCs w:val="20"/>
              </w:rPr>
              <w:t xml:space="preserve">Imediato </w:t>
            </w:r>
          </w:p>
        </w:tc>
      </w:tr>
      <w:tr w:rsidR="00646530" w:rsidRPr="00F75CE5" w:rsidTr="00B94A15">
        <w:trPr>
          <w:cantSplit/>
          <w:trHeight w:val="737"/>
          <w:jc w:val="center"/>
        </w:trPr>
        <w:tc>
          <w:tcPr>
            <w:tcW w:w="0" w:type="auto"/>
            <w:vMerge/>
            <w:tcBorders>
              <w:top w:val="single" w:sz="4" w:space="0" w:color="1F497D" w:themeColor="text2"/>
              <w:left w:val="nil"/>
              <w:bottom w:val="single" w:sz="4" w:space="0" w:color="1F497D" w:themeColor="text2"/>
              <w:right w:val="single" w:sz="4" w:space="0" w:color="1F497D" w:themeColor="text2"/>
            </w:tcBorders>
            <w:vAlign w:val="center"/>
            <w:hideMark/>
          </w:tcPr>
          <w:p w:rsidR="00646530" w:rsidRPr="00F75CE5" w:rsidRDefault="00646530" w:rsidP="00B94A15">
            <w:pPr>
              <w:spacing w:line="240" w:lineRule="auto"/>
              <w:jc w:val="left"/>
              <w:rPr>
                <w:rFonts w:eastAsia="Times New Roman" w:cs="Arial"/>
                <w:bCs/>
                <w:sz w:val="20"/>
                <w:szCs w:val="20"/>
              </w:rPr>
            </w:pPr>
          </w:p>
        </w:tc>
        <w:tc>
          <w:tcPr>
            <w:tcW w:w="0" w:type="auto"/>
            <w:tcBorders>
              <w:top w:val="dashSmallGap" w:sz="4" w:space="0" w:color="1F497D" w:themeColor="text2"/>
              <w:left w:val="single" w:sz="4" w:space="0" w:color="1F497D" w:themeColor="text2"/>
              <w:bottom w:val="dashSmallGap" w:sz="4" w:space="0" w:color="1F497D" w:themeColor="text2"/>
              <w:right w:val="single" w:sz="4" w:space="0" w:color="1F497D" w:themeColor="text2"/>
            </w:tcBorders>
            <w:vAlign w:val="center"/>
            <w:hideMark/>
          </w:tcPr>
          <w:p w:rsidR="00646530" w:rsidRPr="00F75CE5" w:rsidRDefault="00646530" w:rsidP="00B94A15">
            <w:pPr>
              <w:spacing w:before="60" w:after="60" w:line="240" w:lineRule="auto"/>
              <w:rPr>
                <w:rFonts w:eastAsia="Times New Roman" w:cs="Arial"/>
                <w:bCs/>
                <w:sz w:val="20"/>
                <w:szCs w:val="20"/>
              </w:rPr>
            </w:pPr>
            <w:r w:rsidRPr="00F75CE5">
              <w:rPr>
                <w:rFonts w:eastAsia="Times New Roman" w:cs="Arial"/>
                <w:bCs/>
                <w:sz w:val="20"/>
                <w:szCs w:val="20"/>
              </w:rPr>
              <w:t>2.2. Estabelecer sistematização e periodicidade dos serviços de forma a garantir a limpeza da cidade.</w:t>
            </w:r>
          </w:p>
        </w:tc>
        <w:tc>
          <w:tcPr>
            <w:tcW w:w="0" w:type="auto"/>
            <w:tcBorders>
              <w:top w:val="dashSmallGap" w:sz="4" w:space="0" w:color="1F497D" w:themeColor="text2"/>
              <w:left w:val="single" w:sz="4" w:space="0" w:color="1F497D" w:themeColor="text2"/>
              <w:bottom w:val="dashSmallGap" w:sz="4" w:space="0" w:color="1F497D" w:themeColor="text2"/>
              <w:right w:val="nil"/>
            </w:tcBorders>
            <w:vAlign w:val="center"/>
            <w:hideMark/>
          </w:tcPr>
          <w:p w:rsidR="00646530" w:rsidRPr="00685949" w:rsidRDefault="003C4F7A" w:rsidP="00B94A15">
            <w:pPr>
              <w:spacing w:before="60" w:after="60" w:line="240" w:lineRule="auto"/>
              <w:jc w:val="center"/>
              <w:rPr>
                <w:rFonts w:eastAsia="Times New Roman" w:cs="Arial"/>
                <w:bCs/>
                <w:sz w:val="20"/>
                <w:szCs w:val="20"/>
              </w:rPr>
            </w:pPr>
            <w:r w:rsidRPr="00685949">
              <w:rPr>
                <w:rFonts w:eastAsia="Times New Roman" w:cs="Arial"/>
                <w:bCs/>
                <w:sz w:val="20"/>
                <w:szCs w:val="20"/>
              </w:rPr>
              <w:t>Imediato</w:t>
            </w:r>
          </w:p>
        </w:tc>
      </w:tr>
      <w:tr w:rsidR="00646530" w:rsidRPr="00F75CE5" w:rsidTr="00B94A15">
        <w:trPr>
          <w:cantSplit/>
          <w:trHeight w:val="737"/>
          <w:jc w:val="center"/>
        </w:trPr>
        <w:tc>
          <w:tcPr>
            <w:tcW w:w="0" w:type="auto"/>
            <w:vMerge w:val="restart"/>
            <w:tcBorders>
              <w:top w:val="single" w:sz="4" w:space="0" w:color="1F497D" w:themeColor="text2"/>
              <w:left w:val="nil"/>
              <w:bottom w:val="single" w:sz="4" w:space="0" w:color="1F497D" w:themeColor="text2"/>
              <w:right w:val="single" w:sz="4" w:space="0" w:color="1F497D" w:themeColor="text2"/>
            </w:tcBorders>
            <w:vAlign w:val="center"/>
            <w:hideMark/>
          </w:tcPr>
          <w:p w:rsidR="00646530" w:rsidRPr="00F75CE5" w:rsidRDefault="00646530" w:rsidP="00B94A15">
            <w:pPr>
              <w:spacing w:before="60" w:after="60" w:line="240" w:lineRule="auto"/>
              <w:rPr>
                <w:rFonts w:eastAsia="Times New Roman" w:cs="Arial"/>
                <w:bCs/>
                <w:sz w:val="20"/>
                <w:szCs w:val="20"/>
              </w:rPr>
            </w:pPr>
            <w:r w:rsidRPr="00F75CE5">
              <w:rPr>
                <w:rFonts w:eastAsia="Times New Roman" w:cs="Arial"/>
                <w:bCs/>
                <w:sz w:val="20"/>
                <w:szCs w:val="20"/>
              </w:rPr>
              <w:t>3. Reduzir o envio de resíduos recicláveis e passíveis de compostagem ao local de disposição final (aterro sanitário).</w:t>
            </w:r>
          </w:p>
        </w:tc>
        <w:tc>
          <w:tcPr>
            <w:tcW w:w="0" w:type="auto"/>
            <w:tcBorders>
              <w:top w:val="single" w:sz="4" w:space="0" w:color="1F497D" w:themeColor="text2"/>
              <w:left w:val="single" w:sz="4" w:space="0" w:color="1F497D" w:themeColor="text2"/>
              <w:bottom w:val="dashSmallGap" w:sz="4" w:space="0" w:color="1F497D" w:themeColor="text2"/>
              <w:right w:val="single" w:sz="4" w:space="0" w:color="1F497D" w:themeColor="text2"/>
            </w:tcBorders>
            <w:vAlign w:val="center"/>
            <w:hideMark/>
          </w:tcPr>
          <w:p w:rsidR="00646530" w:rsidRPr="00F75CE5" w:rsidRDefault="00646530" w:rsidP="00B94A15">
            <w:pPr>
              <w:spacing w:before="60" w:after="60" w:line="240" w:lineRule="auto"/>
              <w:rPr>
                <w:rFonts w:eastAsia="Times New Roman" w:cs="Arial"/>
                <w:bCs/>
                <w:sz w:val="20"/>
                <w:szCs w:val="20"/>
              </w:rPr>
            </w:pPr>
            <w:r w:rsidRPr="00F75CE5">
              <w:rPr>
                <w:rFonts w:eastAsia="Times New Roman" w:cs="Arial"/>
                <w:bCs/>
                <w:sz w:val="20"/>
                <w:szCs w:val="20"/>
              </w:rPr>
              <w:t>3.1. Instituir campanhas periódicas de sensibilização ambiental para separação de resíduos sólidos.</w:t>
            </w:r>
          </w:p>
        </w:tc>
        <w:tc>
          <w:tcPr>
            <w:tcW w:w="0" w:type="auto"/>
            <w:tcBorders>
              <w:top w:val="single" w:sz="4" w:space="0" w:color="1F497D" w:themeColor="text2"/>
              <w:left w:val="single" w:sz="4" w:space="0" w:color="1F497D" w:themeColor="text2"/>
              <w:bottom w:val="dashSmallGap" w:sz="4" w:space="0" w:color="1F497D" w:themeColor="text2"/>
              <w:right w:val="nil"/>
            </w:tcBorders>
            <w:vAlign w:val="center"/>
            <w:hideMark/>
          </w:tcPr>
          <w:p w:rsidR="00646530" w:rsidRPr="00685949" w:rsidRDefault="00646530" w:rsidP="00B94A15">
            <w:pPr>
              <w:spacing w:before="60" w:after="60" w:line="240" w:lineRule="auto"/>
              <w:jc w:val="center"/>
              <w:rPr>
                <w:rFonts w:eastAsia="Times New Roman" w:cs="Arial"/>
                <w:bCs/>
                <w:sz w:val="20"/>
                <w:szCs w:val="20"/>
              </w:rPr>
            </w:pPr>
            <w:r w:rsidRPr="00685949">
              <w:rPr>
                <w:rFonts w:eastAsia="Times New Roman" w:cs="Arial"/>
                <w:bCs/>
                <w:sz w:val="20"/>
                <w:szCs w:val="20"/>
              </w:rPr>
              <w:t>Imediato</w:t>
            </w:r>
          </w:p>
        </w:tc>
      </w:tr>
      <w:tr w:rsidR="00646530" w:rsidRPr="00F75CE5" w:rsidTr="00B94A15">
        <w:trPr>
          <w:cantSplit/>
          <w:trHeight w:val="737"/>
          <w:jc w:val="center"/>
        </w:trPr>
        <w:tc>
          <w:tcPr>
            <w:tcW w:w="0" w:type="auto"/>
            <w:vMerge/>
            <w:tcBorders>
              <w:top w:val="single" w:sz="4" w:space="0" w:color="1F497D" w:themeColor="text2"/>
              <w:left w:val="nil"/>
              <w:bottom w:val="single" w:sz="4" w:space="0" w:color="1F497D" w:themeColor="text2"/>
              <w:right w:val="single" w:sz="4" w:space="0" w:color="1F497D" w:themeColor="text2"/>
            </w:tcBorders>
            <w:vAlign w:val="center"/>
            <w:hideMark/>
          </w:tcPr>
          <w:p w:rsidR="00646530" w:rsidRPr="00F75CE5" w:rsidRDefault="00646530" w:rsidP="00B94A15">
            <w:pPr>
              <w:spacing w:line="240" w:lineRule="auto"/>
              <w:jc w:val="left"/>
              <w:rPr>
                <w:rFonts w:eastAsia="Times New Roman" w:cs="Arial"/>
                <w:bCs/>
                <w:sz w:val="20"/>
                <w:szCs w:val="20"/>
              </w:rPr>
            </w:pPr>
          </w:p>
        </w:tc>
        <w:tc>
          <w:tcPr>
            <w:tcW w:w="0" w:type="auto"/>
            <w:tcBorders>
              <w:top w:val="dashSmallGap" w:sz="4" w:space="0" w:color="1F497D" w:themeColor="text2"/>
              <w:left w:val="single" w:sz="4" w:space="0" w:color="1F497D" w:themeColor="text2"/>
              <w:bottom w:val="dashSmallGap" w:sz="4" w:space="0" w:color="1F497D" w:themeColor="text2"/>
              <w:right w:val="single" w:sz="4" w:space="0" w:color="1F497D" w:themeColor="text2"/>
            </w:tcBorders>
            <w:vAlign w:val="center"/>
            <w:hideMark/>
          </w:tcPr>
          <w:p w:rsidR="00646530" w:rsidRPr="00F75CE5" w:rsidRDefault="00646530" w:rsidP="00B94A15">
            <w:pPr>
              <w:spacing w:before="60" w:after="60" w:line="240" w:lineRule="auto"/>
              <w:rPr>
                <w:rFonts w:eastAsia="Times New Roman" w:cs="Arial"/>
                <w:bCs/>
                <w:sz w:val="20"/>
                <w:szCs w:val="20"/>
              </w:rPr>
            </w:pPr>
            <w:r w:rsidRPr="00F75CE5">
              <w:rPr>
                <w:rFonts w:eastAsia="Times New Roman" w:cs="Arial"/>
                <w:bCs/>
                <w:sz w:val="20"/>
                <w:szCs w:val="20"/>
              </w:rPr>
              <w:t>3.2. Aumentar taxa de reaproveitamento de materiais recicláveis e compostáveis para 70%.</w:t>
            </w:r>
          </w:p>
        </w:tc>
        <w:tc>
          <w:tcPr>
            <w:tcW w:w="0" w:type="auto"/>
            <w:tcBorders>
              <w:top w:val="dashSmallGap" w:sz="4" w:space="0" w:color="1F497D" w:themeColor="text2"/>
              <w:left w:val="single" w:sz="4" w:space="0" w:color="1F497D" w:themeColor="text2"/>
              <w:bottom w:val="dashSmallGap" w:sz="4" w:space="0" w:color="1F497D" w:themeColor="text2"/>
              <w:right w:val="nil"/>
            </w:tcBorders>
            <w:vAlign w:val="center"/>
            <w:hideMark/>
          </w:tcPr>
          <w:p w:rsidR="00646530" w:rsidRPr="00685949" w:rsidRDefault="00646530" w:rsidP="00B94A15">
            <w:pPr>
              <w:spacing w:before="60" w:after="60" w:line="240" w:lineRule="auto"/>
              <w:jc w:val="center"/>
              <w:rPr>
                <w:rFonts w:eastAsia="Times New Roman" w:cs="Arial"/>
                <w:bCs/>
                <w:sz w:val="20"/>
                <w:szCs w:val="20"/>
              </w:rPr>
            </w:pPr>
            <w:r w:rsidRPr="00685949">
              <w:rPr>
                <w:rFonts w:eastAsia="Times New Roman" w:cs="Arial"/>
                <w:bCs/>
                <w:sz w:val="20"/>
                <w:szCs w:val="20"/>
              </w:rPr>
              <w:t>Médio</w:t>
            </w:r>
          </w:p>
        </w:tc>
      </w:tr>
      <w:tr w:rsidR="00646530" w:rsidRPr="000012B7" w:rsidTr="00B94A15">
        <w:trPr>
          <w:cantSplit/>
          <w:trHeight w:val="737"/>
          <w:jc w:val="center"/>
        </w:trPr>
        <w:tc>
          <w:tcPr>
            <w:tcW w:w="0" w:type="auto"/>
            <w:vMerge/>
            <w:tcBorders>
              <w:top w:val="single" w:sz="4" w:space="0" w:color="1F497D" w:themeColor="text2"/>
              <w:left w:val="nil"/>
              <w:bottom w:val="single" w:sz="4" w:space="0" w:color="1F497D" w:themeColor="text2"/>
              <w:right w:val="single" w:sz="4" w:space="0" w:color="1F497D" w:themeColor="text2"/>
            </w:tcBorders>
            <w:vAlign w:val="center"/>
            <w:hideMark/>
          </w:tcPr>
          <w:p w:rsidR="00646530" w:rsidRPr="00F75CE5" w:rsidRDefault="00646530" w:rsidP="00B94A15">
            <w:pPr>
              <w:spacing w:line="240" w:lineRule="auto"/>
              <w:jc w:val="left"/>
              <w:rPr>
                <w:rFonts w:eastAsia="Times New Roman" w:cs="Arial"/>
                <w:bCs/>
                <w:sz w:val="20"/>
                <w:szCs w:val="20"/>
              </w:rPr>
            </w:pPr>
          </w:p>
        </w:tc>
        <w:tc>
          <w:tcPr>
            <w:tcW w:w="0" w:type="auto"/>
            <w:tcBorders>
              <w:top w:val="dashSmallGap" w:sz="4" w:space="0" w:color="1F497D" w:themeColor="text2"/>
              <w:left w:val="single" w:sz="4" w:space="0" w:color="1F497D" w:themeColor="text2"/>
              <w:bottom w:val="single" w:sz="4" w:space="0" w:color="1F497D" w:themeColor="text2"/>
              <w:right w:val="single" w:sz="4" w:space="0" w:color="1F497D" w:themeColor="text2"/>
            </w:tcBorders>
            <w:vAlign w:val="center"/>
            <w:hideMark/>
          </w:tcPr>
          <w:p w:rsidR="00646530" w:rsidRPr="00F75CE5" w:rsidRDefault="00646530" w:rsidP="00B94A15">
            <w:pPr>
              <w:spacing w:before="60" w:after="60" w:line="240" w:lineRule="auto"/>
              <w:rPr>
                <w:rFonts w:eastAsia="Times New Roman" w:cs="Arial"/>
                <w:bCs/>
                <w:sz w:val="20"/>
                <w:szCs w:val="20"/>
              </w:rPr>
            </w:pPr>
            <w:r w:rsidRPr="00F75CE5">
              <w:rPr>
                <w:rFonts w:eastAsia="Times New Roman" w:cs="Arial"/>
                <w:bCs/>
                <w:sz w:val="20"/>
                <w:szCs w:val="20"/>
              </w:rPr>
              <w:t>3.3. Atingir e manter total aproveitamento de materiais recicláveis e compostáveis.</w:t>
            </w:r>
          </w:p>
        </w:tc>
        <w:tc>
          <w:tcPr>
            <w:tcW w:w="0" w:type="auto"/>
            <w:tcBorders>
              <w:top w:val="dashSmallGap" w:sz="4" w:space="0" w:color="1F497D" w:themeColor="text2"/>
              <w:left w:val="single" w:sz="4" w:space="0" w:color="1F497D" w:themeColor="text2"/>
              <w:bottom w:val="single" w:sz="4" w:space="0" w:color="1F497D" w:themeColor="text2"/>
              <w:right w:val="nil"/>
            </w:tcBorders>
            <w:vAlign w:val="center"/>
            <w:hideMark/>
          </w:tcPr>
          <w:p w:rsidR="00646530" w:rsidRPr="00685949" w:rsidRDefault="00646530" w:rsidP="00B94A15">
            <w:pPr>
              <w:spacing w:before="60" w:after="60" w:line="240" w:lineRule="auto"/>
              <w:jc w:val="center"/>
              <w:rPr>
                <w:rFonts w:eastAsia="Times New Roman" w:cs="Arial"/>
                <w:bCs/>
                <w:sz w:val="20"/>
                <w:szCs w:val="20"/>
              </w:rPr>
            </w:pPr>
            <w:r w:rsidRPr="00685949">
              <w:rPr>
                <w:rFonts w:eastAsia="Times New Roman" w:cs="Arial"/>
                <w:bCs/>
                <w:sz w:val="20"/>
                <w:szCs w:val="20"/>
              </w:rPr>
              <w:t>Longo</w:t>
            </w:r>
          </w:p>
        </w:tc>
      </w:tr>
      <w:tr w:rsidR="00646530" w:rsidRPr="00F75CE5" w:rsidTr="00665BBB">
        <w:trPr>
          <w:cantSplit/>
          <w:trHeight w:val="454"/>
          <w:jc w:val="center"/>
        </w:trPr>
        <w:tc>
          <w:tcPr>
            <w:tcW w:w="0" w:type="auto"/>
            <w:vMerge w:val="restart"/>
            <w:tcBorders>
              <w:top w:val="dashSmallGap" w:sz="4" w:space="0" w:color="1F497D" w:themeColor="text2"/>
              <w:left w:val="nil"/>
              <w:bottom w:val="single" w:sz="4" w:space="0" w:color="1F497D" w:themeColor="text2"/>
              <w:right w:val="single" w:sz="4" w:space="0" w:color="1F497D" w:themeColor="text2"/>
            </w:tcBorders>
            <w:vAlign w:val="center"/>
            <w:hideMark/>
          </w:tcPr>
          <w:p w:rsidR="00646530" w:rsidRPr="00F75CE5" w:rsidRDefault="00646530" w:rsidP="00B94A15">
            <w:pPr>
              <w:spacing w:before="60" w:after="60" w:line="240" w:lineRule="auto"/>
              <w:rPr>
                <w:rFonts w:eastAsia="Times New Roman" w:cs="Arial"/>
                <w:bCs/>
                <w:sz w:val="20"/>
                <w:szCs w:val="20"/>
              </w:rPr>
            </w:pPr>
            <w:r w:rsidRPr="00F75CE5">
              <w:rPr>
                <w:rFonts w:eastAsia="Times New Roman" w:cs="Arial"/>
                <w:bCs/>
                <w:sz w:val="20"/>
                <w:szCs w:val="20"/>
              </w:rPr>
              <w:lastRenderedPageBreak/>
              <w:t>4. Implementar manejo de resíduos sólidos urbanos.</w:t>
            </w:r>
          </w:p>
        </w:tc>
        <w:tc>
          <w:tcPr>
            <w:tcW w:w="0" w:type="auto"/>
            <w:tcBorders>
              <w:top w:val="dashSmallGap" w:sz="4" w:space="0" w:color="1F497D" w:themeColor="text2"/>
              <w:left w:val="single" w:sz="4" w:space="0" w:color="1F497D" w:themeColor="text2"/>
              <w:bottom w:val="dashSmallGap" w:sz="4" w:space="0" w:color="1F497D" w:themeColor="text2"/>
              <w:right w:val="single" w:sz="4" w:space="0" w:color="1F497D" w:themeColor="text2"/>
            </w:tcBorders>
            <w:vAlign w:val="center"/>
            <w:hideMark/>
          </w:tcPr>
          <w:p w:rsidR="00646530" w:rsidRPr="00F75CE5" w:rsidRDefault="00646530" w:rsidP="00B94A15">
            <w:pPr>
              <w:spacing w:before="60" w:after="60" w:line="240" w:lineRule="auto"/>
              <w:rPr>
                <w:rFonts w:cs="Arial"/>
                <w:bCs/>
                <w:sz w:val="20"/>
                <w:szCs w:val="20"/>
              </w:rPr>
            </w:pPr>
            <w:r w:rsidRPr="00F75CE5">
              <w:rPr>
                <w:rFonts w:eastAsia="Times New Roman" w:cs="Arial"/>
                <w:bCs/>
                <w:sz w:val="20"/>
                <w:szCs w:val="20"/>
              </w:rPr>
              <w:t>4.1. Ter reduzido a zero o percentual de grandes geradores que utilizam o serviço de coleta convencional de resíduos e que não pagam pelo serviço.</w:t>
            </w:r>
          </w:p>
        </w:tc>
        <w:tc>
          <w:tcPr>
            <w:tcW w:w="0" w:type="auto"/>
            <w:tcBorders>
              <w:top w:val="dashSmallGap" w:sz="4" w:space="0" w:color="1F497D" w:themeColor="text2"/>
              <w:left w:val="single" w:sz="4" w:space="0" w:color="1F497D" w:themeColor="text2"/>
              <w:bottom w:val="dashSmallGap" w:sz="4" w:space="0" w:color="1F497D" w:themeColor="text2"/>
              <w:right w:val="nil"/>
            </w:tcBorders>
            <w:vAlign w:val="center"/>
            <w:hideMark/>
          </w:tcPr>
          <w:p w:rsidR="00646530" w:rsidRPr="00685949" w:rsidRDefault="00646530" w:rsidP="00B94A15">
            <w:pPr>
              <w:spacing w:before="60" w:after="60" w:line="240" w:lineRule="auto"/>
              <w:jc w:val="center"/>
              <w:rPr>
                <w:rFonts w:eastAsia="Times New Roman" w:cs="Arial"/>
                <w:bCs/>
                <w:sz w:val="20"/>
                <w:szCs w:val="20"/>
              </w:rPr>
            </w:pPr>
            <w:r w:rsidRPr="00685949">
              <w:rPr>
                <w:rFonts w:eastAsia="Times New Roman" w:cs="Arial"/>
                <w:bCs/>
                <w:sz w:val="20"/>
                <w:szCs w:val="20"/>
              </w:rPr>
              <w:t>Imediato</w:t>
            </w:r>
          </w:p>
        </w:tc>
      </w:tr>
      <w:tr w:rsidR="00646530" w:rsidRPr="00F75CE5" w:rsidTr="00665BBB">
        <w:trPr>
          <w:cantSplit/>
          <w:trHeight w:val="454"/>
          <w:jc w:val="center"/>
        </w:trPr>
        <w:tc>
          <w:tcPr>
            <w:tcW w:w="0" w:type="auto"/>
            <w:vMerge/>
            <w:tcBorders>
              <w:top w:val="dashSmallGap" w:sz="4" w:space="0" w:color="1F497D" w:themeColor="text2"/>
              <w:left w:val="nil"/>
              <w:bottom w:val="single" w:sz="4" w:space="0" w:color="1F497D" w:themeColor="text2"/>
              <w:right w:val="single" w:sz="4" w:space="0" w:color="1F497D" w:themeColor="text2"/>
            </w:tcBorders>
            <w:vAlign w:val="center"/>
            <w:hideMark/>
          </w:tcPr>
          <w:p w:rsidR="00646530" w:rsidRPr="00F75CE5" w:rsidRDefault="00646530" w:rsidP="00B94A15">
            <w:pPr>
              <w:spacing w:line="240" w:lineRule="auto"/>
              <w:jc w:val="left"/>
              <w:rPr>
                <w:rFonts w:eastAsia="Times New Roman" w:cs="Arial"/>
                <w:bCs/>
                <w:sz w:val="20"/>
                <w:szCs w:val="20"/>
              </w:rPr>
            </w:pPr>
          </w:p>
        </w:tc>
        <w:tc>
          <w:tcPr>
            <w:tcW w:w="0" w:type="auto"/>
            <w:tcBorders>
              <w:top w:val="dashSmallGap" w:sz="4" w:space="0" w:color="1F497D" w:themeColor="text2"/>
              <w:left w:val="single" w:sz="4" w:space="0" w:color="1F497D" w:themeColor="text2"/>
              <w:bottom w:val="dashSmallGap" w:sz="4" w:space="0" w:color="1F497D" w:themeColor="text2"/>
              <w:right w:val="single" w:sz="4" w:space="0" w:color="1F497D" w:themeColor="text2"/>
            </w:tcBorders>
            <w:vAlign w:val="center"/>
            <w:hideMark/>
          </w:tcPr>
          <w:p w:rsidR="00646530" w:rsidRPr="00F75CE5" w:rsidRDefault="00646530" w:rsidP="00B94A15">
            <w:pPr>
              <w:spacing w:before="60" w:after="60" w:line="240" w:lineRule="auto"/>
              <w:rPr>
                <w:rFonts w:cs="Arial"/>
                <w:color w:val="000000"/>
                <w:sz w:val="20"/>
                <w:szCs w:val="20"/>
              </w:rPr>
            </w:pPr>
            <w:r w:rsidRPr="00F75CE5">
              <w:rPr>
                <w:rFonts w:eastAsia="Times New Roman" w:cs="Arial"/>
                <w:color w:val="000000"/>
                <w:sz w:val="20"/>
                <w:szCs w:val="20"/>
              </w:rPr>
              <w:t>4.2. Fomentar e fiscalizar a implementação de pontos de recebimento de resíduos especiais (logística reversa).</w:t>
            </w:r>
          </w:p>
        </w:tc>
        <w:tc>
          <w:tcPr>
            <w:tcW w:w="0" w:type="auto"/>
            <w:tcBorders>
              <w:top w:val="dashSmallGap" w:sz="4" w:space="0" w:color="1F497D" w:themeColor="text2"/>
              <w:left w:val="single" w:sz="4" w:space="0" w:color="1F497D" w:themeColor="text2"/>
              <w:bottom w:val="dashSmallGap" w:sz="4" w:space="0" w:color="1F497D" w:themeColor="text2"/>
              <w:right w:val="nil"/>
            </w:tcBorders>
            <w:vAlign w:val="center"/>
            <w:hideMark/>
          </w:tcPr>
          <w:p w:rsidR="00646530" w:rsidRPr="00685949" w:rsidRDefault="003C4F7A" w:rsidP="00B94A15">
            <w:pPr>
              <w:spacing w:before="60" w:after="60" w:line="240" w:lineRule="auto"/>
              <w:jc w:val="center"/>
              <w:rPr>
                <w:rFonts w:eastAsia="Times New Roman" w:cs="Arial"/>
                <w:bCs/>
                <w:sz w:val="20"/>
                <w:szCs w:val="20"/>
              </w:rPr>
            </w:pPr>
            <w:r w:rsidRPr="00685949">
              <w:rPr>
                <w:rFonts w:eastAsia="Times New Roman" w:cs="Arial"/>
                <w:bCs/>
                <w:sz w:val="20"/>
                <w:szCs w:val="20"/>
              </w:rPr>
              <w:t>Médio</w:t>
            </w:r>
          </w:p>
        </w:tc>
      </w:tr>
      <w:tr w:rsidR="00646530" w:rsidRPr="00F75CE5" w:rsidTr="00665BBB">
        <w:trPr>
          <w:cantSplit/>
          <w:trHeight w:val="454"/>
          <w:jc w:val="center"/>
        </w:trPr>
        <w:tc>
          <w:tcPr>
            <w:tcW w:w="0" w:type="auto"/>
            <w:vMerge/>
            <w:tcBorders>
              <w:top w:val="dashSmallGap" w:sz="4" w:space="0" w:color="1F497D" w:themeColor="text2"/>
              <w:left w:val="nil"/>
              <w:bottom w:val="single" w:sz="4" w:space="0" w:color="1F497D" w:themeColor="text2"/>
              <w:right w:val="single" w:sz="4" w:space="0" w:color="1F497D" w:themeColor="text2"/>
            </w:tcBorders>
            <w:vAlign w:val="center"/>
            <w:hideMark/>
          </w:tcPr>
          <w:p w:rsidR="00646530" w:rsidRPr="00F75CE5" w:rsidRDefault="00646530" w:rsidP="00B94A15">
            <w:pPr>
              <w:spacing w:line="240" w:lineRule="auto"/>
              <w:jc w:val="left"/>
              <w:rPr>
                <w:rFonts w:eastAsia="Times New Roman" w:cs="Arial"/>
                <w:bCs/>
                <w:sz w:val="20"/>
                <w:szCs w:val="20"/>
              </w:rPr>
            </w:pPr>
          </w:p>
        </w:tc>
        <w:tc>
          <w:tcPr>
            <w:tcW w:w="0" w:type="auto"/>
            <w:tcBorders>
              <w:top w:val="dashSmallGap" w:sz="4" w:space="0" w:color="1F497D" w:themeColor="text2"/>
              <w:left w:val="single" w:sz="4" w:space="0" w:color="1F497D" w:themeColor="text2"/>
              <w:bottom w:val="dashSmallGap" w:sz="4" w:space="0" w:color="1F497D" w:themeColor="text2"/>
              <w:right w:val="single" w:sz="4" w:space="0" w:color="1F497D" w:themeColor="text2"/>
            </w:tcBorders>
            <w:vAlign w:val="center"/>
            <w:hideMark/>
          </w:tcPr>
          <w:p w:rsidR="00646530" w:rsidRPr="00F75CE5" w:rsidRDefault="00646530" w:rsidP="00B94A15">
            <w:pPr>
              <w:spacing w:before="60" w:after="60" w:line="240" w:lineRule="auto"/>
              <w:rPr>
                <w:rFonts w:eastAsia="Times New Roman" w:cs="Arial"/>
                <w:color w:val="000000"/>
                <w:sz w:val="20"/>
                <w:szCs w:val="20"/>
              </w:rPr>
            </w:pPr>
            <w:r w:rsidRPr="00F75CE5">
              <w:rPr>
                <w:rFonts w:eastAsia="Times New Roman" w:cs="Arial"/>
                <w:color w:val="000000"/>
                <w:sz w:val="20"/>
                <w:szCs w:val="20"/>
              </w:rPr>
              <w:t>4.3.</w:t>
            </w:r>
            <w:r w:rsidRPr="00F75CE5">
              <w:rPr>
                <w:rFonts w:eastAsia="Times New Roman" w:cs="Arial"/>
                <w:color w:val="000000"/>
                <w:kern w:val="24"/>
                <w:sz w:val="20"/>
                <w:szCs w:val="20"/>
              </w:rPr>
              <w:t xml:space="preserve"> </w:t>
            </w:r>
            <w:r>
              <w:rPr>
                <w:rFonts w:eastAsia="Times New Roman" w:cs="Arial"/>
                <w:color w:val="000000"/>
                <w:sz w:val="20"/>
                <w:szCs w:val="20"/>
              </w:rPr>
              <w:t>Ter implementadas</w:t>
            </w:r>
            <w:r w:rsidRPr="00F75CE5">
              <w:rPr>
                <w:rFonts w:eastAsia="Times New Roman" w:cs="Arial"/>
                <w:color w:val="000000"/>
                <w:sz w:val="20"/>
                <w:szCs w:val="20"/>
              </w:rPr>
              <w:t xml:space="preserve"> ações para reduzir a zero o número de pontos de disposição irregular de RCCs e de resíduos volumosos.</w:t>
            </w:r>
          </w:p>
        </w:tc>
        <w:tc>
          <w:tcPr>
            <w:tcW w:w="0" w:type="auto"/>
            <w:tcBorders>
              <w:top w:val="dashSmallGap" w:sz="4" w:space="0" w:color="1F497D" w:themeColor="text2"/>
              <w:left w:val="single" w:sz="4" w:space="0" w:color="1F497D" w:themeColor="text2"/>
              <w:bottom w:val="dashSmallGap" w:sz="4" w:space="0" w:color="1F497D" w:themeColor="text2"/>
              <w:right w:val="nil"/>
            </w:tcBorders>
            <w:vAlign w:val="center"/>
            <w:hideMark/>
          </w:tcPr>
          <w:p w:rsidR="00646530" w:rsidRPr="00685949" w:rsidRDefault="00646530" w:rsidP="00B94A15">
            <w:pPr>
              <w:spacing w:before="60" w:after="60" w:line="240" w:lineRule="auto"/>
              <w:jc w:val="center"/>
              <w:rPr>
                <w:rFonts w:eastAsia="Times New Roman" w:cs="Arial"/>
                <w:bCs/>
                <w:sz w:val="20"/>
                <w:szCs w:val="20"/>
              </w:rPr>
            </w:pPr>
            <w:r w:rsidRPr="00685949">
              <w:rPr>
                <w:rFonts w:eastAsia="Times New Roman" w:cs="Arial"/>
                <w:bCs/>
                <w:sz w:val="20"/>
                <w:szCs w:val="20"/>
              </w:rPr>
              <w:t>Médio</w:t>
            </w:r>
          </w:p>
        </w:tc>
      </w:tr>
      <w:tr w:rsidR="00646530" w:rsidRPr="00F75CE5" w:rsidTr="00665BBB">
        <w:trPr>
          <w:cantSplit/>
          <w:trHeight w:val="454"/>
          <w:jc w:val="center"/>
        </w:trPr>
        <w:tc>
          <w:tcPr>
            <w:tcW w:w="0" w:type="auto"/>
            <w:vMerge/>
            <w:tcBorders>
              <w:top w:val="dashSmallGap" w:sz="4" w:space="0" w:color="1F497D" w:themeColor="text2"/>
              <w:left w:val="nil"/>
              <w:bottom w:val="single" w:sz="4" w:space="0" w:color="1F497D" w:themeColor="text2"/>
              <w:right w:val="single" w:sz="4" w:space="0" w:color="1F497D" w:themeColor="text2"/>
            </w:tcBorders>
            <w:vAlign w:val="center"/>
            <w:hideMark/>
          </w:tcPr>
          <w:p w:rsidR="00646530" w:rsidRPr="00F75CE5" w:rsidRDefault="00646530" w:rsidP="00B94A15">
            <w:pPr>
              <w:spacing w:line="240" w:lineRule="auto"/>
              <w:jc w:val="left"/>
              <w:rPr>
                <w:rFonts w:eastAsia="Times New Roman" w:cs="Arial"/>
                <w:bCs/>
                <w:sz w:val="20"/>
                <w:szCs w:val="20"/>
              </w:rPr>
            </w:pPr>
          </w:p>
        </w:tc>
        <w:tc>
          <w:tcPr>
            <w:tcW w:w="0" w:type="auto"/>
            <w:tcBorders>
              <w:top w:val="dashSmallGap" w:sz="4" w:space="0" w:color="1F497D" w:themeColor="text2"/>
              <w:left w:val="single" w:sz="4" w:space="0" w:color="1F497D" w:themeColor="text2"/>
              <w:bottom w:val="dashSmallGap" w:sz="4" w:space="0" w:color="1F497D" w:themeColor="text2"/>
              <w:right w:val="single" w:sz="4" w:space="0" w:color="1F497D" w:themeColor="text2"/>
            </w:tcBorders>
            <w:vAlign w:val="center"/>
            <w:hideMark/>
          </w:tcPr>
          <w:p w:rsidR="00646530" w:rsidRPr="00F75CE5" w:rsidRDefault="00646530" w:rsidP="00B94A15">
            <w:pPr>
              <w:spacing w:before="60" w:after="60" w:line="240" w:lineRule="auto"/>
              <w:rPr>
                <w:rFonts w:cs="Arial"/>
                <w:color w:val="000000"/>
                <w:sz w:val="20"/>
                <w:szCs w:val="20"/>
              </w:rPr>
            </w:pPr>
            <w:r w:rsidRPr="00F75CE5">
              <w:rPr>
                <w:rFonts w:eastAsia="Times New Roman" w:cs="Arial"/>
                <w:color w:val="000000"/>
                <w:sz w:val="20"/>
                <w:szCs w:val="20"/>
              </w:rPr>
              <w:t>4.4.</w:t>
            </w:r>
            <w:r w:rsidRPr="00F75CE5">
              <w:rPr>
                <w:rFonts w:eastAsia="Times New Roman" w:cs="Arial"/>
                <w:color w:val="000000"/>
                <w:kern w:val="24"/>
                <w:sz w:val="20"/>
                <w:szCs w:val="20"/>
              </w:rPr>
              <w:t xml:space="preserve"> </w:t>
            </w:r>
            <w:r w:rsidRPr="00F75CE5">
              <w:rPr>
                <w:rFonts w:eastAsia="Times New Roman" w:cs="Arial"/>
                <w:color w:val="000000"/>
                <w:sz w:val="20"/>
                <w:szCs w:val="20"/>
              </w:rPr>
              <w:t>Ter reduzido em 100% a disposição inadequada de resíduos agrossilvopastoris, incluindo embalagens de agrotóxicos, e de serviços de transporte.</w:t>
            </w:r>
          </w:p>
        </w:tc>
        <w:tc>
          <w:tcPr>
            <w:tcW w:w="0" w:type="auto"/>
            <w:tcBorders>
              <w:top w:val="dashSmallGap" w:sz="4" w:space="0" w:color="1F497D" w:themeColor="text2"/>
              <w:left w:val="single" w:sz="4" w:space="0" w:color="1F497D" w:themeColor="text2"/>
              <w:bottom w:val="dashSmallGap" w:sz="4" w:space="0" w:color="1F497D" w:themeColor="text2"/>
              <w:right w:val="nil"/>
            </w:tcBorders>
            <w:vAlign w:val="center"/>
            <w:hideMark/>
          </w:tcPr>
          <w:p w:rsidR="00646530" w:rsidRPr="00685949" w:rsidRDefault="00646530" w:rsidP="00B94A15">
            <w:pPr>
              <w:spacing w:before="60" w:after="60" w:line="240" w:lineRule="auto"/>
              <w:jc w:val="center"/>
              <w:rPr>
                <w:rFonts w:eastAsia="Times New Roman" w:cs="Arial"/>
                <w:bCs/>
                <w:sz w:val="20"/>
                <w:szCs w:val="20"/>
              </w:rPr>
            </w:pPr>
            <w:r w:rsidRPr="00685949">
              <w:rPr>
                <w:rFonts w:eastAsia="Times New Roman" w:cs="Arial"/>
                <w:bCs/>
                <w:sz w:val="20"/>
                <w:szCs w:val="20"/>
              </w:rPr>
              <w:t>Médio</w:t>
            </w:r>
          </w:p>
        </w:tc>
      </w:tr>
      <w:tr w:rsidR="00646530" w:rsidRPr="00F75CE5" w:rsidTr="00665BBB">
        <w:trPr>
          <w:cantSplit/>
          <w:trHeight w:val="454"/>
          <w:jc w:val="center"/>
        </w:trPr>
        <w:tc>
          <w:tcPr>
            <w:tcW w:w="0" w:type="auto"/>
            <w:vMerge/>
            <w:tcBorders>
              <w:top w:val="dashSmallGap" w:sz="4" w:space="0" w:color="1F497D" w:themeColor="text2"/>
              <w:left w:val="nil"/>
              <w:bottom w:val="single" w:sz="4" w:space="0" w:color="1F497D" w:themeColor="text2"/>
              <w:right w:val="single" w:sz="4" w:space="0" w:color="1F497D" w:themeColor="text2"/>
            </w:tcBorders>
            <w:vAlign w:val="center"/>
            <w:hideMark/>
          </w:tcPr>
          <w:p w:rsidR="00646530" w:rsidRPr="00F75CE5" w:rsidRDefault="00646530" w:rsidP="00B94A15">
            <w:pPr>
              <w:spacing w:line="240" w:lineRule="auto"/>
              <w:jc w:val="left"/>
              <w:rPr>
                <w:rFonts w:eastAsia="Times New Roman" w:cs="Arial"/>
                <w:bCs/>
                <w:sz w:val="20"/>
                <w:szCs w:val="20"/>
              </w:rPr>
            </w:pPr>
          </w:p>
        </w:tc>
        <w:tc>
          <w:tcPr>
            <w:tcW w:w="0" w:type="auto"/>
            <w:tcBorders>
              <w:top w:val="dashSmallGap" w:sz="4" w:space="0" w:color="1F497D" w:themeColor="text2"/>
              <w:left w:val="single" w:sz="4" w:space="0" w:color="1F497D" w:themeColor="text2"/>
              <w:bottom w:val="dashSmallGap" w:sz="4" w:space="0" w:color="1F497D" w:themeColor="text2"/>
              <w:right w:val="single" w:sz="4" w:space="0" w:color="1F497D" w:themeColor="text2"/>
            </w:tcBorders>
            <w:vAlign w:val="center"/>
            <w:hideMark/>
          </w:tcPr>
          <w:p w:rsidR="00646530" w:rsidRPr="00F75CE5" w:rsidRDefault="00646530" w:rsidP="00B94A15">
            <w:pPr>
              <w:rPr>
                <w:rFonts w:eastAsia="Times New Roman" w:cs="Arial"/>
                <w:color w:val="000000"/>
                <w:sz w:val="20"/>
                <w:szCs w:val="20"/>
              </w:rPr>
            </w:pPr>
            <w:r w:rsidRPr="00F75CE5">
              <w:rPr>
                <w:rFonts w:eastAsia="Times New Roman" w:cs="Arial"/>
                <w:color w:val="000000"/>
                <w:sz w:val="20"/>
                <w:szCs w:val="20"/>
              </w:rPr>
              <w:t xml:space="preserve">4.5. </w:t>
            </w:r>
            <w:r w:rsidRPr="00953D02">
              <w:rPr>
                <w:rFonts w:eastAsia="Times New Roman" w:cs="Arial"/>
                <w:color w:val="000000"/>
                <w:sz w:val="20"/>
                <w:szCs w:val="20"/>
              </w:rPr>
              <w:t>Possuir mecanismo econômico para remuneração e cobrança dos serviços prestados e para incentivo à reciclagem.</w:t>
            </w:r>
          </w:p>
        </w:tc>
        <w:tc>
          <w:tcPr>
            <w:tcW w:w="0" w:type="auto"/>
            <w:tcBorders>
              <w:top w:val="dashSmallGap" w:sz="4" w:space="0" w:color="1F497D" w:themeColor="text2"/>
              <w:left w:val="single" w:sz="4" w:space="0" w:color="1F497D" w:themeColor="text2"/>
              <w:bottom w:val="dashSmallGap" w:sz="4" w:space="0" w:color="1F497D" w:themeColor="text2"/>
              <w:right w:val="nil"/>
            </w:tcBorders>
            <w:vAlign w:val="center"/>
            <w:hideMark/>
          </w:tcPr>
          <w:p w:rsidR="00646530" w:rsidRPr="00685949" w:rsidRDefault="00646530" w:rsidP="00B94A15">
            <w:pPr>
              <w:spacing w:before="60" w:after="60" w:line="240" w:lineRule="auto"/>
              <w:jc w:val="center"/>
              <w:rPr>
                <w:rFonts w:eastAsia="Times New Roman" w:cs="Arial"/>
                <w:bCs/>
                <w:sz w:val="20"/>
                <w:szCs w:val="20"/>
              </w:rPr>
            </w:pPr>
            <w:r w:rsidRPr="00685949">
              <w:rPr>
                <w:rFonts w:eastAsia="Times New Roman" w:cs="Arial"/>
                <w:bCs/>
                <w:sz w:val="20"/>
                <w:szCs w:val="20"/>
              </w:rPr>
              <w:t>Longo</w:t>
            </w:r>
          </w:p>
        </w:tc>
      </w:tr>
      <w:tr w:rsidR="003C4F7A" w:rsidRPr="000012B7" w:rsidTr="00665BBB">
        <w:trPr>
          <w:cantSplit/>
          <w:trHeight w:val="454"/>
          <w:jc w:val="center"/>
        </w:trPr>
        <w:tc>
          <w:tcPr>
            <w:tcW w:w="0" w:type="auto"/>
            <w:vMerge/>
            <w:tcBorders>
              <w:top w:val="dashSmallGap" w:sz="4" w:space="0" w:color="1F497D" w:themeColor="text2"/>
              <w:left w:val="nil"/>
              <w:bottom w:val="single" w:sz="4" w:space="0" w:color="1F497D" w:themeColor="text2"/>
              <w:right w:val="single" w:sz="4" w:space="0" w:color="1F497D" w:themeColor="text2"/>
            </w:tcBorders>
            <w:vAlign w:val="center"/>
            <w:hideMark/>
          </w:tcPr>
          <w:p w:rsidR="003C4F7A" w:rsidRPr="00F75CE5" w:rsidRDefault="003C4F7A" w:rsidP="00B94A15">
            <w:pPr>
              <w:spacing w:line="240" w:lineRule="auto"/>
              <w:jc w:val="left"/>
              <w:rPr>
                <w:rFonts w:eastAsia="Times New Roman" w:cs="Arial"/>
                <w:bCs/>
                <w:sz w:val="20"/>
                <w:szCs w:val="20"/>
              </w:rPr>
            </w:pPr>
          </w:p>
        </w:tc>
        <w:tc>
          <w:tcPr>
            <w:tcW w:w="0" w:type="auto"/>
            <w:tcBorders>
              <w:top w:val="dashSmallGap" w:sz="4" w:space="0" w:color="1F497D" w:themeColor="text2"/>
              <w:left w:val="single" w:sz="4" w:space="0" w:color="1F497D" w:themeColor="text2"/>
              <w:bottom w:val="single" w:sz="4" w:space="0" w:color="1F497D" w:themeColor="text2"/>
              <w:right w:val="single" w:sz="4" w:space="0" w:color="1F497D" w:themeColor="text2"/>
            </w:tcBorders>
            <w:vAlign w:val="center"/>
            <w:hideMark/>
          </w:tcPr>
          <w:p w:rsidR="003C4F7A" w:rsidRPr="00F75CE5" w:rsidRDefault="003C4F7A" w:rsidP="00B94A15">
            <w:pPr>
              <w:spacing w:before="60" w:after="60" w:line="240" w:lineRule="auto"/>
              <w:rPr>
                <w:rFonts w:cs="Arial"/>
                <w:color w:val="000000"/>
                <w:sz w:val="20"/>
                <w:szCs w:val="20"/>
              </w:rPr>
            </w:pPr>
            <w:r w:rsidRPr="00F75CE5">
              <w:rPr>
                <w:rFonts w:eastAsia="Times New Roman" w:cs="Arial"/>
                <w:color w:val="000000"/>
                <w:sz w:val="20"/>
                <w:szCs w:val="20"/>
              </w:rPr>
              <w:t>4.6. Otimização da rota de coleta e transporte de RSU.</w:t>
            </w:r>
          </w:p>
        </w:tc>
        <w:tc>
          <w:tcPr>
            <w:tcW w:w="0" w:type="auto"/>
            <w:tcBorders>
              <w:top w:val="dashSmallGap" w:sz="4" w:space="0" w:color="1F497D" w:themeColor="text2"/>
              <w:left w:val="single" w:sz="4" w:space="0" w:color="1F497D" w:themeColor="text2"/>
              <w:bottom w:val="single" w:sz="4" w:space="0" w:color="1F497D" w:themeColor="text2"/>
              <w:right w:val="nil"/>
            </w:tcBorders>
            <w:vAlign w:val="center"/>
            <w:hideMark/>
          </w:tcPr>
          <w:p w:rsidR="003C4F7A" w:rsidRPr="00685949" w:rsidRDefault="003C4F7A" w:rsidP="00095090">
            <w:pPr>
              <w:spacing w:before="60" w:after="60" w:line="240" w:lineRule="auto"/>
              <w:jc w:val="center"/>
              <w:rPr>
                <w:rFonts w:eastAsia="Times New Roman" w:cs="Arial"/>
                <w:bCs/>
                <w:sz w:val="20"/>
                <w:szCs w:val="20"/>
              </w:rPr>
            </w:pPr>
            <w:r w:rsidRPr="00685949">
              <w:rPr>
                <w:rFonts w:eastAsia="Times New Roman" w:cs="Arial"/>
                <w:bCs/>
                <w:sz w:val="20"/>
                <w:szCs w:val="20"/>
              </w:rPr>
              <w:t>Curto</w:t>
            </w:r>
          </w:p>
        </w:tc>
      </w:tr>
      <w:tr w:rsidR="003C4F7A" w:rsidRPr="00F75CE5" w:rsidTr="00665BBB">
        <w:trPr>
          <w:cantSplit/>
          <w:trHeight w:val="454"/>
          <w:jc w:val="center"/>
        </w:trPr>
        <w:tc>
          <w:tcPr>
            <w:tcW w:w="0" w:type="auto"/>
            <w:vMerge w:val="restart"/>
            <w:tcBorders>
              <w:top w:val="single" w:sz="4" w:space="0" w:color="1F497D" w:themeColor="text2"/>
              <w:left w:val="nil"/>
              <w:right w:val="single" w:sz="4" w:space="0" w:color="1F497D" w:themeColor="text2"/>
            </w:tcBorders>
            <w:vAlign w:val="center"/>
            <w:hideMark/>
          </w:tcPr>
          <w:p w:rsidR="003C4F7A" w:rsidRPr="00F75CE5" w:rsidRDefault="003C4F7A" w:rsidP="00B94A15">
            <w:pPr>
              <w:spacing w:before="60" w:after="60" w:line="240" w:lineRule="auto"/>
              <w:rPr>
                <w:rFonts w:eastAsia="Times New Roman" w:cs="Arial"/>
                <w:bCs/>
                <w:sz w:val="20"/>
                <w:szCs w:val="20"/>
              </w:rPr>
            </w:pPr>
            <w:r w:rsidRPr="00F75CE5">
              <w:rPr>
                <w:rFonts w:eastAsia="Times New Roman" w:cs="Arial"/>
                <w:bCs/>
                <w:sz w:val="20"/>
                <w:szCs w:val="20"/>
              </w:rPr>
              <w:t>5. Regulamentar procedimentos de Gestão Integrada de Resíduos Sólidos, a partir de legislação específica.</w:t>
            </w:r>
          </w:p>
        </w:tc>
        <w:tc>
          <w:tcPr>
            <w:tcW w:w="0" w:type="auto"/>
            <w:tcBorders>
              <w:top w:val="single" w:sz="4" w:space="0" w:color="1F497D" w:themeColor="text2"/>
              <w:left w:val="single" w:sz="4" w:space="0" w:color="1F497D" w:themeColor="text2"/>
              <w:bottom w:val="dashSmallGap" w:sz="4" w:space="0" w:color="1F497D" w:themeColor="text2"/>
              <w:right w:val="single" w:sz="4" w:space="0" w:color="1F497D" w:themeColor="text2"/>
            </w:tcBorders>
            <w:vAlign w:val="center"/>
            <w:hideMark/>
          </w:tcPr>
          <w:p w:rsidR="003C4F7A" w:rsidRPr="00F75CE5" w:rsidRDefault="003C4F7A" w:rsidP="00B94A15">
            <w:pPr>
              <w:spacing w:before="60" w:after="60" w:line="240" w:lineRule="auto"/>
              <w:rPr>
                <w:rFonts w:eastAsia="Times New Roman" w:cs="Arial"/>
                <w:color w:val="000000"/>
                <w:sz w:val="20"/>
                <w:szCs w:val="20"/>
              </w:rPr>
            </w:pPr>
            <w:r w:rsidRPr="00F75CE5">
              <w:rPr>
                <w:rFonts w:eastAsia="Times New Roman" w:cs="Arial"/>
                <w:color w:val="000000"/>
                <w:sz w:val="20"/>
                <w:szCs w:val="20"/>
              </w:rPr>
              <w:t>5.1. Revisão e atualização das leis promulgadas frente à PNRS.</w:t>
            </w:r>
          </w:p>
        </w:tc>
        <w:tc>
          <w:tcPr>
            <w:tcW w:w="0" w:type="auto"/>
            <w:tcBorders>
              <w:top w:val="single" w:sz="4" w:space="0" w:color="1F497D" w:themeColor="text2"/>
              <w:left w:val="single" w:sz="4" w:space="0" w:color="1F497D" w:themeColor="text2"/>
              <w:bottom w:val="dashSmallGap" w:sz="4" w:space="0" w:color="1F497D" w:themeColor="text2"/>
              <w:right w:val="nil"/>
            </w:tcBorders>
            <w:vAlign w:val="center"/>
            <w:hideMark/>
          </w:tcPr>
          <w:p w:rsidR="003C4F7A" w:rsidRPr="00685949" w:rsidRDefault="003C4F7A" w:rsidP="00095090">
            <w:pPr>
              <w:spacing w:before="60" w:after="60" w:line="240" w:lineRule="auto"/>
              <w:jc w:val="center"/>
              <w:rPr>
                <w:rFonts w:eastAsia="Times New Roman" w:cs="Arial"/>
                <w:bCs/>
                <w:sz w:val="20"/>
                <w:szCs w:val="20"/>
              </w:rPr>
            </w:pPr>
            <w:r w:rsidRPr="00685949">
              <w:rPr>
                <w:rFonts w:eastAsia="Times New Roman" w:cs="Arial"/>
                <w:bCs/>
                <w:sz w:val="20"/>
                <w:szCs w:val="20"/>
              </w:rPr>
              <w:t>Curto</w:t>
            </w:r>
          </w:p>
        </w:tc>
      </w:tr>
      <w:tr w:rsidR="003C4F7A" w:rsidRPr="00F75CE5" w:rsidTr="00665BBB">
        <w:trPr>
          <w:cantSplit/>
          <w:trHeight w:val="454"/>
          <w:jc w:val="center"/>
        </w:trPr>
        <w:tc>
          <w:tcPr>
            <w:tcW w:w="0" w:type="auto"/>
            <w:vMerge/>
            <w:tcBorders>
              <w:left w:val="nil"/>
              <w:right w:val="single" w:sz="4" w:space="0" w:color="1F497D" w:themeColor="text2"/>
            </w:tcBorders>
            <w:vAlign w:val="center"/>
            <w:hideMark/>
          </w:tcPr>
          <w:p w:rsidR="003C4F7A" w:rsidRPr="00F75CE5" w:rsidRDefault="003C4F7A" w:rsidP="00B94A15">
            <w:pPr>
              <w:spacing w:line="240" w:lineRule="auto"/>
              <w:jc w:val="left"/>
              <w:rPr>
                <w:rFonts w:eastAsia="Times New Roman" w:cs="Arial"/>
                <w:bCs/>
                <w:sz w:val="20"/>
                <w:szCs w:val="20"/>
              </w:rPr>
            </w:pPr>
          </w:p>
        </w:tc>
        <w:tc>
          <w:tcPr>
            <w:tcW w:w="0" w:type="auto"/>
            <w:tcBorders>
              <w:top w:val="dashSmallGap" w:sz="4" w:space="0" w:color="1F497D" w:themeColor="text2"/>
              <w:left w:val="single" w:sz="4" w:space="0" w:color="1F497D" w:themeColor="text2"/>
              <w:bottom w:val="dashSmallGap" w:sz="4" w:space="0" w:color="1F497D" w:themeColor="text2"/>
              <w:right w:val="single" w:sz="4" w:space="0" w:color="1F497D" w:themeColor="text2"/>
            </w:tcBorders>
            <w:vAlign w:val="center"/>
            <w:hideMark/>
          </w:tcPr>
          <w:p w:rsidR="003C4F7A" w:rsidRPr="00F75CE5" w:rsidRDefault="003C4F7A" w:rsidP="00B94A15">
            <w:pPr>
              <w:spacing w:before="60" w:after="60" w:line="240" w:lineRule="auto"/>
              <w:rPr>
                <w:rFonts w:eastAsia="Times New Roman" w:cs="Arial"/>
                <w:color w:val="000000"/>
                <w:sz w:val="20"/>
                <w:szCs w:val="20"/>
              </w:rPr>
            </w:pPr>
            <w:r w:rsidRPr="00F75CE5">
              <w:rPr>
                <w:rFonts w:eastAsia="Times New Roman" w:cs="Arial"/>
                <w:color w:val="000000"/>
                <w:sz w:val="20"/>
                <w:szCs w:val="20"/>
              </w:rPr>
              <w:t>5.2. Ter regulamentado o sistema de coleta seletiva.</w:t>
            </w:r>
          </w:p>
        </w:tc>
        <w:tc>
          <w:tcPr>
            <w:tcW w:w="0" w:type="auto"/>
            <w:tcBorders>
              <w:top w:val="dashSmallGap" w:sz="4" w:space="0" w:color="1F497D" w:themeColor="text2"/>
              <w:left w:val="single" w:sz="4" w:space="0" w:color="1F497D" w:themeColor="text2"/>
              <w:bottom w:val="dashSmallGap" w:sz="4" w:space="0" w:color="1F497D" w:themeColor="text2"/>
              <w:right w:val="nil"/>
            </w:tcBorders>
            <w:vAlign w:val="center"/>
            <w:hideMark/>
          </w:tcPr>
          <w:p w:rsidR="003C4F7A" w:rsidRPr="00685949" w:rsidRDefault="003C4F7A" w:rsidP="00095090">
            <w:pPr>
              <w:spacing w:before="60" w:after="60" w:line="240" w:lineRule="auto"/>
              <w:jc w:val="center"/>
              <w:rPr>
                <w:rFonts w:eastAsia="Times New Roman" w:cs="Arial"/>
                <w:bCs/>
                <w:sz w:val="20"/>
                <w:szCs w:val="20"/>
              </w:rPr>
            </w:pPr>
            <w:r w:rsidRPr="00685949">
              <w:rPr>
                <w:rFonts w:eastAsia="Times New Roman" w:cs="Arial"/>
                <w:bCs/>
                <w:sz w:val="20"/>
                <w:szCs w:val="20"/>
              </w:rPr>
              <w:t>Curto</w:t>
            </w:r>
          </w:p>
        </w:tc>
      </w:tr>
      <w:tr w:rsidR="003C4F7A" w:rsidRPr="00F75CE5" w:rsidTr="00665BBB">
        <w:trPr>
          <w:cantSplit/>
          <w:trHeight w:val="454"/>
          <w:jc w:val="center"/>
        </w:trPr>
        <w:tc>
          <w:tcPr>
            <w:tcW w:w="0" w:type="auto"/>
            <w:vMerge/>
            <w:tcBorders>
              <w:left w:val="nil"/>
              <w:right w:val="single" w:sz="4" w:space="0" w:color="1F497D" w:themeColor="text2"/>
            </w:tcBorders>
            <w:vAlign w:val="center"/>
            <w:hideMark/>
          </w:tcPr>
          <w:p w:rsidR="003C4F7A" w:rsidRPr="00F75CE5" w:rsidRDefault="003C4F7A" w:rsidP="00B94A15">
            <w:pPr>
              <w:spacing w:line="240" w:lineRule="auto"/>
              <w:jc w:val="left"/>
              <w:rPr>
                <w:rFonts w:eastAsia="Times New Roman" w:cs="Arial"/>
                <w:bCs/>
                <w:sz w:val="20"/>
                <w:szCs w:val="20"/>
              </w:rPr>
            </w:pPr>
          </w:p>
        </w:tc>
        <w:tc>
          <w:tcPr>
            <w:tcW w:w="0" w:type="auto"/>
            <w:tcBorders>
              <w:top w:val="dashSmallGap" w:sz="4" w:space="0" w:color="1F497D" w:themeColor="text2"/>
              <w:left w:val="single" w:sz="4" w:space="0" w:color="1F497D" w:themeColor="text2"/>
              <w:bottom w:val="dashSmallGap" w:sz="4" w:space="0" w:color="1F497D" w:themeColor="text2"/>
              <w:right w:val="single" w:sz="4" w:space="0" w:color="1F497D" w:themeColor="text2"/>
            </w:tcBorders>
            <w:vAlign w:val="center"/>
            <w:hideMark/>
          </w:tcPr>
          <w:p w:rsidR="003C4F7A" w:rsidRPr="00F75CE5" w:rsidRDefault="003C4F7A" w:rsidP="00B94A15">
            <w:pPr>
              <w:spacing w:before="60" w:after="60" w:line="240" w:lineRule="auto"/>
              <w:rPr>
                <w:rFonts w:eastAsia="Times New Roman" w:cs="Arial"/>
                <w:color w:val="000000"/>
                <w:sz w:val="20"/>
                <w:szCs w:val="20"/>
              </w:rPr>
            </w:pPr>
            <w:r w:rsidRPr="00F75CE5">
              <w:rPr>
                <w:rFonts w:eastAsia="Times New Roman" w:cs="Arial"/>
                <w:color w:val="000000"/>
                <w:sz w:val="20"/>
                <w:szCs w:val="20"/>
              </w:rPr>
              <w:t>5.3. Ter regulamentado o gerenciamento de resíduos da construção civil.</w:t>
            </w:r>
          </w:p>
        </w:tc>
        <w:tc>
          <w:tcPr>
            <w:tcW w:w="0" w:type="auto"/>
            <w:tcBorders>
              <w:top w:val="dashSmallGap" w:sz="4" w:space="0" w:color="1F497D" w:themeColor="text2"/>
              <w:left w:val="single" w:sz="4" w:space="0" w:color="1F497D" w:themeColor="text2"/>
              <w:bottom w:val="dashSmallGap" w:sz="4" w:space="0" w:color="1F497D" w:themeColor="text2"/>
              <w:right w:val="nil"/>
            </w:tcBorders>
            <w:vAlign w:val="center"/>
            <w:hideMark/>
          </w:tcPr>
          <w:p w:rsidR="003C4F7A" w:rsidRPr="00685949" w:rsidRDefault="003C4F7A" w:rsidP="00095090">
            <w:pPr>
              <w:spacing w:before="60" w:after="60" w:line="240" w:lineRule="auto"/>
              <w:jc w:val="center"/>
              <w:rPr>
                <w:rFonts w:eastAsia="Times New Roman" w:cs="Arial"/>
                <w:bCs/>
                <w:sz w:val="20"/>
                <w:szCs w:val="20"/>
              </w:rPr>
            </w:pPr>
            <w:r w:rsidRPr="00685949">
              <w:rPr>
                <w:rFonts w:eastAsia="Times New Roman" w:cs="Arial"/>
                <w:bCs/>
                <w:sz w:val="20"/>
                <w:szCs w:val="20"/>
              </w:rPr>
              <w:t>Curto</w:t>
            </w:r>
          </w:p>
        </w:tc>
      </w:tr>
      <w:tr w:rsidR="003C4F7A" w:rsidRPr="00F75CE5" w:rsidTr="00665BBB">
        <w:trPr>
          <w:cantSplit/>
          <w:trHeight w:val="454"/>
          <w:jc w:val="center"/>
        </w:trPr>
        <w:tc>
          <w:tcPr>
            <w:tcW w:w="0" w:type="auto"/>
            <w:vMerge/>
            <w:tcBorders>
              <w:left w:val="nil"/>
              <w:right w:val="single" w:sz="4" w:space="0" w:color="1F497D" w:themeColor="text2"/>
            </w:tcBorders>
            <w:vAlign w:val="center"/>
            <w:hideMark/>
          </w:tcPr>
          <w:p w:rsidR="003C4F7A" w:rsidRPr="00F75CE5" w:rsidRDefault="003C4F7A" w:rsidP="00B94A15">
            <w:pPr>
              <w:spacing w:line="240" w:lineRule="auto"/>
              <w:jc w:val="left"/>
              <w:rPr>
                <w:rFonts w:eastAsia="Times New Roman" w:cs="Arial"/>
                <w:bCs/>
                <w:sz w:val="20"/>
                <w:szCs w:val="20"/>
              </w:rPr>
            </w:pPr>
          </w:p>
        </w:tc>
        <w:tc>
          <w:tcPr>
            <w:tcW w:w="0" w:type="auto"/>
            <w:tcBorders>
              <w:top w:val="dashSmallGap" w:sz="4" w:space="0" w:color="1F497D" w:themeColor="text2"/>
              <w:left w:val="single" w:sz="4" w:space="0" w:color="1F497D" w:themeColor="text2"/>
              <w:bottom w:val="dashSmallGap" w:sz="4" w:space="0" w:color="1F497D" w:themeColor="text2"/>
              <w:right w:val="single" w:sz="4" w:space="0" w:color="1F497D" w:themeColor="text2"/>
            </w:tcBorders>
            <w:vAlign w:val="center"/>
            <w:hideMark/>
          </w:tcPr>
          <w:p w:rsidR="003C4F7A" w:rsidRPr="00F75CE5" w:rsidRDefault="003C4F7A" w:rsidP="00B94A15">
            <w:pPr>
              <w:spacing w:before="60" w:after="60" w:line="240" w:lineRule="auto"/>
              <w:rPr>
                <w:rFonts w:eastAsia="Times New Roman" w:cs="Arial"/>
                <w:color w:val="000000"/>
                <w:sz w:val="20"/>
                <w:szCs w:val="20"/>
              </w:rPr>
            </w:pPr>
            <w:r w:rsidRPr="00F75CE5">
              <w:rPr>
                <w:rFonts w:eastAsia="Times New Roman" w:cs="Arial"/>
                <w:color w:val="000000"/>
                <w:sz w:val="20"/>
                <w:szCs w:val="20"/>
              </w:rPr>
              <w:t>5.4 Ter regulamentada a entrega anual do PGRS e de seu conteúdo mínimo.</w:t>
            </w:r>
          </w:p>
        </w:tc>
        <w:tc>
          <w:tcPr>
            <w:tcW w:w="0" w:type="auto"/>
            <w:tcBorders>
              <w:top w:val="dashSmallGap" w:sz="4" w:space="0" w:color="1F497D" w:themeColor="text2"/>
              <w:left w:val="single" w:sz="4" w:space="0" w:color="1F497D" w:themeColor="text2"/>
              <w:bottom w:val="dashSmallGap" w:sz="4" w:space="0" w:color="1F497D" w:themeColor="text2"/>
              <w:right w:val="nil"/>
            </w:tcBorders>
            <w:vAlign w:val="center"/>
            <w:hideMark/>
          </w:tcPr>
          <w:p w:rsidR="003C4F7A" w:rsidRPr="00685949" w:rsidRDefault="003C4F7A" w:rsidP="00095090">
            <w:pPr>
              <w:spacing w:before="60" w:after="60" w:line="240" w:lineRule="auto"/>
              <w:jc w:val="center"/>
              <w:rPr>
                <w:rFonts w:eastAsia="Times New Roman" w:cs="Arial"/>
                <w:bCs/>
                <w:sz w:val="20"/>
                <w:szCs w:val="20"/>
              </w:rPr>
            </w:pPr>
            <w:r w:rsidRPr="00685949">
              <w:rPr>
                <w:rFonts w:eastAsia="Times New Roman" w:cs="Arial"/>
                <w:bCs/>
                <w:sz w:val="20"/>
                <w:szCs w:val="20"/>
              </w:rPr>
              <w:t>Curto</w:t>
            </w:r>
          </w:p>
        </w:tc>
      </w:tr>
      <w:tr w:rsidR="003C4F7A" w:rsidRPr="00F75CE5" w:rsidTr="00665BBB">
        <w:trPr>
          <w:cantSplit/>
          <w:trHeight w:val="454"/>
          <w:jc w:val="center"/>
        </w:trPr>
        <w:tc>
          <w:tcPr>
            <w:tcW w:w="0" w:type="auto"/>
            <w:vMerge/>
            <w:tcBorders>
              <w:left w:val="nil"/>
              <w:right w:val="single" w:sz="4" w:space="0" w:color="1F497D" w:themeColor="text2"/>
            </w:tcBorders>
            <w:vAlign w:val="center"/>
            <w:hideMark/>
          </w:tcPr>
          <w:p w:rsidR="003C4F7A" w:rsidRPr="00F75CE5" w:rsidRDefault="003C4F7A" w:rsidP="00B94A15">
            <w:pPr>
              <w:spacing w:line="240" w:lineRule="auto"/>
              <w:jc w:val="left"/>
              <w:rPr>
                <w:rFonts w:eastAsia="Times New Roman" w:cs="Arial"/>
                <w:bCs/>
                <w:sz w:val="20"/>
                <w:szCs w:val="20"/>
              </w:rPr>
            </w:pPr>
          </w:p>
        </w:tc>
        <w:tc>
          <w:tcPr>
            <w:tcW w:w="0" w:type="auto"/>
            <w:tcBorders>
              <w:top w:val="dashSmallGap" w:sz="4" w:space="0" w:color="1F497D" w:themeColor="text2"/>
              <w:left w:val="single" w:sz="4" w:space="0" w:color="1F497D" w:themeColor="text2"/>
              <w:bottom w:val="dashSmallGap" w:sz="4" w:space="0" w:color="1F497D" w:themeColor="text2"/>
              <w:right w:val="single" w:sz="4" w:space="0" w:color="1F497D" w:themeColor="text2"/>
            </w:tcBorders>
            <w:vAlign w:val="center"/>
            <w:hideMark/>
          </w:tcPr>
          <w:p w:rsidR="003C4F7A" w:rsidRPr="00F75CE5" w:rsidRDefault="003C4F7A" w:rsidP="00B94A15">
            <w:pPr>
              <w:spacing w:before="60" w:after="60" w:line="240" w:lineRule="auto"/>
              <w:rPr>
                <w:rFonts w:eastAsia="Times New Roman" w:cs="Arial"/>
                <w:color w:val="000000"/>
                <w:sz w:val="20"/>
                <w:szCs w:val="20"/>
              </w:rPr>
            </w:pPr>
            <w:r w:rsidRPr="00F75CE5">
              <w:rPr>
                <w:rFonts w:eastAsia="Times New Roman" w:cs="Arial"/>
                <w:color w:val="000000"/>
                <w:sz w:val="20"/>
                <w:szCs w:val="20"/>
              </w:rPr>
              <w:t>5.5 Ter regulamentada a diferenciação entre pequenos e grandes geradores.</w:t>
            </w:r>
          </w:p>
        </w:tc>
        <w:tc>
          <w:tcPr>
            <w:tcW w:w="0" w:type="auto"/>
            <w:tcBorders>
              <w:top w:val="dashSmallGap" w:sz="4" w:space="0" w:color="1F497D" w:themeColor="text2"/>
              <w:left w:val="single" w:sz="4" w:space="0" w:color="1F497D" w:themeColor="text2"/>
              <w:bottom w:val="dashSmallGap" w:sz="4" w:space="0" w:color="1F497D" w:themeColor="text2"/>
              <w:right w:val="nil"/>
            </w:tcBorders>
            <w:vAlign w:val="center"/>
            <w:hideMark/>
          </w:tcPr>
          <w:p w:rsidR="003C4F7A" w:rsidRPr="00685949" w:rsidRDefault="003C4F7A" w:rsidP="00095090">
            <w:pPr>
              <w:spacing w:before="60" w:after="60" w:line="240" w:lineRule="auto"/>
              <w:jc w:val="center"/>
              <w:rPr>
                <w:rFonts w:eastAsia="Times New Roman" w:cs="Arial"/>
                <w:bCs/>
                <w:sz w:val="20"/>
                <w:szCs w:val="20"/>
              </w:rPr>
            </w:pPr>
            <w:r w:rsidRPr="00685949">
              <w:rPr>
                <w:rFonts w:eastAsia="Times New Roman" w:cs="Arial"/>
                <w:bCs/>
                <w:sz w:val="20"/>
                <w:szCs w:val="20"/>
              </w:rPr>
              <w:t>Curto</w:t>
            </w:r>
          </w:p>
        </w:tc>
      </w:tr>
      <w:tr w:rsidR="003C4F7A" w:rsidRPr="00F75CE5" w:rsidTr="00665BBB">
        <w:trPr>
          <w:cantSplit/>
          <w:trHeight w:val="454"/>
          <w:jc w:val="center"/>
        </w:trPr>
        <w:tc>
          <w:tcPr>
            <w:tcW w:w="0" w:type="auto"/>
            <w:vMerge/>
            <w:tcBorders>
              <w:left w:val="nil"/>
              <w:right w:val="single" w:sz="4" w:space="0" w:color="1F497D" w:themeColor="text2"/>
            </w:tcBorders>
            <w:vAlign w:val="center"/>
            <w:hideMark/>
          </w:tcPr>
          <w:p w:rsidR="003C4F7A" w:rsidRPr="00F75CE5" w:rsidRDefault="003C4F7A" w:rsidP="00B94A15">
            <w:pPr>
              <w:spacing w:line="240" w:lineRule="auto"/>
              <w:jc w:val="left"/>
              <w:rPr>
                <w:rFonts w:eastAsia="Times New Roman" w:cs="Arial"/>
                <w:bCs/>
                <w:sz w:val="20"/>
                <w:szCs w:val="20"/>
              </w:rPr>
            </w:pPr>
          </w:p>
        </w:tc>
        <w:tc>
          <w:tcPr>
            <w:tcW w:w="0" w:type="auto"/>
            <w:tcBorders>
              <w:top w:val="dashSmallGap" w:sz="4" w:space="0" w:color="1F497D" w:themeColor="text2"/>
              <w:left w:val="single" w:sz="4" w:space="0" w:color="1F497D" w:themeColor="text2"/>
              <w:bottom w:val="dashSmallGap" w:sz="4" w:space="0" w:color="1F497D" w:themeColor="text2"/>
              <w:right w:val="single" w:sz="4" w:space="0" w:color="1F497D" w:themeColor="text2"/>
            </w:tcBorders>
            <w:vAlign w:val="center"/>
            <w:hideMark/>
          </w:tcPr>
          <w:p w:rsidR="003C4F7A" w:rsidRPr="00F75CE5" w:rsidRDefault="003C4F7A" w:rsidP="00B94A15">
            <w:pPr>
              <w:spacing w:before="60" w:after="60" w:line="240" w:lineRule="auto"/>
              <w:rPr>
                <w:rFonts w:eastAsia="Times New Roman" w:cs="Arial"/>
                <w:color w:val="000000"/>
                <w:sz w:val="20"/>
                <w:szCs w:val="20"/>
              </w:rPr>
            </w:pPr>
            <w:r w:rsidRPr="00F75CE5">
              <w:rPr>
                <w:rFonts w:eastAsia="Times New Roman" w:cs="Arial"/>
                <w:color w:val="000000"/>
                <w:sz w:val="20"/>
                <w:szCs w:val="20"/>
              </w:rPr>
              <w:t>5.6 Ter regulamentadas as regras e penalidades para a disposição de resíduos sólidos.</w:t>
            </w:r>
          </w:p>
        </w:tc>
        <w:tc>
          <w:tcPr>
            <w:tcW w:w="0" w:type="auto"/>
            <w:tcBorders>
              <w:top w:val="dashSmallGap" w:sz="4" w:space="0" w:color="1F497D" w:themeColor="text2"/>
              <w:left w:val="single" w:sz="4" w:space="0" w:color="1F497D" w:themeColor="text2"/>
              <w:bottom w:val="dashSmallGap" w:sz="4" w:space="0" w:color="1F497D" w:themeColor="text2"/>
              <w:right w:val="nil"/>
            </w:tcBorders>
            <w:vAlign w:val="center"/>
            <w:hideMark/>
          </w:tcPr>
          <w:p w:rsidR="003C4F7A" w:rsidRPr="00685949" w:rsidRDefault="003C4F7A" w:rsidP="00095090">
            <w:pPr>
              <w:spacing w:before="60" w:after="60" w:line="240" w:lineRule="auto"/>
              <w:jc w:val="center"/>
              <w:rPr>
                <w:rFonts w:eastAsia="Times New Roman" w:cs="Arial"/>
                <w:bCs/>
                <w:sz w:val="20"/>
                <w:szCs w:val="20"/>
              </w:rPr>
            </w:pPr>
            <w:r w:rsidRPr="00685949">
              <w:rPr>
                <w:rFonts w:eastAsia="Times New Roman" w:cs="Arial"/>
                <w:bCs/>
                <w:sz w:val="20"/>
                <w:szCs w:val="20"/>
              </w:rPr>
              <w:t>Curto</w:t>
            </w:r>
          </w:p>
        </w:tc>
      </w:tr>
      <w:tr w:rsidR="00236EF3" w:rsidRPr="000012B7" w:rsidTr="00665BBB">
        <w:trPr>
          <w:cantSplit/>
          <w:trHeight w:val="454"/>
          <w:jc w:val="center"/>
        </w:trPr>
        <w:tc>
          <w:tcPr>
            <w:tcW w:w="0" w:type="auto"/>
            <w:vMerge/>
            <w:tcBorders>
              <w:left w:val="nil"/>
              <w:right w:val="single" w:sz="4" w:space="0" w:color="1F497D" w:themeColor="text2"/>
            </w:tcBorders>
            <w:vAlign w:val="center"/>
            <w:hideMark/>
          </w:tcPr>
          <w:p w:rsidR="00236EF3" w:rsidRPr="00F75CE5" w:rsidRDefault="00236EF3" w:rsidP="00B94A15">
            <w:pPr>
              <w:spacing w:line="240" w:lineRule="auto"/>
              <w:jc w:val="left"/>
              <w:rPr>
                <w:rFonts w:eastAsia="Times New Roman" w:cs="Arial"/>
                <w:bCs/>
                <w:sz w:val="20"/>
                <w:szCs w:val="20"/>
              </w:rPr>
            </w:pPr>
          </w:p>
        </w:tc>
        <w:tc>
          <w:tcPr>
            <w:tcW w:w="0" w:type="auto"/>
            <w:tcBorders>
              <w:top w:val="dashSmallGap" w:sz="4" w:space="0" w:color="1F497D" w:themeColor="text2"/>
              <w:left w:val="single" w:sz="4" w:space="0" w:color="1F497D" w:themeColor="text2"/>
              <w:bottom w:val="single" w:sz="4" w:space="0" w:color="1F497D" w:themeColor="text2"/>
              <w:right w:val="single" w:sz="4" w:space="0" w:color="1F497D" w:themeColor="text2"/>
            </w:tcBorders>
            <w:vAlign w:val="center"/>
            <w:hideMark/>
          </w:tcPr>
          <w:p w:rsidR="00236EF3" w:rsidRPr="00F75CE5" w:rsidRDefault="00236EF3" w:rsidP="00B94A15">
            <w:pPr>
              <w:spacing w:before="60" w:after="60" w:line="240" w:lineRule="auto"/>
              <w:rPr>
                <w:rFonts w:eastAsia="Times New Roman" w:cs="Arial"/>
                <w:color w:val="000000"/>
                <w:sz w:val="20"/>
                <w:szCs w:val="20"/>
              </w:rPr>
            </w:pPr>
            <w:r w:rsidRPr="00F75CE5">
              <w:rPr>
                <w:rFonts w:eastAsia="Times New Roman" w:cs="Arial"/>
                <w:color w:val="000000"/>
                <w:sz w:val="20"/>
                <w:szCs w:val="20"/>
              </w:rPr>
              <w:t>5.7 Ter regulamentada a coleta de resíduos especiais (logística reversa).</w:t>
            </w:r>
          </w:p>
        </w:tc>
        <w:tc>
          <w:tcPr>
            <w:tcW w:w="0" w:type="auto"/>
            <w:tcBorders>
              <w:top w:val="dashSmallGap" w:sz="4" w:space="0" w:color="1F497D" w:themeColor="text2"/>
              <w:left w:val="single" w:sz="4" w:space="0" w:color="1F497D" w:themeColor="text2"/>
              <w:bottom w:val="single" w:sz="4" w:space="0" w:color="1F497D" w:themeColor="text2"/>
              <w:right w:val="nil"/>
            </w:tcBorders>
            <w:vAlign w:val="center"/>
            <w:hideMark/>
          </w:tcPr>
          <w:p w:rsidR="00236EF3" w:rsidRPr="00685949" w:rsidRDefault="00236EF3" w:rsidP="00B94A15">
            <w:pPr>
              <w:spacing w:before="60" w:after="60" w:line="240" w:lineRule="auto"/>
              <w:jc w:val="center"/>
              <w:rPr>
                <w:rFonts w:eastAsia="Times New Roman" w:cs="Arial"/>
                <w:bCs/>
                <w:sz w:val="20"/>
                <w:szCs w:val="20"/>
              </w:rPr>
            </w:pPr>
            <w:r w:rsidRPr="00685949">
              <w:rPr>
                <w:rFonts w:eastAsia="Times New Roman" w:cs="Arial"/>
                <w:bCs/>
                <w:sz w:val="20"/>
                <w:szCs w:val="20"/>
              </w:rPr>
              <w:t>Curto</w:t>
            </w:r>
          </w:p>
        </w:tc>
      </w:tr>
      <w:tr w:rsidR="00236EF3" w:rsidRPr="000012B7" w:rsidTr="00665BBB">
        <w:trPr>
          <w:cantSplit/>
          <w:trHeight w:val="454"/>
          <w:jc w:val="center"/>
        </w:trPr>
        <w:tc>
          <w:tcPr>
            <w:tcW w:w="0" w:type="auto"/>
            <w:vMerge/>
            <w:tcBorders>
              <w:left w:val="nil"/>
              <w:bottom w:val="single" w:sz="4" w:space="0" w:color="1F497D" w:themeColor="text2"/>
              <w:right w:val="single" w:sz="4" w:space="0" w:color="1F497D" w:themeColor="text2"/>
            </w:tcBorders>
            <w:vAlign w:val="center"/>
          </w:tcPr>
          <w:p w:rsidR="00236EF3" w:rsidRPr="00F75CE5" w:rsidRDefault="00236EF3" w:rsidP="00B94A15">
            <w:pPr>
              <w:spacing w:line="240" w:lineRule="auto"/>
              <w:jc w:val="left"/>
              <w:rPr>
                <w:rFonts w:eastAsia="Times New Roman" w:cs="Arial"/>
                <w:bCs/>
                <w:sz w:val="20"/>
                <w:szCs w:val="20"/>
              </w:rPr>
            </w:pPr>
          </w:p>
        </w:tc>
        <w:tc>
          <w:tcPr>
            <w:tcW w:w="0" w:type="auto"/>
            <w:tcBorders>
              <w:top w:val="dashSmallGap" w:sz="4" w:space="0" w:color="1F497D" w:themeColor="text2"/>
              <w:left w:val="single" w:sz="4" w:space="0" w:color="1F497D" w:themeColor="text2"/>
              <w:bottom w:val="single" w:sz="4" w:space="0" w:color="1F497D" w:themeColor="text2"/>
              <w:right w:val="single" w:sz="4" w:space="0" w:color="1F497D" w:themeColor="text2"/>
            </w:tcBorders>
            <w:vAlign w:val="center"/>
          </w:tcPr>
          <w:p w:rsidR="00236EF3" w:rsidRPr="00236EF3" w:rsidRDefault="00236EF3" w:rsidP="00B94A15">
            <w:pPr>
              <w:spacing w:before="60" w:after="60" w:line="240" w:lineRule="auto"/>
              <w:rPr>
                <w:rFonts w:eastAsia="Times New Roman" w:cs="Arial"/>
                <w:color w:val="000000"/>
                <w:sz w:val="20"/>
                <w:szCs w:val="20"/>
              </w:rPr>
            </w:pPr>
            <w:r w:rsidRPr="00236EF3">
              <w:rPr>
                <w:rFonts w:eastAsia="Times New Roman" w:cs="Arial"/>
                <w:sz w:val="20"/>
                <w:szCs w:val="20"/>
              </w:rPr>
              <w:t>5.8 Ter uma gestão do sistema de resíduos que seja eficiente e integrada.</w:t>
            </w:r>
          </w:p>
        </w:tc>
        <w:tc>
          <w:tcPr>
            <w:tcW w:w="0" w:type="auto"/>
            <w:tcBorders>
              <w:top w:val="dashSmallGap" w:sz="4" w:space="0" w:color="1F497D" w:themeColor="text2"/>
              <w:left w:val="single" w:sz="4" w:space="0" w:color="1F497D" w:themeColor="text2"/>
              <w:bottom w:val="single" w:sz="4" w:space="0" w:color="1F497D" w:themeColor="text2"/>
              <w:right w:val="nil"/>
            </w:tcBorders>
            <w:vAlign w:val="center"/>
          </w:tcPr>
          <w:p w:rsidR="00236EF3" w:rsidRPr="00685949" w:rsidRDefault="00EF2750" w:rsidP="00B94A15">
            <w:pPr>
              <w:spacing w:before="60" w:after="60" w:line="240" w:lineRule="auto"/>
              <w:jc w:val="center"/>
              <w:rPr>
                <w:rFonts w:eastAsia="Times New Roman" w:cs="Arial"/>
                <w:bCs/>
                <w:sz w:val="20"/>
                <w:szCs w:val="20"/>
              </w:rPr>
            </w:pPr>
            <w:r w:rsidRPr="00685949">
              <w:rPr>
                <w:rFonts w:eastAsia="Times New Roman" w:cs="Arial"/>
                <w:bCs/>
                <w:sz w:val="20"/>
                <w:szCs w:val="20"/>
              </w:rPr>
              <w:t>Curto</w:t>
            </w:r>
          </w:p>
        </w:tc>
      </w:tr>
      <w:tr w:rsidR="00646530" w:rsidRPr="00F75CE5" w:rsidTr="00B94A15">
        <w:trPr>
          <w:cantSplit/>
          <w:trHeight w:val="680"/>
          <w:jc w:val="center"/>
        </w:trPr>
        <w:tc>
          <w:tcPr>
            <w:tcW w:w="0" w:type="auto"/>
            <w:vMerge w:val="restart"/>
            <w:tcBorders>
              <w:top w:val="single" w:sz="4" w:space="0" w:color="1F497D" w:themeColor="text2"/>
              <w:left w:val="nil"/>
              <w:bottom w:val="single" w:sz="4" w:space="0" w:color="1F497D" w:themeColor="text2"/>
              <w:right w:val="single" w:sz="4" w:space="0" w:color="1F497D" w:themeColor="text2"/>
            </w:tcBorders>
            <w:vAlign w:val="center"/>
            <w:hideMark/>
          </w:tcPr>
          <w:p w:rsidR="00646530" w:rsidRPr="00F75CE5" w:rsidRDefault="00646530" w:rsidP="00B94A15">
            <w:pPr>
              <w:spacing w:before="60" w:after="60" w:line="240" w:lineRule="auto"/>
              <w:rPr>
                <w:rFonts w:eastAsia="Times New Roman" w:cs="Arial"/>
                <w:bCs/>
                <w:sz w:val="20"/>
                <w:szCs w:val="20"/>
              </w:rPr>
            </w:pPr>
            <w:r w:rsidRPr="00F75CE5">
              <w:rPr>
                <w:rFonts w:eastAsia="Times New Roman" w:cs="Arial"/>
                <w:bCs/>
                <w:sz w:val="20"/>
                <w:szCs w:val="20"/>
              </w:rPr>
              <w:lastRenderedPageBreak/>
              <w:t>6. Atender à legislação ambiental aplicável ao gerenciamento de resíduos sólidos.</w:t>
            </w:r>
          </w:p>
        </w:tc>
        <w:tc>
          <w:tcPr>
            <w:tcW w:w="0" w:type="auto"/>
            <w:tcBorders>
              <w:top w:val="single" w:sz="4" w:space="0" w:color="1F497D" w:themeColor="text2"/>
              <w:left w:val="single" w:sz="4" w:space="0" w:color="1F497D" w:themeColor="text2"/>
              <w:bottom w:val="dashSmallGap" w:sz="4" w:space="0" w:color="1F497D" w:themeColor="text2"/>
              <w:right w:val="single" w:sz="4" w:space="0" w:color="1F497D" w:themeColor="text2"/>
            </w:tcBorders>
            <w:vAlign w:val="center"/>
            <w:hideMark/>
          </w:tcPr>
          <w:p w:rsidR="00646530" w:rsidRPr="00F75CE5" w:rsidRDefault="00646530" w:rsidP="00B94A15">
            <w:pPr>
              <w:spacing w:before="60" w:after="60" w:line="240" w:lineRule="auto"/>
              <w:rPr>
                <w:rFonts w:cs="Arial"/>
                <w:bCs/>
                <w:sz w:val="20"/>
                <w:szCs w:val="20"/>
              </w:rPr>
            </w:pPr>
            <w:r w:rsidRPr="00F75CE5">
              <w:rPr>
                <w:rFonts w:eastAsia="Times New Roman" w:cs="Arial"/>
                <w:bCs/>
                <w:sz w:val="20"/>
                <w:szCs w:val="20"/>
              </w:rPr>
              <w:t xml:space="preserve">6.1. </w:t>
            </w:r>
            <w:r w:rsidRPr="00F75CE5">
              <w:rPr>
                <w:rFonts w:cs="Arial"/>
                <w:bCs/>
                <w:sz w:val="20"/>
                <w:szCs w:val="20"/>
              </w:rPr>
              <w:t>Garantir a disposição final ambientalmente adequada de resíduos sólidos (eliminação de lixões e recuperação de áreas degradadas).</w:t>
            </w:r>
          </w:p>
        </w:tc>
        <w:tc>
          <w:tcPr>
            <w:tcW w:w="0" w:type="auto"/>
            <w:tcBorders>
              <w:top w:val="single" w:sz="4" w:space="0" w:color="1F497D" w:themeColor="text2"/>
              <w:left w:val="single" w:sz="4" w:space="0" w:color="1F497D" w:themeColor="text2"/>
              <w:bottom w:val="dashSmallGap" w:sz="4" w:space="0" w:color="1F497D" w:themeColor="text2"/>
              <w:right w:val="nil"/>
            </w:tcBorders>
            <w:vAlign w:val="center"/>
            <w:hideMark/>
          </w:tcPr>
          <w:p w:rsidR="00646530" w:rsidRPr="00685949" w:rsidRDefault="00005D07" w:rsidP="00B94A15">
            <w:pPr>
              <w:spacing w:before="60" w:after="60" w:line="240" w:lineRule="auto"/>
              <w:jc w:val="center"/>
              <w:rPr>
                <w:rFonts w:eastAsia="Times New Roman" w:cs="Arial"/>
                <w:bCs/>
                <w:sz w:val="20"/>
                <w:szCs w:val="20"/>
              </w:rPr>
            </w:pPr>
            <w:r>
              <w:rPr>
                <w:rFonts w:eastAsia="Times New Roman" w:cs="Arial"/>
                <w:bCs/>
                <w:sz w:val="20"/>
                <w:szCs w:val="20"/>
              </w:rPr>
              <w:t>Imediato</w:t>
            </w:r>
          </w:p>
        </w:tc>
      </w:tr>
      <w:tr w:rsidR="00646530" w:rsidRPr="00F75CE5" w:rsidTr="00B94A15">
        <w:trPr>
          <w:cantSplit/>
          <w:trHeight w:val="680"/>
          <w:jc w:val="center"/>
        </w:trPr>
        <w:tc>
          <w:tcPr>
            <w:tcW w:w="0" w:type="auto"/>
            <w:vMerge/>
            <w:tcBorders>
              <w:top w:val="single" w:sz="4" w:space="0" w:color="1F497D" w:themeColor="text2"/>
              <w:left w:val="nil"/>
              <w:bottom w:val="single" w:sz="4" w:space="0" w:color="1F497D" w:themeColor="text2"/>
              <w:right w:val="single" w:sz="4" w:space="0" w:color="1F497D" w:themeColor="text2"/>
            </w:tcBorders>
            <w:vAlign w:val="center"/>
            <w:hideMark/>
          </w:tcPr>
          <w:p w:rsidR="00646530" w:rsidRPr="00F75CE5" w:rsidRDefault="00646530" w:rsidP="00B94A15">
            <w:pPr>
              <w:spacing w:line="240" w:lineRule="auto"/>
              <w:jc w:val="left"/>
              <w:rPr>
                <w:rFonts w:eastAsia="Times New Roman" w:cs="Arial"/>
                <w:bCs/>
                <w:sz w:val="20"/>
                <w:szCs w:val="20"/>
              </w:rPr>
            </w:pPr>
          </w:p>
        </w:tc>
        <w:tc>
          <w:tcPr>
            <w:tcW w:w="0" w:type="auto"/>
            <w:tcBorders>
              <w:top w:val="dashSmallGap" w:sz="4" w:space="0" w:color="1F497D" w:themeColor="text2"/>
              <w:left w:val="single" w:sz="4" w:space="0" w:color="1F497D" w:themeColor="text2"/>
              <w:bottom w:val="dashSmallGap" w:sz="4" w:space="0" w:color="1F497D" w:themeColor="text2"/>
              <w:right w:val="single" w:sz="4" w:space="0" w:color="1F497D" w:themeColor="text2"/>
            </w:tcBorders>
            <w:vAlign w:val="center"/>
            <w:hideMark/>
          </w:tcPr>
          <w:p w:rsidR="00646530" w:rsidRPr="00F75CE5" w:rsidRDefault="00646530" w:rsidP="00B94A15">
            <w:pPr>
              <w:spacing w:before="60" w:after="60" w:line="240" w:lineRule="auto"/>
              <w:rPr>
                <w:rFonts w:eastAsia="Times New Roman" w:cs="Arial"/>
                <w:bCs/>
                <w:sz w:val="20"/>
                <w:szCs w:val="20"/>
              </w:rPr>
            </w:pPr>
            <w:r w:rsidRPr="00F75CE5">
              <w:rPr>
                <w:rFonts w:eastAsia="Times New Roman" w:cs="Arial"/>
                <w:bCs/>
                <w:sz w:val="20"/>
                <w:szCs w:val="20"/>
              </w:rPr>
              <w:t>6.2.</w:t>
            </w:r>
            <w:r w:rsidRPr="00F75CE5">
              <w:rPr>
                <w:rFonts w:ascii="Calibri" w:eastAsia="Times New Roman"/>
                <w:color w:val="000000"/>
                <w:kern w:val="24"/>
                <w:sz w:val="20"/>
                <w:szCs w:val="20"/>
              </w:rPr>
              <w:t xml:space="preserve"> </w:t>
            </w:r>
            <w:r w:rsidRPr="00F75CE5">
              <w:rPr>
                <w:rFonts w:eastAsia="Times New Roman" w:cs="Arial"/>
                <w:bCs/>
                <w:sz w:val="20"/>
                <w:szCs w:val="20"/>
              </w:rPr>
              <w:t>Todas as licenças ambientais das atividades relacionadas ao gerenciamento de resíduos sólidos existentes regularizadas.</w:t>
            </w:r>
          </w:p>
        </w:tc>
        <w:tc>
          <w:tcPr>
            <w:tcW w:w="0" w:type="auto"/>
            <w:tcBorders>
              <w:top w:val="dashSmallGap" w:sz="4" w:space="0" w:color="1F497D" w:themeColor="text2"/>
              <w:left w:val="single" w:sz="4" w:space="0" w:color="1F497D" w:themeColor="text2"/>
              <w:bottom w:val="dashSmallGap" w:sz="4" w:space="0" w:color="1F497D" w:themeColor="text2"/>
              <w:right w:val="nil"/>
            </w:tcBorders>
            <w:vAlign w:val="center"/>
            <w:hideMark/>
          </w:tcPr>
          <w:p w:rsidR="00646530" w:rsidRPr="00685949" w:rsidRDefault="00646530" w:rsidP="00B94A15">
            <w:pPr>
              <w:spacing w:before="60" w:after="60" w:line="240" w:lineRule="auto"/>
              <w:jc w:val="center"/>
              <w:rPr>
                <w:rFonts w:eastAsia="Times New Roman" w:cs="Arial"/>
                <w:bCs/>
                <w:sz w:val="20"/>
                <w:szCs w:val="20"/>
              </w:rPr>
            </w:pPr>
            <w:r w:rsidRPr="00685949">
              <w:rPr>
                <w:rFonts w:eastAsia="Times New Roman" w:cs="Arial"/>
                <w:bCs/>
                <w:sz w:val="20"/>
                <w:szCs w:val="20"/>
              </w:rPr>
              <w:t>Curto</w:t>
            </w:r>
          </w:p>
        </w:tc>
      </w:tr>
      <w:tr w:rsidR="00646530" w:rsidRPr="00F75CE5" w:rsidTr="00B94A15">
        <w:trPr>
          <w:cantSplit/>
          <w:trHeight w:val="680"/>
          <w:jc w:val="center"/>
        </w:trPr>
        <w:tc>
          <w:tcPr>
            <w:tcW w:w="0" w:type="auto"/>
            <w:vMerge/>
            <w:tcBorders>
              <w:top w:val="single" w:sz="4" w:space="0" w:color="1F497D" w:themeColor="text2"/>
              <w:left w:val="nil"/>
              <w:bottom w:val="single" w:sz="4" w:space="0" w:color="1F497D" w:themeColor="text2"/>
              <w:right w:val="single" w:sz="4" w:space="0" w:color="1F497D" w:themeColor="text2"/>
            </w:tcBorders>
            <w:vAlign w:val="center"/>
            <w:hideMark/>
          </w:tcPr>
          <w:p w:rsidR="00646530" w:rsidRPr="00F75CE5" w:rsidRDefault="00646530" w:rsidP="00B94A15">
            <w:pPr>
              <w:spacing w:line="240" w:lineRule="auto"/>
              <w:jc w:val="left"/>
              <w:rPr>
                <w:rFonts w:eastAsia="Times New Roman" w:cs="Arial"/>
                <w:bCs/>
                <w:sz w:val="20"/>
                <w:szCs w:val="20"/>
              </w:rPr>
            </w:pPr>
          </w:p>
        </w:tc>
        <w:tc>
          <w:tcPr>
            <w:tcW w:w="0" w:type="auto"/>
            <w:tcBorders>
              <w:top w:val="dashSmallGap" w:sz="4" w:space="0" w:color="1F497D" w:themeColor="text2"/>
              <w:left w:val="single" w:sz="4" w:space="0" w:color="1F497D" w:themeColor="text2"/>
              <w:bottom w:val="single" w:sz="4" w:space="0" w:color="1F497D" w:themeColor="text2"/>
              <w:right w:val="single" w:sz="4" w:space="0" w:color="1F497D" w:themeColor="text2"/>
            </w:tcBorders>
            <w:vAlign w:val="center"/>
            <w:hideMark/>
          </w:tcPr>
          <w:p w:rsidR="00646530" w:rsidRPr="00F75CE5" w:rsidRDefault="00646530" w:rsidP="00B94A15">
            <w:pPr>
              <w:spacing w:before="60" w:after="60" w:line="240" w:lineRule="auto"/>
              <w:rPr>
                <w:rFonts w:eastAsia="Times New Roman" w:cs="Arial"/>
                <w:bCs/>
                <w:sz w:val="20"/>
                <w:szCs w:val="20"/>
              </w:rPr>
            </w:pPr>
            <w:r w:rsidRPr="00F75CE5">
              <w:rPr>
                <w:rFonts w:eastAsia="Times New Roman" w:cs="Arial"/>
                <w:bCs/>
                <w:sz w:val="20"/>
                <w:szCs w:val="20"/>
              </w:rPr>
              <w:t xml:space="preserve">6.3. </w:t>
            </w:r>
            <w:r w:rsidRPr="00F75CE5">
              <w:rPr>
                <w:rFonts w:eastAsia="Times New Roman" w:cs="Arial"/>
                <w:color w:val="000000"/>
                <w:sz w:val="20"/>
                <w:szCs w:val="20"/>
              </w:rPr>
              <w:t>Acompanhamento garantido da regularidade das licenças ambientais da infraestrutura existente e a serem instaladas relacionadas ao sistema de limpeza urbana e manejo de resíduos sólidos.</w:t>
            </w:r>
          </w:p>
        </w:tc>
        <w:tc>
          <w:tcPr>
            <w:tcW w:w="0" w:type="auto"/>
            <w:tcBorders>
              <w:top w:val="dashSmallGap" w:sz="4" w:space="0" w:color="1F497D" w:themeColor="text2"/>
              <w:left w:val="single" w:sz="4" w:space="0" w:color="1F497D" w:themeColor="text2"/>
              <w:bottom w:val="single" w:sz="4" w:space="0" w:color="1F497D" w:themeColor="text2"/>
              <w:right w:val="nil"/>
            </w:tcBorders>
            <w:vAlign w:val="center"/>
            <w:hideMark/>
          </w:tcPr>
          <w:p w:rsidR="00646530" w:rsidRPr="00685949" w:rsidRDefault="003C4F7A" w:rsidP="00B94A15">
            <w:pPr>
              <w:spacing w:before="60" w:after="60" w:line="240" w:lineRule="auto"/>
              <w:jc w:val="center"/>
              <w:rPr>
                <w:rFonts w:eastAsia="Times New Roman" w:cs="Arial"/>
                <w:bCs/>
                <w:sz w:val="20"/>
                <w:szCs w:val="20"/>
              </w:rPr>
            </w:pPr>
            <w:r w:rsidRPr="00685949">
              <w:rPr>
                <w:rFonts w:eastAsia="Times New Roman" w:cs="Arial"/>
                <w:bCs/>
                <w:sz w:val="20"/>
                <w:szCs w:val="20"/>
              </w:rPr>
              <w:t>Longo</w:t>
            </w:r>
          </w:p>
        </w:tc>
      </w:tr>
      <w:tr w:rsidR="00646530" w:rsidRPr="00F75CE5" w:rsidTr="00B94A15">
        <w:trPr>
          <w:cantSplit/>
          <w:trHeight w:val="680"/>
          <w:jc w:val="center"/>
        </w:trPr>
        <w:tc>
          <w:tcPr>
            <w:tcW w:w="0" w:type="auto"/>
            <w:vMerge w:val="restart"/>
            <w:tcBorders>
              <w:top w:val="single" w:sz="4" w:space="0" w:color="1F497D" w:themeColor="text2"/>
              <w:left w:val="nil"/>
              <w:bottom w:val="single" w:sz="4" w:space="0" w:color="1F497D" w:themeColor="text2"/>
              <w:right w:val="single" w:sz="4" w:space="0" w:color="1F497D" w:themeColor="text2"/>
            </w:tcBorders>
            <w:vAlign w:val="center"/>
            <w:hideMark/>
          </w:tcPr>
          <w:p w:rsidR="00646530" w:rsidRPr="00F75CE5" w:rsidRDefault="00646530" w:rsidP="00B94A15">
            <w:pPr>
              <w:spacing w:before="60" w:after="60" w:line="240" w:lineRule="auto"/>
              <w:rPr>
                <w:rFonts w:eastAsia="Times New Roman" w:cs="Arial"/>
                <w:bCs/>
                <w:sz w:val="20"/>
                <w:szCs w:val="20"/>
              </w:rPr>
            </w:pPr>
            <w:r w:rsidRPr="00F75CE5">
              <w:rPr>
                <w:rFonts w:eastAsia="Times New Roman" w:cs="Arial"/>
                <w:bCs/>
                <w:sz w:val="20"/>
                <w:szCs w:val="20"/>
              </w:rPr>
              <w:t>7. Garantir a mobilização social e canais de comunicação com a sociedade, além de promover ações para a avaliação periódica da percepção dos usuários e para a promoção de educação ambiental.</w:t>
            </w:r>
          </w:p>
        </w:tc>
        <w:tc>
          <w:tcPr>
            <w:tcW w:w="0" w:type="auto"/>
            <w:tcBorders>
              <w:top w:val="single" w:sz="4" w:space="0" w:color="1F497D" w:themeColor="text2"/>
              <w:left w:val="single" w:sz="4" w:space="0" w:color="1F497D" w:themeColor="text2"/>
              <w:bottom w:val="dashSmallGap" w:sz="4" w:space="0" w:color="1F497D" w:themeColor="text2"/>
              <w:right w:val="single" w:sz="4" w:space="0" w:color="1F497D" w:themeColor="text2"/>
            </w:tcBorders>
            <w:vAlign w:val="center"/>
            <w:hideMark/>
          </w:tcPr>
          <w:p w:rsidR="00646530" w:rsidRPr="00F75CE5" w:rsidRDefault="00646530" w:rsidP="00B94A15">
            <w:pPr>
              <w:spacing w:before="60" w:after="60" w:line="240" w:lineRule="auto"/>
              <w:rPr>
                <w:rFonts w:eastAsia="Times New Roman" w:cs="Arial"/>
                <w:bCs/>
                <w:sz w:val="20"/>
                <w:szCs w:val="20"/>
              </w:rPr>
            </w:pPr>
            <w:r w:rsidRPr="00F75CE5">
              <w:rPr>
                <w:rFonts w:eastAsia="Times New Roman" w:cs="Arial"/>
                <w:bCs/>
                <w:sz w:val="20"/>
                <w:szCs w:val="20"/>
              </w:rPr>
              <w:t>7.1. Participação popular ativa na gestão de resíduos sólidos e no processo de tomada de decisão, com população instruída.</w:t>
            </w:r>
          </w:p>
        </w:tc>
        <w:tc>
          <w:tcPr>
            <w:tcW w:w="0" w:type="auto"/>
            <w:tcBorders>
              <w:top w:val="single" w:sz="4" w:space="0" w:color="1F497D" w:themeColor="text2"/>
              <w:left w:val="single" w:sz="4" w:space="0" w:color="1F497D" w:themeColor="text2"/>
              <w:bottom w:val="dashSmallGap" w:sz="4" w:space="0" w:color="1F497D" w:themeColor="text2"/>
              <w:right w:val="nil"/>
            </w:tcBorders>
            <w:vAlign w:val="center"/>
            <w:hideMark/>
          </w:tcPr>
          <w:p w:rsidR="00646530" w:rsidRPr="00685949" w:rsidRDefault="00646530" w:rsidP="00B94A15">
            <w:pPr>
              <w:spacing w:before="60" w:after="60" w:line="240" w:lineRule="auto"/>
              <w:jc w:val="center"/>
              <w:rPr>
                <w:rFonts w:eastAsia="Times New Roman" w:cs="Arial"/>
                <w:bCs/>
                <w:sz w:val="20"/>
                <w:szCs w:val="20"/>
              </w:rPr>
            </w:pPr>
            <w:r w:rsidRPr="00685949">
              <w:rPr>
                <w:rFonts w:eastAsia="Times New Roman" w:cs="Arial"/>
                <w:bCs/>
                <w:sz w:val="20"/>
                <w:szCs w:val="20"/>
              </w:rPr>
              <w:t>Imediato</w:t>
            </w:r>
          </w:p>
        </w:tc>
      </w:tr>
      <w:tr w:rsidR="00646530" w:rsidRPr="00F75CE5" w:rsidTr="00B94A15">
        <w:trPr>
          <w:cantSplit/>
          <w:trHeight w:val="680"/>
          <w:jc w:val="center"/>
        </w:trPr>
        <w:tc>
          <w:tcPr>
            <w:tcW w:w="0" w:type="auto"/>
            <w:vMerge/>
            <w:tcBorders>
              <w:top w:val="single" w:sz="4" w:space="0" w:color="1F497D" w:themeColor="text2"/>
              <w:left w:val="nil"/>
              <w:bottom w:val="single" w:sz="4" w:space="0" w:color="1F497D" w:themeColor="text2"/>
              <w:right w:val="single" w:sz="4" w:space="0" w:color="1F497D" w:themeColor="text2"/>
            </w:tcBorders>
            <w:vAlign w:val="center"/>
            <w:hideMark/>
          </w:tcPr>
          <w:p w:rsidR="00646530" w:rsidRPr="00F75CE5" w:rsidRDefault="00646530" w:rsidP="00B94A15">
            <w:pPr>
              <w:spacing w:line="240" w:lineRule="auto"/>
              <w:jc w:val="left"/>
              <w:rPr>
                <w:rFonts w:eastAsia="Times New Roman" w:cs="Arial"/>
                <w:bCs/>
                <w:sz w:val="20"/>
                <w:szCs w:val="20"/>
              </w:rPr>
            </w:pPr>
          </w:p>
        </w:tc>
        <w:tc>
          <w:tcPr>
            <w:tcW w:w="0" w:type="auto"/>
            <w:tcBorders>
              <w:top w:val="dashSmallGap" w:sz="4" w:space="0" w:color="1F497D" w:themeColor="text2"/>
              <w:left w:val="single" w:sz="4" w:space="0" w:color="1F497D" w:themeColor="text2"/>
              <w:bottom w:val="dashSmallGap" w:sz="4" w:space="0" w:color="1F497D" w:themeColor="text2"/>
              <w:right w:val="single" w:sz="4" w:space="0" w:color="1F497D" w:themeColor="text2"/>
            </w:tcBorders>
            <w:vAlign w:val="center"/>
            <w:hideMark/>
          </w:tcPr>
          <w:p w:rsidR="00646530" w:rsidRPr="00F75CE5" w:rsidRDefault="00646530" w:rsidP="00B94A15">
            <w:pPr>
              <w:spacing w:before="60" w:after="60" w:line="240" w:lineRule="auto"/>
              <w:rPr>
                <w:rFonts w:eastAsia="Times New Roman" w:cs="Arial"/>
                <w:bCs/>
                <w:sz w:val="20"/>
                <w:szCs w:val="20"/>
              </w:rPr>
            </w:pPr>
            <w:r w:rsidRPr="00F75CE5">
              <w:rPr>
                <w:rFonts w:eastAsia="Times New Roman" w:cs="Arial"/>
                <w:bCs/>
                <w:sz w:val="20"/>
                <w:szCs w:val="20"/>
              </w:rPr>
              <w:t>7.2. População conscientizada sobre questões relativas à diminuição da geração, reutilização e reciclagem de resíduos.</w:t>
            </w:r>
          </w:p>
        </w:tc>
        <w:tc>
          <w:tcPr>
            <w:tcW w:w="0" w:type="auto"/>
            <w:tcBorders>
              <w:top w:val="dashSmallGap" w:sz="4" w:space="0" w:color="1F497D" w:themeColor="text2"/>
              <w:left w:val="single" w:sz="4" w:space="0" w:color="1F497D" w:themeColor="text2"/>
              <w:bottom w:val="dashSmallGap" w:sz="4" w:space="0" w:color="1F497D" w:themeColor="text2"/>
              <w:right w:val="nil"/>
            </w:tcBorders>
            <w:vAlign w:val="center"/>
            <w:hideMark/>
          </w:tcPr>
          <w:p w:rsidR="00646530" w:rsidRPr="00685949" w:rsidRDefault="003C4F7A" w:rsidP="00B94A15">
            <w:pPr>
              <w:spacing w:before="60" w:after="60" w:line="240" w:lineRule="auto"/>
              <w:jc w:val="center"/>
              <w:rPr>
                <w:rFonts w:eastAsia="Times New Roman" w:cs="Arial"/>
                <w:bCs/>
                <w:sz w:val="20"/>
                <w:szCs w:val="20"/>
              </w:rPr>
            </w:pPr>
            <w:r w:rsidRPr="00685949">
              <w:rPr>
                <w:rFonts w:eastAsia="Times New Roman" w:cs="Arial"/>
                <w:bCs/>
                <w:sz w:val="20"/>
                <w:szCs w:val="20"/>
              </w:rPr>
              <w:t>Médio</w:t>
            </w:r>
          </w:p>
        </w:tc>
      </w:tr>
      <w:tr w:rsidR="00646530" w:rsidRPr="00F75CE5" w:rsidTr="00B94A15">
        <w:trPr>
          <w:cantSplit/>
          <w:trHeight w:val="680"/>
          <w:jc w:val="center"/>
        </w:trPr>
        <w:tc>
          <w:tcPr>
            <w:tcW w:w="0" w:type="auto"/>
            <w:vMerge/>
            <w:tcBorders>
              <w:top w:val="single" w:sz="4" w:space="0" w:color="1F497D" w:themeColor="text2"/>
              <w:left w:val="nil"/>
              <w:bottom w:val="single" w:sz="4" w:space="0" w:color="1F497D" w:themeColor="text2"/>
              <w:right w:val="single" w:sz="4" w:space="0" w:color="1F497D" w:themeColor="text2"/>
            </w:tcBorders>
            <w:vAlign w:val="center"/>
            <w:hideMark/>
          </w:tcPr>
          <w:p w:rsidR="00646530" w:rsidRPr="00F75CE5" w:rsidRDefault="00646530" w:rsidP="00B94A15">
            <w:pPr>
              <w:spacing w:line="240" w:lineRule="auto"/>
              <w:jc w:val="left"/>
              <w:rPr>
                <w:rFonts w:eastAsia="Times New Roman" w:cs="Arial"/>
                <w:bCs/>
                <w:sz w:val="20"/>
                <w:szCs w:val="20"/>
              </w:rPr>
            </w:pPr>
          </w:p>
        </w:tc>
        <w:tc>
          <w:tcPr>
            <w:tcW w:w="0" w:type="auto"/>
            <w:tcBorders>
              <w:top w:val="dashSmallGap" w:sz="4" w:space="0" w:color="1F497D" w:themeColor="text2"/>
              <w:left w:val="single" w:sz="4" w:space="0" w:color="1F497D" w:themeColor="text2"/>
              <w:bottom w:val="dashSmallGap" w:sz="4" w:space="0" w:color="1F497D" w:themeColor="text2"/>
              <w:right w:val="single" w:sz="4" w:space="0" w:color="1F497D" w:themeColor="text2"/>
            </w:tcBorders>
            <w:vAlign w:val="center"/>
            <w:hideMark/>
          </w:tcPr>
          <w:p w:rsidR="00646530" w:rsidRPr="00F75CE5" w:rsidRDefault="00646530" w:rsidP="00B94A15">
            <w:pPr>
              <w:spacing w:before="60" w:after="60" w:line="240" w:lineRule="auto"/>
              <w:rPr>
                <w:rFonts w:eastAsia="Times New Roman" w:cs="Arial"/>
                <w:bCs/>
                <w:sz w:val="20"/>
                <w:szCs w:val="20"/>
              </w:rPr>
            </w:pPr>
            <w:r w:rsidRPr="00F75CE5">
              <w:rPr>
                <w:rFonts w:eastAsia="Times New Roman" w:cs="Arial"/>
                <w:iCs/>
                <w:sz w:val="20"/>
                <w:szCs w:val="20"/>
              </w:rPr>
              <w:t>7.3.</w:t>
            </w:r>
            <w:r w:rsidRPr="00F75CE5">
              <w:rPr>
                <w:rFonts w:eastAsia="Times New Roman" w:cs="Arial"/>
                <w:color w:val="365F91"/>
                <w:sz w:val="20"/>
                <w:szCs w:val="20"/>
              </w:rPr>
              <w:t xml:space="preserve"> </w:t>
            </w:r>
            <w:r w:rsidRPr="00F75CE5">
              <w:rPr>
                <w:rFonts w:eastAsia="Times New Roman" w:cs="Arial"/>
                <w:iCs/>
                <w:sz w:val="20"/>
                <w:szCs w:val="20"/>
              </w:rPr>
              <w:t>Possuir canais de comunicação com a população.</w:t>
            </w:r>
          </w:p>
        </w:tc>
        <w:tc>
          <w:tcPr>
            <w:tcW w:w="0" w:type="auto"/>
            <w:tcBorders>
              <w:top w:val="dashSmallGap" w:sz="4" w:space="0" w:color="1F497D" w:themeColor="text2"/>
              <w:left w:val="single" w:sz="4" w:space="0" w:color="1F497D" w:themeColor="text2"/>
              <w:bottom w:val="dashSmallGap" w:sz="4" w:space="0" w:color="1F497D" w:themeColor="text2"/>
              <w:right w:val="nil"/>
            </w:tcBorders>
            <w:vAlign w:val="center"/>
            <w:hideMark/>
          </w:tcPr>
          <w:p w:rsidR="00646530" w:rsidRPr="00685949" w:rsidRDefault="00646530" w:rsidP="00B94A15">
            <w:pPr>
              <w:spacing w:before="60" w:after="60" w:line="240" w:lineRule="auto"/>
              <w:jc w:val="center"/>
              <w:rPr>
                <w:rFonts w:eastAsia="Times New Roman" w:cs="Arial"/>
                <w:bCs/>
                <w:sz w:val="20"/>
                <w:szCs w:val="20"/>
              </w:rPr>
            </w:pPr>
            <w:r w:rsidRPr="00685949">
              <w:rPr>
                <w:rFonts w:eastAsia="Times New Roman" w:cs="Arial"/>
                <w:bCs/>
                <w:sz w:val="20"/>
                <w:szCs w:val="20"/>
              </w:rPr>
              <w:t>Imediato</w:t>
            </w:r>
          </w:p>
        </w:tc>
      </w:tr>
      <w:tr w:rsidR="00646530" w:rsidRPr="00F75CE5" w:rsidTr="00B94A15">
        <w:trPr>
          <w:cantSplit/>
          <w:trHeight w:val="680"/>
          <w:jc w:val="center"/>
        </w:trPr>
        <w:tc>
          <w:tcPr>
            <w:tcW w:w="0" w:type="auto"/>
            <w:vMerge/>
            <w:tcBorders>
              <w:top w:val="single" w:sz="4" w:space="0" w:color="1F497D" w:themeColor="text2"/>
              <w:left w:val="nil"/>
              <w:bottom w:val="single" w:sz="4" w:space="0" w:color="1F497D" w:themeColor="text2"/>
              <w:right w:val="single" w:sz="4" w:space="0" w:color="1F497D" w:themeColor="text2"/>
            </w:tcBorders>
            <w:vAlign w:val="center"/>
            <w:hideMark/>
          </w:tcPr>
          <w:p w:rsidR="00646530" w:rsidRPr="00F75CE5" w:rsidRDefault="00646530" w:rsidP="00B94A15">
            <w:pPr>
              <w:spacing w:line="240" w:lineRule="auto"/>
              <w:jc w:val="left"/>
              <w:rPr>
                <w:rFonts w:eastAsia="Times New Roman" w:cs="Arial"/>
                <w:bCs/>
                <w:sz w:val="20"/>
                <w:szCs w:val="20"/>
              </w:rPr>
            </w:pPr>
          </w:p>
        </w:tc>
        <w:tc>
          <w:tcPr>
            <w:tcW w:w="0" w:type="auto"/>
            <w:tcBorders>
              <w:top w:val="dashSmallGap" w:sz="4" w:space="0" w:color="1F497D" w:themeColor="text2"/>
              <w:left w:val="single" w:sz="4" w:space="0" w:color="1F497D" w:themeColor="text2"/>
              <w:bottom w:val="dashSmallGap" w:sz="4" w:space="0" w:color="1F497D" w:themeColor="text2"/>
              <w:right w:val="single" w:sz="4" w:space="0" w:color="1F497D" w:themeColor="text2"/>
            </w:tcBorders>
            <w:vAlign w:val="center"/>
            <w:hideMark/>
          </w:tcPr>
          <w:p w:rsidR="00646530" w:rsidRPr="00F75CE5" w:rsidRDefault="00646530" w:rsidP="00B94A15">
            <w:pPr>
              <w:spacing w:before="60" w:after="60" w:line="240" w:lineRule="auto"/>
              <w:rPr>
                <w:rFonts w:eastAsia="Times New Roman" w:cs="Arial"/>
                <w:iCs/>
                <w:sz w:val="20"/>
                <w:szCs w:val="20"/>
              </w:rPr>
            </w:pPr>
            <w:r w:rsidRPr="00F75CE5">
              <w:rPr>
                <w:rFonts w:eastAsia="Times New Roman" w:cs="Arial"/>
                <w:iCs/>
                <w:sz w:val="20"/>
                <w:szCs w:val="20"/>
              </w:rPr>
              <w:t>7.4. Alcançar respostas satisfatórias através dos mecanismos de avaliação da percepção dos usuários.</w:t>
            </w:r>
          </w:p>
        </w:tc>
        <w:tc>
          <w:tcPr>
            <w:tcW w:w="0" w:type="auto"/>
            <w:tcBorders>
              <w:top w:val="dashSmallGap" w:sz="4" w:space="0" w:color="1F497D" w:themeColor="text2"/>
              <w:left w:val="single" w:sz="4" w:space="0" w:color="1F497D" w:themeColor="text2"/>
              <w:bottom w:val="dashSmallGap" w:sz="4" w:space="0" w:color="1F497D" w:themeColor="text2"/>
              <w:right w:val="nil"/>
            </w:tcBorders>
            <w:vAlign w:val="center"/>
            <w:hideMark/>
          </w:tcPr>
          <w:p w:rsidR="00646530" w:rsidRPr="00685949" w:rsidRDefault="003C4F7A" w:rsidP="00B94A15">
            <w:pPr>
              <w:spacing w:before="60" w:after="60" w:line="240" w:lineRule="auto"/>
              <w:jc w:val="center"/>
              <w:rPr>
                <w:rFonts w:eastAsia="Times New Roman" w:cs="Arial"/>
                <w:bCs/>
                <w:sz w:val="20"/>
                <w:szCs w:val="20"/>
              </w:rPr>
            </w:pPr>
            <w:r w:rsidRPr="00685949">
              <w:rPr>
                <w:rFonts w:eastAsia="Times New Roman" w:cs="Arial"/>
                <w:bCs/>
                <w:sz w:val="20"/>
                <w:szCs w:val="20"/>
              </w:rPr>
              <w:t>Curto</w:t>
            </w:r>
          </w:p>
        </w:tc>
      </w:tr>
      <w:tr w:rsidR="00646530" w:rsidTr="00B94A15">
        <w:trPr>
          <w:cantSplit/>
          <w:trHeight w:val="680"/>
          <w:jc w:val="center"/>
        </w:trPr>
        <w:tc>
          <w:tcPr>
            <w:tcW w:w="0" w:type="auto"/>
            <w:vMerge/>
            <w:tcBorders>
              <w:top w:val="single" w:sz="4" w:space="0" w:color="1F497D" w:themeColor="text2"/>
              <w:left w:val="nil"/>
              <w:bottom w:val="single" w:sz="4" w:space="0" w:color="1F497D" w:themeColor="text2"/>
              <w:right w:val="single" w:sz="4" w:space="0" w:color="1F497D" w:themeColor="text2"/>
            </w:tcBorders>
            <w:vAlign w:val="center"/>
            <w:hideMark/>
          </w:tcPr>
          <w:p w:rsidR="00646530" w:rsidRPr="00F75CE5" w:rsidRDefault="00646530" w:rsidP="00B94A15">
            <w:pPr>
              <w:spacing w:line="240" w:lineRule="auto"/>
              <w:jc w:val="left"/>
              <w:rPr>
                <w:rFonts w:eastAsia="Times New Roman" w:cs="Arial"/>
                <w:bCs/>
                <w:sz w:val="20"/>
                <w:szCs w:val="20"/>
              </w:rPr>
            </w:pPr>
          </w:p>
        </w:tc>
        <w:tc>
          <w:tcPr>
            <w:tcW w:w="0" w:type="auto"/>
            <w:tcBorders>
              <w:top w:val="dashSmallGap" w:sz="4" w:space="0" w:color="1F497D" w:themeColor="text2"/>
              <w:left w:val="single" w:sz="4" w:space="0" w:color="1F497D" w:themeColor="text2"/>
              <w:bottom w:val="single" w:sz="4" w:space="0" w:color="1F497D" w:themeColor="text2"/>
              <w:right w:val="single" w:sz="4" w:space="0" w:color="1F497D" w:themeColor="text2"/>
            </w:tcBorders>
            <w:vAlign w:val="center"/>
            <w:hideMark/>
          </w:tcPr>
          <w:p w:rsidR="00646530" w:rsidRPr="00F75CE5" w:rsidRDefault="00646530" w:rsidP="00B94A15">
            <w:pPr>
              <w:spacing w:before="60" w:after="60" w:line="240" w:lineRule="auto"/>
              <w:rPr>
                <w:rFonts w:eastAsia="Times New Roman" w:cs="Arial"/>
                <w:iCs/>
                <w:sz w:val="20"/>
                <w:szCs w:val="20"/>
              </w:rPr>
            </w:pPr>
            <w:r w:rsidRPr="00F75CE5">
              <w:rPr>
                <w:rFonts w:eastAsia="Times New Roman" w:cs="Arial"/>
                <w:iCs/>
                <w:sz w:val="20"/>
                <w:szCs w:val="20"/>
              </w:rPr>
              <w:t>7.5. Desenvolver programas de educação ambiental que promovam atividades visando à sensibilização da população referente às questões de redução da geração, reutilização, reciclagem, responsabilidade pós-consumo e destinação ambientalmente adequada de resíduos sólidos.</w:t>
            </w:r>
          </w:p>
        </w:tc>
        <w:tc>
          <w:tcPr>
            <w:tcW w:w="0" w:type="auto"/>
            <w:tcBorders>
              <w:top w:val="dashSmallGap" w:sz="4" w:space="0" w:color="1F497D" w:themeColor="text2"/>
              <w:left w:val="single" w:sz="4" w:space="0" w:color="1F497D" w:themeColor="text2"/>
              <w:bottom w:val="single" w:sz="4" w:space="0" w:color="1F497D" w:themeColor="text2"/>
              <w:right w:val="nil"/>
            </w:tcBorders>
            <w:vAlign w:val="center"/>
            <w:hideMark/>
          </w:tcPr>
          <w:p w:rsidR="00646530" w:rsidRPr="00685949" w:rsidRDefault="00646530" w:rsidP="00B94A15">
            <w:pPr>
              <w:spacing w:before="60" w:after="60" w:line="240" w:lineRule="auto"/>
              <w:jc w:val="center"/>
              <w:rPr>
                <w:rFonts w:eastAsia="Times New Roman" w:cs="Arial"/>
                <w:bCs/>
                <w:sz w:val="20"/>
                <w:szCs w:val="20"/>
              </w:rPr>
            </w:pPr>
            <w:r w:rsidRPr="00685949">
              <w:rPr>
                <w:rFonts w:eastAsia="Times New Roman" w:cs="Arial"/>
                <w:bCs/>
                <w:sz w:val="20"/>
                <w:szCs w:val="20"/>
              </w:rPr>
              <w:t>Imediato</w:t>
            </w:r>
          </w:p>
        </w:tc>
      </w:tr>
    </w:tbl>
    <w:p w:rsidR="00646530" w:rsidRDefault="00646530" w:rsidP="00DF4A2F">
      <w:pPr>
        <w:pStyle w:val="N0Fonte"/>
        <w:spacing w:after="120" w:line="360" w:lineRule="auto"/>
        <w:ind w:left="142"/>
        <w:jc w:val="center"/>
        <w:rPr>
          <w:lang w:eastAsia="pt-BR"/>
        </w:rPr>
        <w:sectPr w:rsidR="00646530" w:rsidSect="00646530">
          <w:footerReference w:type="default" r:id="rId77"/>
          <w:pgSz w:w="16838" w:h="11906" w:orient="landscape"/>
          <w:pgMar w:top="1418" w:right="1134" w:bottom="1134" w:left="1134" w:header="708" w:footer="708" w:gutter="0"/>
          <w:cols w:space="708"/>
          <w:docGrid w:linePitch="360"/>
        </w:sectPr>
      </w:pPr>
    </w:p>
    <w:p w:rsidR="00AE4BE0" w:rsidRPr="00137F75" w:rsidRDefault="002D4E83" w:rsidP="00C57ADC">
      <w:pPr>
        <w:pStyle w:val="SHS-Ttulo01"/>
      </w:pPr>
      <w:bookmarkStart w:id="786" w:name="_Toc433894297"/>
      <w:bookmarkStart w:id="787" w:name="_Toc497469094"/>
      <w:bookmarkEnd w:id="343"/>
      <w:r w:rsidRPr="00137F75">
        <w:lastRenderedPageBreak/>
        <w:t>RELATÓRIO DA</w:t>
      </w:r>
      <w:r w:rsidR="00940526" w:rsidRPr="00137F75">
        <w:t>S</w:t>
      </w:r>
      <w:r w:rsidRPr="00137F75">
        <w:t xml:space="preserve"> OFICINA</w:t>
      </w:r>
      <w:r w:rsidR="00940526" w:rsidRPr="00137F75">
        <w:t>S</w:t>
      </w:r>
      <w:bookmarkEnd w:id="787"/>
    </w:p>
    <w:p w:rsidR="00137F75" w:rsidRPr="00137F75" w:rsidRDefault="00137F75" w:rsidP="00137F75">
      <w:pPr>
        <w:spacing w:before="120" w:after="120"/>
        <w:ind w:firstLine="708"/>
        <w:contextualSpacing/>
        <w:rPr>
          <w:rFonts w:cs="Arial"/>
          <w:szCs w:val="24"/>
          <w:lang w:eastAsia="pt-BR"/>
        </w:rPr>
      </w:pPr>
      <w:r w:rsidRPr="00137F75">
        <w:rPr>
          <w:rFonts w:cs="Arial"/>
          <w:szCs w:val="24"/>
          <w:lang w:eastAsia="pt-BR"/>
        </w:rPr>
        <w:t>A 1ª Oficina do PMSB de Córrego Novo foi realizada em 16</w:t>
      </w:r>
      <w:r>
        <w:rPr>
          <w:rFonts w:cs="Arial"/>
          <w:szCs w:val="24"/>
          <w:lang w:eastAsia="pt-BR"/>
        </w:rPr>
        <w:t>/05/17 às 9h, n</w:t>
      </w:r>
      <w:r w:rsidR="00F078CC" w:rsidRPr="009A2CDA">
        <w:rPr>
          <w:rFonts w:cs="Arial"/>
          <w:szCs w:val="24"/>
        </w:rPr>
        <w:t>o Salão do Posto de Saúde</w:t>
      </w:r>
      <w:r w:rsidRPr="00137F75">
        <w:rPr>
          <w:rFonts w:cs="Arial"/>
          <w:szCs w:val="24"/>
          <w:lang w:eastAsia="pt-BR"/>
        </w:rPr>
        <w:t xml:space="preserve">. Nessa oficina, o </w:t>
      </w:r>
      <w:r>
        <w:rPr>
          <w:rFonts w:cs="Arial"/>
          <w:szCs w:val="24"/>
          <w:lang w:eastAsia="pt-BR"/>
        </w:rPr>
        <w:t>e</w:t>
      </w:r>
      <w:r w:rsidRPr="00137F75">
        <w:rPr>
          <w:rFonts w:cs="Arial"/>
          <w:szCs w:val="24"/>
          <w:lang w:eastAsia="pt-BR"/>
        </w:rPr>
        <w:t>ngenheiro da empresa contratada indicou alguns pontos que haviam suscitado dúvidas na equipe técnica, referentes ao diagnóstico dos quatro setores de saneamento,</w:t>
      </w:r>
      <w:r>
        <w:rPr>
          <w:rFonts w:cs="Arial"/>
          <w:szCs w:val="24"/>
          <w:lang w:eastAsia="pt-BR"/>
        </w:rPr>
        <w:t xml:space="preserve"> </w:t>
      </w:r>
      <w:r w:rsidRPr="00137F75">
        <w:rPr>
          <w:rFonts w:cs="Arial"/>
          <w:szCs w:val="24"/>
          <w:lang w:eastAsia="pt-BR"/>
        </w:rPr>
        <w:t>para que essas fossem esclarecidas pelos gestores. As questões foram discutidas, os pontos foram esclarecidos e, posteriormente</w:t>
      </w:r>
      <w:r w:rsidR="00FD131B">
        <w:rPr>
          <w:rFonts w:cs="Arial"/>
          <w:szCs w:val="24"/>
          <w:lang w:eastAsia="pt-BR"/>
        </w:rPr>
        <w:t>,</w:t>
      </w:r>
      <w:r w:rsidRPr="00137F75">
        <w:rPr>
          <w:rFonts w:cs="Arial"/>
          <w:szCs w:val="24"/>
          <w:lang w:eastAsia="pt-BR"/>
        </w:rPr>
        <w:t xml:space="preserve"> o diagnóstico foi apresentado à população sem equívocos ou incorreções. </w:t>
      </w:r>
    </w:p>
    <w:p w:rsidR="00137F75" w:rsidRPr="00137F75" w:rsidRDefault="00137F75" w:rsidP="00137F75">
      <w:pPr>
        <w:spacing w:before="120" w:after="120"/>
        <w:ind w:firstLine="708"/>
        <w:contextualSpacing/>
        <w:rPr>
          <w:rFonts w:cs="Arial"/>
          <w:szCs w:val="24"/>
          <w:lang w:eastAsia="pt-BR"/>
        </w:rPr>
      </w:pPr>
      <w:r w:rsidRPr="00137F75">
        <w:rPr>
          <w:rFonts w:cs="Arial"/>
          <w:szCs w:val="24"/>
          <w:lang w:eastAsia="pt-BR"/>
        </w:rPr>
        <w:t>Logo depois dessa discussão</w:t>
      </w:r>
      <w:r>
        <w:rPr>
          <w:rFonts w:cs="Arial"/>
          <w:szCs w:val="24"/>
          <w:lang w:eastAsia="pt-BR"/>
        </w:rPr>
        <w:t>,</w:t>
      </w:r>
      <w:r w:rsidRPr="00137F75">
        <w:rPr>
          <w:rFonts w:cs="Arial"/>
          <w:szCs w:val="24"/>
          <w:lang w:eastAsia="pt-BR"/>
        </w:rPr>
        <w:t xml:space="preserve"> os participantes do seminário começaram a chegar, e neste mesmo recinto, deu-se início ao 2º Seminário do PMSB que apresentou aos participantes (população, delegados e membros dos Comitês) o diagnóstico dos setores de saneamento básico do município de Córrego Novo. A </w:t>
      </w:r>
      <w:r w:rsidR="00FD131B">
        <w:rPr>
          <w:rFonts w:cs="Arial"/>
          <w:szCs w:val="24"/>
          <w:lang w:eastAsia="pt-BR"/>
        </w:rPr>
        <w:fldChar w:fldCharType="begin"/>
      </w:r>
      <w:r w:rsidR="00FD131B">
        <w:rPr>
          <w:rFonts w:cs="Arial"/>
          <w:szCs w:val="24"/>
          <w:lang w:eastAsia="pt-BR"/>
        </w:rPr>
        <w:instrText xml:space="preserve"> REF _Ref487729633 \h </w:instrText>
      </w:r>
      <w:r w:rsidR="00FD131B">
        <w:rPr>
          <w:rFonts w:cs="Arial"/>
          <w:szCs w:val="24"/>
          <w:lang w:eastAsia="pt-BR"/>
        </w:rPr>
      </w:r>
      <w:r w:rsidR="00FD131B">
        <w:rPr>
          <w:rFonts w:cs="Arial"/>
          <w:szCs w:val="24"/>
          <w:lang w:eastAsia="pt-BR"/>
        </w:rPr>
        <w:fldChar w:fldCharType="separate"/>
      </w:r>
      <w:r w:rsidR="004D1D76" w:rsidRPr="00FD131B">
        <w:t xml:space="preserve">Figura </w:t>
      </w:r>
      <w:r w:rsidR="004D1D76">
        <w:rPr>
          <w:noProof/>
        </w:rPr>
        <w:t>23</w:t>
      </w:r>
      <w:r w:rsidR="00FD131B">
        <w:rPr>
          <w:rFonts w:cs="Arial"/>
          <w:szCs w:val="24"/>
          <w:lang w:eastAsia="pt-BR"/>
        </w:rPr>
        <w:fldChar w:fldCharType="end"/>
      </w:r>
      <w:r w:rsidRPr="00137F75">
        <w:rPr>
          <w:rFonts w:cs="Arial"/>
          <w:szCs w:val="24"/>
          <w:lang w:eastAsia="pt-BR"/>
        </w:rPr>
        <w:t xml:space="preserve"> mostra uma tomada fotográfica dessa reunião. </w:t>
      </w:r>
    </w:p>
    <w:p w:rsidR="00137F75" w:rsidRPr="00FD131B" w:rsidRDefault="00FD131B" w:rsidP="00FD131B">
      <w:pPr>
        <w:pStyle w:val="Legenda"/>
      </w:pPr>
      <w:bookmarkStart w:id="788" w:name="_Ref487729633"/>
      <w:bookmarkStart w:id="789" w:name="_Toc497469119"/>
      <w:r w:rsidRPr="00FD131B">
        <w:t xml:space="preserve">Figura </w:t>
      </w:r>
      <w:r w:rsidR="00D71C43">
        <w:fldChar w:fldCharType="begin"/>
      </w:r>
      <w:r w:rsidR="00D71C43">
        <w:instrText xml:space="preserve"> SEQ Figura \* ARABIC </w:instrText>
      </w:r>
      <w:r w:rsidR="00D71C43">
        <w:fldChar w:fldCharType="separate"/>
      </w:r>
      <w:r w:rsidR="004D1D76">
        <w:rPr>
          <w:noProof/>
        </w:rPr>
        <w:t>23</w:t>
      </w:r>
      <w:r w:rsidR="00D71C43">
        <w:rPr>
          <w:noProof/>
        </w:rPr>
        <w:fldChar w:fldCharType="end"/>
      </w:r>
      <w:bookmarkEnd w:id="788"/>
      <w:r w:rsidRPr="00FD131B">
        <w:t xml:space="preserve"> - </w:t>
      </w:r>
      <w:r w:rsidR="00137F75" w:rsidRPr="00FD131B">
        <w:t>1ª Oficina do PMSB de Córrego Novo</w:t>
      </w:r>
      <w:bookmarkEnd w:id="789"/>
      <w:r w:rsidR="00137F75" w:rsidRPr="00FD131B">
        <w:t xml:space="preserve"> </w:t>
      </w:r>
    </w:p>
    <w:p w:rsidR="00137F75" w:rsidRPr="00137F75" w:rsidRDefault="00137F75" w:rsidP="0081207B">
      <w:pPr>
        <w:pStyle w:val="figura"/>
        <w:rPr>
          <w:szCs w:val="24"/>
        </w:rPr>
      </w:pPr>
      <w:r w:rsidRPr="00137F75">
        <w:rPr>
          <w:noProof/>
        </w:rPr>
        <w:drawing>
          <wp:inline distT="0" distB="0" distL="0" distR="0" wp14:anchorId="7C753ECF" wp14:editId="38F784A9">
            <wp:extent cx="4320000" cy="2607802"/>
            <wp:effectExtent l="0" t="0" r="4445" b="2540"/>
            <wp:docPr id="39" name="Imagem 39" descr="\\SHS-SRV1\Projetos\2016\IBIO\RELATÓRIOS REVISÃO\P3 - Diagnóstico\Apoio\Material de Oficinas\Córrego Novo\05-16_1ª Oficina\20170516_0915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HS-SRV1\Projetos\2016\IBIO\RELATÓRIOS REVISÃO\P3 - Diagnóstico\Apoio\Material de Oficinas\Córrego Novo\05-16_1ª Oficina\20170516_091532.jpg"/>
                    <pic:cNvPicPr>
                      <a:picLocks noChangeAspect="1" noChangeArrowheads="1"/>
                    </pic:cNvPicPr>
                  </pic:nvPicPr>
                  <pic:blipFill rotWithShape="1">
                    <a:blip r:embed="rId78" cstate="screen">
                      <a:extLst>
                        <a:ext uri="{28A0092B-C50C-407E-A947-70E740481C1C}">
                          <a14:useLocalDpi xmlns:a14="http://schemas.microsoft.com/office/drawing/2010/main"/>
                        </a:ext>
                      </a:extLst>
                    </a:blip>
                    <a:srcRect/>
                    <a:stretch/>
                  </pic:blipFill>
                  <pic:spPr bwMode="auto">
                    <a:xfrm>
                      <a:off x="0" y="0"/>
                      <a:ext cx="4320000" cy="2607802"/>
                    </a:xfrm>
                    <a:prstGeom prst="rect">
                      <a:avLst/>
                    </a:prstGeom>
                    <a:noFill/>
                    <a:ln>
                      <a:noFill/>
                    </a:ln>
                    <a:extLst>
                      <a:ext uri="{53640926-AAD7-44D8-BBD7-CCE9431645EC}">
                        <a14:shadowObscured xmlns:a14="http://schemas.microsoft.com/office/drawing/2010/main"/>
                      </a:ext>
                    </a:extLst>
                  </pic:spPr>
                </pic:pic>
              </a:graphicData>
            </a:graphic>
          </wp:inline>
        </w:drawing>
      </w:r>
    </w:p>
    <w:p w:rsidR="00137F75" w:rsidRPr="00137F75" w:rsidRDefault="00FD131B" w:rsidP="00FD131B">
      <w:pPr>
        <w:pStyle w:val="Fonte"/>
      </w:pPr>
      <w:r>
        <w:t>Fonte: SHS, 2017a.</w:t>
      </w:r>
    </w:p>
    <w:p w:rsidR="00137F75" w:rsidRPr="00CB7DC9" w:rsidRDefault="00137F75" w:rsidP="00137F75">
      <w:pPr>
        <w:spacing w:before="120" w:after="120"/>
        <w:ind w:firstLine="708"/>
        <w:contextualSpacing/>
        <w:rPr>
          <w:rFonts w:cs="Arial"/>
          <w:szCs w:val="24"/>
          <w:lang w:eastAsia="pt-BR"/>
        </w:rPr>
      </w:pPr>
      <w:r w:rsidRPr="00137F75">
        <w:rPr>
          <w:rFonts w:cs="Arial"/>
          <w:szCs w:val="24"/>
          <w:lang w:eastAsia="pt-BR"/>
        </w:rPr>
        <w:t xml:space="preserve">A 2ª Oficina do PMSB foi realizada em 20/06/17 às 9h, </w:t>
      </w:r>
      <w:r w:rsidR="00D71C43" w:rsidRPr="009A2CDA">
        <w:rPr>
          <w:rFonts w:cs="Arial"/>
          <w:szCs w:val="24"/>
        </w:rPr>
        <w:t>no Salão do Posto de Saúde</w:t>
      </w:r>
      <w:r w:rsidRPr="00137F75">
        <w:rPr>
          <w:rFonts w:cs="Arial"/>
          <w:szCs w:val="24"/>
          <w:lang w:eastAsia="pt-BR"/>
        </w:rPr>
        <w:t xml:space="preserve">. Nessa oficina, a gestora ambiental da empresa contratada apresentou os seguintes itens de reflexão para que fossem discutidos pelos gestores municipais: arranjos institucionais, soluções consorciadas, regulação dos setores e necessidade de ações </w:t>
      </w:r>
      <w:r w:rsidRPr="00CB7DC9">
        <w:rPr>
          <w:rFonts w:cs="Arial"/>
          <w:szCs w:val="24"/>
          <w:lang w:eastAsia="pt-BR"/>
        </w:rPr>
        <w:t>imediatas.</w:t>
      </w:r>
    </w:p>
    <w:p w:rsidR="00137F75" w:rsidRPr="00CB7DC9" w:rsidRDefault="00137F75" w:rsidP="00A87269">
      <w:pPr>
        <w:numPr>
          <w:ilvl w:val="0"/>
          <w:numId w:val="44"/>
        </w:numPr>
        <w:spacing w:before="120" w:after="120"/>
        <w:ind w:left="851" w:hanging="284"/>
        <w:contextualSpacing/>
        <w:rPr>
          <w:rFonts w:eastAsia="Times New Roman" w:cs="Arial"/>
          <w:szCs w:val="24"/>
          <w:lang w:eastAsia="pt-BR"/>
        </w:rPr>
      </w:pPr>
      <w:r w:rsidRPr="00CB7DC9">
        <w:rPr>
          <w:rFonts w:eastAsia="Times New Roman" w:cs="Arial"/>
          <w:szCs w:val="24"/>
          <w:lang w:eastAsia="pt-BR"/>
        </w:rPr>
        <w:lastRenderedPageBreak/>
        <w:t>Sugestões para a adequação do arranjo institucional dos setores de saneamento. Os resultados dessa discussão estão apresentados a seguir:</w:t>
      </w:r>
      <w:r w:rsidR="00FD131B" w:rsidRPr="00CB7DC9">
        <w:rPr>
          <w:rFonts w:eastAsia="Times New Roman" w:cs="Arial"/>
          <w:szCs w:val="24"/>
          <w:lang w:eastAsia="pt-BR"/>
        </w:rPr>
        <w:t xml:space="preserve"> </w:t>
      </w:r>
    </w:p>
    <w:p w:rsidR="00137F75" w:rsidRPr="00CB7DC9" w:rsidRDefault="00137F75" w:rsidP="00A87269">
      <w:pPr>
        <w:numPr>
          <w:ilvl w:val="0"/>
          <w:numId w:val="43"/>
        </w:numPr>
        <w:spacing w:before="120" w:after="120"/>
        <w:contextualSpacing/>
        <w:rPr>
          <w:rFonts w:eastAsia="Times New Roman" w:cs="Arial"/>
          <w:szCs w:val="24"/>
          <w:lang w:eastAsia="pt-BR"/>
        </w:rPr>
      </w:pPr>
      <w:r w:rsidRPr="00CB7DC9">
        <w:rPr>
          <w:rFonts w:eastAsia="Times New Roman" w:cs="Arial"/>
          <w:szCs w:val="24"/>
          <w:lang w:eastAsia="pt-BR"/>
        </w:rPr>
        <w:t>Quanto à gestão integrada dos quatro setores, foi sugerido que se criasse uma gerência na Secretaria de Obras</w:t>
      </w:r>
      <w:r w:rsidR="00CB7DC9">
        <w:rPr>
          <w:rFonts w:eastAsia="Times New Roman" w:cs="Arial"/>
          <w:szCs w:val="24"/>
          <w:lang w:eastAsia="pt-BR"/>
        </w:rPr>
        <w:t>,</w:t>
      </w:r>
      <w:r w:rsidRPr="00CB7DC9">
        <w:rPr>
          <w:rFonts w:eastAsia="Times New Roman" w:cs="Arial"/>
          <w:szCs w:val="24"/>
          <w:lang w:eastAsia="pt-BR"/>
        </w:rPr>
        <w:t xml:space="preserve"> para empreender a gestão dos indicadores de eficiência dos quatro sistemas de saneamento básico no município e o acompanhamento da evolução das ações do PMSB.</w:t>
      </w:r>
    </w:p>
    <w:p w:rsidR="00137F75" w:rsidRPr="00CB7DC9" w:rsidRDefault="00137F75" w:rsidP="00A87269">
      <w:pPr>
        <w:numPr>
          <w:ilvl w:val="0"/>
          <w:numId w:val="43"/>
        </w:numPr>
        <w:spacing w:before="120" w:after="120"/>
        <w:contextualSpacing/>
        <w:rPr>
          <w:rFonts w:eastAsia="Times New Roman" w:cs="Arial"/>
          <w:szCs w:val="24"/>
          <w:lang w:eastAsia="pt-BR"/>
        </w:rPr>
      </w:pPr>
      <w:r w:rsidRPr="00CB7DC9">
        <w:rPr>
          <w:rFonts w:eastAsia="Times New Roman" w:cs="Arial"/>
          <w:szCs w:val="24"/>
          <w:lang w:eastAsia="pt-BR"/>
        </w:rPr>
        <w:t>Quanto à gestão do setor de abastecimento de água foi sugerido continuar com a COPASA nos moldes em que está atualmente.</w:t>
      </w:r>
    </w:p>
    <w:p w:rsidR="00137F75" w:rsidRPr="00CB7DC9" w:rsidRDefault="00137F75" w:rsidP="00A87269">
      <w:pPr>
        <w:numPr>
          <w:ilvl w:val="0"/>
          <w:numId w:val="43"/>
        </w:numPr>
        <w:spacing w:before="120" w:after="120"/>
        <w:contextualSpacing/>
        <w:rPr>
          <w:rFonts w:eastAsia="Times New Roman" w:cs="Arial"/>
          <w:szCs w:val="24"/>
          <w:lang w:eastAsia="pt-BR"/>
        </w:rPr>
      </w:pPr>
      <w:r w:rsidRPr="00CB7DC9">
        <w:rPr>
          <w:rFonts w:eastAsia="Times New Roman" w:cs="Arial"/>
          <w:szCs w:val="24"/>
          <w:lang w:eastAsia="pt-BR"/>
        </w:rPr>
        <w:t xml:space="preserve">Os gestores indicaram a conveniência de a gestão do sistema de esgotamento sanitário do município ser assumida pela Prefeitura Municipal – Secretaria de Obras. </w:t>
      </w:r>
    </w:p>
    <w:p w:rsidR="00137F75" w:rsidRPr="00137F75" w:rsidRDefault="00137F75" w:rsidP="00A87269">
      <w:pPr>
        <w:numPr>
          <w:ilvl w:val="0"/>
          <w:numId w:val="43"/>
        </w:numPr>
        <w:spacing w:before="120" w:after="120"/>
        <w:contextualSpacing/>
        <w:rPr>
          <w:rFonts w:eastAsia="Times New Roman" w:cs="Arial"/>
          <w:szCs w:val="24"/>
          <w:lang w:eastAsia="pt-BR"/>
        </w:rPr>
      </w:pPr>
      <w:r w:rsidRPr="00CB7DC9">
        <w:rPr>
          <w:rFonts w:eastAsia="Times New Roman" w:cs="Arial"/>
          <w:szCs w:val="24"/>
          <w:lang w:eastAsia="pt-BR"/>
        </w:rPr>
        <w:t>Os gestores indicaram a conveniência de a gestão do sistema de drenagem urbana e manejo</w:t>
      </w:r>
      <w:r w:rsidRPr="00137F75">
        <w:rPr>
          <w:rFonts w:eastAsia="Times New Roman" w:cs="Arial"/>
          <w:szCs w:val="24"/>
          <w:lang w:eastAsia="pt-BR"/>
        </w:rPr>
        <w:t xml:space="preserve"> de águas pluviais ser assumida pela Prefeitura Municipal – Secretaria de Obras. </w:t>
      </w:r>
    </w:p>
    <w:p w:rsidR="00137F75" w:rsidRPr="00137F75" w:rsidRDefault="00137F75" w:rsidP="00A87269">
      <w:pPr>
        <w:numPr>
          <w:ilvl w:val="0"/>
          <w:numId w:val="43"/>
        </w:numPr>
        <w:spacing w:before="120" w:after="120"/>
        <w:contextualSpacing/>
        <w:rPr>
          <w:rFonts w:eastAsia="Times New Roman" w:cs="Arial"/>
          <w:szCs w:val="24"/>
          <w:lang w:eastAsia="pt-BR"/>
        </w:rPr>
      </w:pPr>
      <w:r w:rsidRPr="00137F75">
        <w:rPr>
          <w:rFonts w:eastAsia="Times New Roman" w:cs="Arial"/>
          <w:szCs w:val="24"/>
          <w:lang w:eastAsia="pt-BR"/>
        </w:rPr>
        <w:t xml:space="preserve">Os gestores indicaram a conveniência de a gestão do sistema de limpeza urbana e manejo de resíduos sólidos ser assumida pela Prefeitura Municipal. </w:t>
      </w:r>
    </w:p>
    <w:p w:rsidR="00501269" w:rsidRPr="00CF7E9C" w:rsidRDefault="00137F75" w:rsidP="00A87269">
      <w:pPr>
        <w:numPr>
          <w:ilvl w:val="0"/>
          <w:numId w:val="44"/>
        </w:numPr>
        <w:spacing w:before="120" w:after="120"/>
        <w:ind w:left="851" w:hanging="284"/>
        <w:contextualSpacing/>
        <w:rPr>
          <w:rFonts w:eastAsia="Times New Roman" w:cs="Arial"/>
          <w:szCs w:val="24"/>
          <w:lang w:eastAsia="pt-BR"/>
        </w:rPr>
      </w:pPr>
      <w:r w:rsidRPr="00137F75">
        <w:rPr>
          <w:rFonts w:eastAsia="Times New Roman" w:cs="Arial"/>
          <w:szCs w:val="24"/>
          <w:lang w:eastAsia="pt-BR"/>
        </w:rPr>
        <w:t xml:space="preserve">Sugestões para que Córrego Novo </w:t>
      </w:r>
      <w:r w:rsidR="00501269" w:rsidRPr="00CF7E9C">
        <w:rPr>
          <w:rFonts w:eastAsia="Times New Roman" w:cs="Arial"/>
          <w:szCs w:val="24"/>
          <w:lang w:eastAsia="pt-BR"/>
        </w:rPr>
        <w:t xml:space="preserve">integre, em consórcio com outros municípios, programas relacionados aos seguintes temas ambientais: </w:t>
      </w:r>
    </w:p>
    <w:p w:rsidR="00137F75" w:rsidRPr="00137F75" w:rsidRDefault="00137F75" w:rsidP="00A87269">
      <w:pPr>
        <w:numPr>
          <w:ilvl w:val="0"/>
          <w:numId w:val="43"/>
        </w:numPr>
        <w:spacing w:before="120" w:after="120"/>
        <w:contextualSpacing/>
        <w:rPr>
          <w:rFonts w:eastAsia="Times New Roman" w:cs="Arial"/>
          <w:szCs w:val="24"/>
          <w:lang w:eastAsia="pt-BR"/>
        </w:rPr>
      </w:pPr>
      <w:r w:rsidRPr="00137F75">
        <w:rPr>
          <w:rFonts w:eastAsia="Times New Roman" w:cs="Arial"/>
          <w:szCs w:val="24"/>
          <w:lang w:eastAsia="pt-BR"/>
        </w:rPr>
        <w:t xml:space="preserve">Setor de água: </w:t>
      </w:r>
    </w:p>
    <w:p w:rsidR="00137F75" w:rsidRPr="00137F75" w:rsidRDefault="00137F75" w:rsidP="00A87269">
      <w:pPr>
        <w:numPr>
          <w:ilvl w:val="1"/>
          <w:numId w:val="43"/>
        </w:numPr>
        <w:spacing w:before="120" w:after="120"/>
        <w:contextualSpacing/>
        <w:rPr>
          <w:rFonts w:eastAsia="Times New Roman" w:cs="Arial"/>
          <w:szCs w:val="24"/>
          <w:lang w:eastAsia="pt-BR"/>
        </w:rPr>
      </w:pPr>
      <w:r w:rsidRPr="00137F75">
        <w:rPr>
          <w:rFonts w:eastAsia="Times New Roman" w:cs="Arial"/>
          <w:szCs w:val="24"/>
          <w:lang w:eastAsia="pt-BR"/>
        </w:rPr>
        <w:t>Recuperação de nascentes.</w:t>
      </w:r>
    </w:p>
    <w:p w:rsidR="00137F75" w:rsidRPr="00137F75" w:rsidRDefault="00137F75" w:rsidP="00A87269">
      <w:pPr>
        <w:numPr>
          <w:ilvl w:val="1"/>
          <w:numId w:val="43"/>
        </w:numPr>
        <w:spacing w:before="120" w:after="120"/>
        <w:contextualSpacing/>
        <w:rPr>
          <w:rFonts w:eastAsia="Times New Roman" w:cs="Arial"/>
          <w:szCs w:val="24"/>
          <w:lang w:eastAsia="pt-BR"/>
        </w:rPr>
      </w:pPr>
      <w:r w:rsidRPr="00137F75">
        <w:rPr>
          <w:rFonts w:eastAsia="Times New Roman" w:cs="Arial"/>
          <w:szCs w:val="24"/>
          <w:lang w:eastAsia="pt-BR"/>
        </w:rPr>
        <w:t>Captação de águas de chuva nos prédios públicos</w:t>
      </w:r>
      <w:r w:rsidR="00FD131B">
        <w:rPr>
          <w:rFonts w:eastAsia="Times New Roman" w:cs="Arial"/>
          <w:szCs w:val="24"/>
          <w:lang w:eastAsia="pt-BR"/>
        </w:rPr>
        <w:t>.</w:t>
      </w:r>
    </w:p>
    <w:p w:rsidR="00137F75" w:rsidRPr="00137F75" w:rsidRDefault="00137F75" w:rsidP="00A87269">
      <w:pPr>
        <w:numPr>
          <w:ilvl w:val="0"/>
          <w:numId w:val="43"/>
        </w:numPr>
        <w:spacing w:before="120" w:after="120"/>
        <w:contextualSpacing/>
        <w:rPr>
          <w:rFonts w:eastAsia="Times New Roman" w:cs="Arial"/>
          <w:szCs w:val="24"/>
          <w:lang w:eastAsia="pt-BR"/>
        </w:rPr>
      </w:pPr>
      <w:r w:rsidRPr="00137F75">
        <w:rPr>
          <w:rFonts w:eastAsia="Times New Roman" w:cs="Arial"/>
          <w:szCs w:val="24"/>
          <w:lang w:eastAsia="pt-BR"/>
        </w:rPr>
        <w:t>Setor de drenagem:</w:t>
      </w:r>
    </w:p>
    <w:p w:rsidR="00137F75" w:rsidRPr="00137F75" w:rsidRDefault="00137F75" w:rsidP="00A87269">
      <w:pPr>
        <w:numPr>
          <w:ilvl w:val="1"/>
          <w:numId w:val="43"/>
        </w:numPr>
        <w:spacing w:before="120" w:after="120"/>
        <w:contextualSpacing/>
        <w:rPr>
          <w:rFonts w:eastAsia="Times New Roman" w:cs="Arial"/>
          <w:szCs w:val="24"/>
          <w:lang w:eastAsia="pt-BR"/>
        </w:rPr>
      </w:pPr>
      <w:r w:rsidRPr="00137F75">
        <w:rPr>
          <w:rFonts w:eastAsia="Times New Roman" w:cs="Arial"/>
          <w:szCs w:val="24"/>
          <w:lang w:eastAsia="pt-BR"/>
        </w:rPr>
        <w:t>Recuperação de matas ciliares</w:t>
      </w:r>
      <w:r w:rsidR="00FD131B">
        <w:rPr>
          <w:rFonts w:eastAsia="Times New Roman" w:cs="Arial"/>
          <w:szCs w:val="24"/>
          <w:lang w:eastAsia="pt-BR"/>
        </w:rPr>
        <w:t>.</w:t>
      </w:r>
    </w:p>
    <w:p w:rsidR="00137F75" w:rsidRDefault="00137F75" w:rsidP="00A87269">
      <w:pPr>
        <w:numPr>
          <w:ilvl w:val="0"/>
          <w:numId w:val="44"/>
        </w:numPr>
        <w:spacing w:before="120" w:after="120"/>
        <w:ind w:left="851" w:hanging="284"/>
        <w:contextualSpacing/>
        <w:rPr>
          <w:rFonts w:eastAsia="Times New Roman" w:cs="Arial"/>
          <w:szCs w:val="24"/>
          <w:lang w:eastAsia="pt-BR"/>
        </w:rPr>
      </w:pPr>
      <w:r w:rsidRPr="00137F75">
        <w:rPr>
          <w:rFonts w:eastAsia="Times New Roman" w:cs="Arial"/>
          <w:szCs w:val="24"/>
          <w:lang w:eastAsia="pt-BR"/>
        </w:rPr>
        <w:t>Sugestões para regulação do saneamento básico municipal: os gestores levantaram a necessidade de aprofundarem essa discussão antes de se posicionarem a respeito da forma de regulação dos serviços do saneamento básico municipal, mas pensam em instituir um Conselho Municipal com essas atribuições.</w:t>
      </w:r>
    </w:p>
    <w:p w:rsidR="00665BBB" w:rsidRDefault="00665BBB" w:rsidP="00665BBB">
      <w:pPr>
        <w:spacing w:before="120" w:after="120"/>
        <w:ind w:left="851"/>
        <w:contextualSpacing/>
        <w:rPr>
          <w:rFonts w:eastAsia="Times New Roman" w:cs="Arial"/>
          <w:szCs w:val="24"/>
          <w:lang w:eastAsia="pt-BR"/>
        </w:rPr>
      </w:pPr>
    </w:p>
    <w:p w:rsidR="00665BBB" w:rsidRPr="00137F75" w:rsidRDefault="00665BBB" w:rsidP="00665BBB">
      <w:pPr>
        <w:spacing w:before="120" w:after="120"/>
        <w:ind w:left="851"/>
        <w:contextualSpacing/>
        <w:rPr>
          <w:rFonts w:eastAsia="Times New Roman" w:cs="Arial"/>
          <w:szCs w:val="24"/>
          <w:lang w:eastAsia="pt-BR"/>
        </w:rPr>
      </w:pPr>
    </w:p>
    <w:p w:rsidR="00137F75" w:rsidRPr="00137F75" w:rsidRDefault="00137F75" w:rsidP="00A87269">
      <w:pPr>
        <w:numPr>
          <w:ilvl w:val="0"/>
          <w:numId w:val="44"/>
        </w:numPr>
        <w:spacing w:before="120" w:after="120"/>
        <w:ind w:left="851" w:hanging="284"/>
        <w:contextualSpacing/>
        <w:rPr>
          <w:rFonts w:eastAsia="Times New Roman" w:cs="Arial"/>
          <w:szCs w:val="24"/>
          <w:lang w:eastAsia="pt-BR"/>
        </w:rPr>
      </w:pPr>
      <w:r w:rsidRPr="00137F75">
        <w:rPr>
          <w:rFonts w:eastAsia="Times New Roman" w:cs="Arial"/>
          <w:szCs w:val="24"/>
          <w:lang w:eastAsia="pt-BR"/>
        </w:rPr>
        <w:lastRenderedPageBreak/>
        <w:t>Sugestões de ações imediatas a serem propostas pelo PMSB:</w:t>
      </w:r>
    </w:p>
    <w:p w:rsidR="00137F75" w:rsidRPr="00137F75" w:rsidRDefault="00137F75" w:rsidP="00A87269">
      <w:pPr>
        <w:numPr>
          <w:ilvl w:val="0"/>
          <w:numId w:val="45"/>
        </w:numPr>
        <w:spacing w:before="120" w:after="120"/>
        <w:contextualSpacing/>
        <w:rPr>
          <w:rFonts w:eastAsia="Times New Roman" w:cs="Arial"/>
          <w:szCs w:val="24"/>
          <w:lang w:eastAsia="pt-BR"/>
        </w:rPr>
      </w:pPr>
      <w:r w:rsidRPr="00137F75">
        <w:rPr>
          <w:rFonts w:eastAsia="Times New Roman" w:cs="Arial"/>
          <w:szCs w:val="24"/>
          <w:lang w:eastAsia="pt-BR"/>
        </w:rPr>
        <w:t>Setor de esgotamento sanitário:</w:t>
      </w:r>
    </w:p>
    <w:p w:rsidR="00137F75" w:rsidRPr="00137F75" w:rsidRDefault="00137F75" w:rsidP="00A87269">
      <w:pPr>
        <w:numPr>
          <w:ilvl w:val="1"/>
          <w:numId w:val="45"/>
        </w:numPr>
        <w:spacing w:before="120" w:after="120"/>
        <w:contextualSpacing/>
        <w:rPr>
          <w:rFonts w:eastAsia="Times New Roman" w:cs="Arial"/>
          <w:szCs w:val="24"/>
          <w:lang w:eastAsia="pt-BR"/>
        </w:rPr>
      </w:pPr>
      <w:r w:rsidRPr="00137F75">
        <w:rPr>
          <w:rFonts w:eastAsia="Times New Roman" w:cs="Arial"/>
          <w:szCs w:val="24"/>
          <w:lang w:eastAsia="pt-BR"/>
        </w:rPr>
        <w:t>Construir uma ETE.</w:t>
      </w:r>
    </w:p>
    <w:p w:rsidR="00137F75" w:rsidRPr="00137F75" w:rsidRDefault="00137F75" w:rsidP="00A87269">
      <w:pPr>
        <w:numPr>
          <w:ilvl w:val="1"/>
          <w:numId w:val="45"/>
        </w:numPr>
        <w:spacing w:before="120" w:after="120"/>
        <w:contextualSpacing/>
        <w:rPr>
          <w:rFonts w:eastAsia="Times New Roman" w:cs="Arial"/>
          <w:szCs w:val="24"/>
          <w:lang w:eastAsia="pt-BR"/>
        </w:rPr>
      </w:pPr>
      <w:r w:rsidRPr="00137F75">
        <w:rPr>
          <w:rFonts w:eastAsia="Times New Roman" w:cs="Arial"/>
          <w:szCs w:val="24"/>
          <w:lang w:eastAsia="pt-BR"/>
        </w:rPr>
        <w:t>Ampliação do programa de construção de fossas sépticas</w:t>
      </w:r>
      <w:r w:rsidR="00FD131B">
        <w:rPr>
          <w:rFonts w:eastAsia="Times New Roman" w:cs="Arial"/>
          <w:szCs w:val="24"/>
          <w:lang w:eastAsia="pt-BR"/>
        </w:rPr>
        <w:t>.</w:t>
      </w:r>
    </w:p>
    <w:p w:rsidR="00137F75" w:rsidRPr="00137F75" w:rsidRDefault="00137F75" w:rsidP="00A87269">
      <w:pPr>
        <w:numPr>
          <w:ilvl w:val="0"/>
          <w:numId w:val="45"/>
        </w:numPr>
        <w:spacing w:before="120" w:after="120"/>
        <w:contextualSpacing/>
        <w:rPr>
          <w:rFonts w:eastAsia="Times New Roman" w:cs="Arial"/>
          <w:szCs w:val="24"/>
          <w:lang w:eastAsia="pt-BR"/>
        </w:rPr>
      </w:pPr>
      <w:r w:rsidRPr="00137F75">
        <w:rPr>
          <w:rFonts w:eastAsia="Times New Roman" w:cs="Arial"/>
          <w:szCs w:val="24"/>
          <w:lang w:eastAsia="pt-BR"/>
        </w:rPr>
        <w:t>Setor de drenagem:</w:t>
      </w:r>
    </w:p>
    <w:p w:rsidR="00137F75" w:rsidRPr="00137F75" w:rsidRDefault="00137F75" w:rsidP="00A87269">
      <w:pPr>
        <w:numPr>
          <w:ilvl w:val="1"/>
          <w:numId w:val="45"/>
        </w:numPr>
        <w:spacing w:before="120" w:after="120"/>
        <w:contextualSpacing/>
        <w:rPr>
          <w:rFonts w:eastAsia="Times New Roman" w:cs="Arial"/>
          <w:szCs w:val="24"/>
          <w:lang w:eastAsia="pt-BR"/>
        </w:rPr>
      </w:pPr>
      <w:r w:rsidRPr="00137F75">
        <w:rPr>
          <w:rFonts w:eastAsia="Times New Roman" w:cs="Arial"/>
          <w:szCs w:val="24"/>
          <w:lang w:eastAsia="pt-BR"/>
        </w:rPr>
        <w:t>Recuperação de matas no entorno da cidade.</w:t>
      </w:r>
    </w:p>
    <w:p w:rsidR="00137F75" w:rsidRPr="00137F75" w:rsidRDefault="00137F75" w:rsidP="00A87269">
      <w:pPr>
        <w:numPr>
          <w:ilvl w:val="1"/>
          <w:numId w:val="45"/>
        </w:numPr>
        <w:spacing w:before="120" w:after="120"/>
        <w:contextualSpacing/>
        <w:rPr>
          <w:rFonts w:eastAsia="Times New Roman" w:cs="Arial"/>
          <w:szCs w:val="24"/>
          <w:lang w:eastAsia="pt-BR"/>
        </w:rPr>
      </w:pPr>
      <w:r w:rsidRPr="00137F75">
        <w:rPr>
          <w:rFonts w:eastAsia="Times New Roman" w:cs="Arial"/>
          <w:szCs w:val="24"/>
          <w:lang w:eastAsia="pt-BR"/>
        </w:rPr>
        <w:t>Construção de bueiros nas ruas.</w:t>
      </w:r>
    </w:p>
    <w:p w:rsidR="00137F75" w:rsidRPr="00137F75" w:rsidRDefault="00137F75" w:rsidP="00A87269">
      <w:pPr>
        <w:numPr>
          <w:ilvl w:val="0"/>
          <w:numId w:val="45"/>
        </w:numPr>
        <w:spacing w:before="120" w:after="120"/>
        <w:contextualSpacing/>
        <w:rPr>
          <w:rFonts w:eastAsia="Times New Roman" w:cs="Arial"/>
          <w:szCs w:val="24"/>
          <w:lang w:eastAsia="pt-BR"/>
        </w:rPr>
      </w:pPr>
      <w:r w:rsidRPr="00137F75">
        <w:rPr>
          <w:rFonts w:eastAsia="Times New Roman" w:cs="Arial"/>
          <w:szCs w:val="24"/>
          <w:lang w:eastAsia="pt-BR"/>
        </w:rPr>
        <w:t>Setor de resíduos:</w:t>
      </w:r>
    </w:p>
    <w:p w:rsidR="00137F75" w:rsidRPr="00137F75" w:rsidRDefault="00C30521" w:rsidP="00A87269">
      <w:pPr>
        <w:numPr>
          <w:ilvl w:val="1"/>
          <w:numId w:val="45"/>
        </w:numPr>
        <w:spacing w:before="120" w:after="120"/>
        <w:contextualSpacing/>
        <w:rPr>
          <w:rFonts w:eastAsia="Times New Roman" w:cs="Arial"/>
          <w:szCs w:val="24"/>
          <w:lang w:eastAsia="pt-BR"/>
        </w:rPr>
      </w:pPr>
      <w:r>
        <w:rPr>
          <w:rFonts w:eastAsia="Times New Roman" w:cs="Arial"/>
          <w:szCs w:val="24"/>
          <w:lang w:eastAsia="pt-BR"/>
        </w:rPr>
        <w:t>Fazer coleta seletiva em pontos estratégicos</w:t>
      </w:r>
      <w:r w:rsidR="00137F75" w:rsidRPr="00137F75">
        <w:rPr>
          <w:rFonts w:eastAsia="Times New Roman" w:cs="Arial"/>
          <w:szCs w:val="24"/>
          <w:lang w:eastAsia="pt-BR"/>
        </w:rPr>
        <w:t>.</w:t>
      </w:r>
    </w:p>
    <w:p w:rsidR="00137F75" w:rsidRPr="00137F75" w:rsidRDefault="00137F75" w:rsidP="00A87269">
      <w:pPr>
        <w:numPr>
          <w:ilvl w:val="1"/>
          <w:numId w:val="45"/>
        </w:numPr>
        <w:spacing w:before="120" w:after="120"/>
        <w:contextualSpacing/>
        <w:rPr>
          <w:rFonts w:eastAsia="Times New Roman" w:cs="Arial"/>
          <w:szCs w:val="24"/>
          <w:lang w:eastAsia="pt-BR"/>
        </w:rPr>
      </w:pPr>
      <w:r w:rsidRPr="00137F75">
        <w:rPr>
          <w:rFonts w:eastAsia="Times New Roman" w:cs="Arial"/>
          <w:szCs w:val="24"/>
          <w:lang w:eastAsia="pt-BR"/>
        </w:rPr>
        <w:t>Implementar procedimentos para fiscalizar disposição irregular de resíduos sólidos nas ruas</w:t>
      </w:r>
      <w:r w:rsidR="00FD131B">
        <w:rPr>
          <w:rFonts w:eastAsia="Times New Roman" w:cs="Arial"/>
          <w:szCs w:val="24"/>
          <w:lang w:eastAsia="pt-BR"/>
        </w:rPr>
        <w:t>.</w:t>
      </w:r>
    </w:p>
    <w:p w:rsidR="00137F75" w:rsidRPr="00137F75" w:rsidRDefault="00137F75" w:rsidP="00137F75">
      <w:pPr>
        <w:spacing w:before="120" w:after="120"/>
        <w:ind w:firstLine="708"/>
        <w:contextualSpacing/>
        <w:rPr>
          <w:rFonts w:cs="Arial"/>
          <w:szCs w:val="24"/>
          <w:lang w:eastAsia="pt-BR"/>
        </w:rPr>
      </w:pPr>
      <w:r w:rsidRPr="00137F75">
        <w:rPr>
          <w:rFonts w:cs="Arial"/>
          <w:szCs w:val="24"/>
          <w:lang w:eastAsia="pt-BR"/>
        </w:rPr>
        <w:t xml:space="preserve">A </w:t>
      </w:r>
      <w:r w:rsidR="00FD131B">
        <w:rPr>
          <w:rFonts w:cs="Arial"/>
          <w:szCs w:val="24"/>
          <w:lang w:eastAsia="pt-BR"/>
        </w:rPr>
        <w:fldChar w:fldCharType="begin"/>
      </w:r>
      <w:r w:rsidR="00FD131B">
        <w:rPr>
          <w:rFonts w:cs="Arial"/>
          <w:szCs w:val="24"/>
          <w:lang w:eastAsia="pt-BR"/>
        </w:rPr>
        <w:instrText xml:space="preserve"> REF _Ref487729921 \h </w:instrText>
      </w:r>
      <w:r w:rsidR="00FD131B">
        <w:rPr>
          <w:rFonts w:cs="Arial"/>
          <w:szCs w:val="24"/>
          <w:lang w:eastAsia="pt-BR"/>
        </w:rPr>
      </w:r>
      <w:r w:rsidR="00FD131B">
        <w:rPr>
          <w:rFonts w:cs="Arial"/>
          <w:szCs w:val="24"/>
          <w:lang w:eastAsia="pt-BR"/>
        </w:rPr>
        <w:fldChar w:fldCharType="separate"/>
      </w:r>
      <w:r w:rsidR="004D1D76" w:rsidRPr="00FD131B">
        <w:t xml:space="preserve">Figura </w:t>
      </w:r>
      <w:r w:rsidR="004D1D76">
        <w:rPr>
          <w:noProof/>
        </w:rPr>
        <w:t>24</w:t>
      </w:r>
      <w:r w:rsidR="00FD131B">
        <w:rPr>
          <w:rFonts w:cs="Arial"/>
          <w:szCs w:val="24"/>
          <w:lang w:eastAsia="pt-BR"/>
        </w:rPr>
        <w:fldChar w:fldCharType="end"/>
      </w:r>
      <w:r w:rsidR="00FD131B">
        <w:rPr>
          <w:rFonts w:cs="Arial"/>
          <w:szCs w:val="24"/>
          <w:lang w:eastAsia="pt-BR"/>
        </w:rPr>
        <w:t xml:space="preserve"> </w:t>
      </w:r>
      <w:r w:rsidRPr="00137F75">
        <w:rPr>
          <w:rFonts w:cs="Arial"/>
          <w:szCs w:val="24"/>
          <w:lang w:eastAsia="pt-BR"/>
        </w:rPr>
        <w:t>apresenta uma tomada fotográfica da 2ª Oficina do PMSB de Córrego Novo-MG.</w:t>
      </w:r>
    </w:p>
    <w:p w:rsidR="00137F75" w:rsidRPr="00FD131B" w:rsidRDefault="00FD131B" w:rsidP="00FD131B">
      <w:pPr>
        <w:pStyle w:val="Legenda"/>
      </w:pPr>
      <w:bookmarkStart w:id="790" w:name="_Ref487729921"/>
      <w:bookmarkStart w:id="791" w:name="_Toc497469120"/>
      <w:r w:rsidRPr="00FD131B">
        <w:t xml:space="preserve">Figura </w:t>
      </w:r>
      <w:r w:rsidR="00D71C43">
        <w:fldChar w:fldCharType="begin"/>
      </w:r>
      <w:r w:rsidR="00D71C43">
        <w:instrText xml:space="preserve"> SEQ Figura \* ARABIC </w:instrText>
      </w:r>
      <w:r w:rsidR="00D71C43">
        <w:fldChar w:fldCharType="separate"/>
      </w:r>
      <w:r w:rsidR="004D1D76">
        <w:rPr>
          <w:noProof/>
        </w:rPr>
        <w:t>24</w:t>
      </w:r>
      <w:r w:rsidR="00D71C43">
        <w:rPr>
          <w:noProof/>
        </w:rPr>
        <w:fldChar w:fldCharType="end"/>
      </w:r>
      <w:bookmarkEnd w:id="790"/>
      <w:r w:rsidRPr="00FD131B">
        <w:t xml:space="preserve"> - </w:t>
      </w:r>
      <w:r w:rsidR="00137F75" w:rsidRPr="00FD131B">
        <w:t>2º Oficina do PMSB de Córrego Novo</w:t>
      </w:r>
      <w:bookmarkEnd w:id="791"/>
    </w:p>
    <w:p w:rsidR="00137F75" w:rsidRPr="00137F75" w:rsidRDefault="00137F75" w:rsidP="0081207B">
      <w:pPr>
        <w:pStyle w:val="figura"/>
        <w:rPr>
          <w:szCs w:val="24"/>
        </w:rPr>
      </w:pPr>
      <w:r w:rsidRPr="00137F75">
        <w:rPr>
          <w:noProof/>
        </w:rPr>
        <w:drawing>
          <wp:inline distT="0" distB="0" distL="0" distR="0" wp14:anchorId="0AA90BCF" wp14:editId="1236B176">
            <wp:extent cx="4320000" cy="3259848"/>
            <wp:effectExtent l="0" t="0" r="4445" b="0"/>
            <wp:docPr id="40" name="Imagem 40" descr="C:\Users\Sheila\AppData\Local\Microsoft\Windows\INetCache\Content.Outlook\ZQXQQ316\IMG_05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heila\AppData\Local\Microsoft\Windows\INetCache\Content.Outlook\ZQXQQ316\IMG_0517.JPG"/>
                    <pic:cNvPicPr>
                      <a:picLocks noChangeAspect="1" noChangeArrowheads="1"/>
                    </pic:cNvPicPr>
                  </pic:nvPicPr>
                  <pic:blipFill rotWithShape="1">
                    <a:blip r:embed="rId79" cstate="screen">
                      <a:extLst>
                        <a:ext uri="{28A0092B-C50C-407E-A947-70E740481C1C}">
                          <a14:useLocalDpi xmlns:a14="http://schemas.microsoft.com/office/drawing/2010/main"/>
                        </a:ext>
                      </a:extLst>
                    </a:blip>
                    <a:srcRect/>
                    <a:stretch/>
                  </pic:blipFill>
                  <pic:spPr bwMode="auto">
                    <a:xfrm>
                      <a:off x="0" y="0"/>
                      <a:ext cx="4320000" cy="3259848"/>
                    </a:xfrm>
                    <a:prstGeom prst="rect">
                      <a:avLst/>
                    </a:prstGeom>
                    <a:noFill/>
                    <a:ln>
                      <a:noFill/>
                    </a:ln>
                    <a:extLst>
                      <a:ext uri="{53640926-AAD7-44D8-BBD7-CCE9431645EC}">
                        <a14:shadowObscured xmlns:a14="http://schemas.microsoft.com/office/drawing/2010/main"/>
                      </a:ext>
                    </a:extLst>
                  </pic:spPr>
                </pic:pic>
              </a:graphicData>
            </a:graphic>
          </wp:inline>
        </w:drawing>
      </w:r>
    </w:p>
    <w:p w:rsidR="00FD131B" w:rsidRPr="00137F75" w:rsidRDefault="00FD131B" w:rsidP="00FD131B">
      <w:pPr>
        <w:pStyle w:val="Fonte"/>
      </w:pPr>
      <w:r>
        <w:t>Fonte: SHS, 2017a.</w:t>
      </w:r>
    </w:p>
    <w:p w:rsidR="00137F75" w:rsidRPr="00137F75" w:rsidRDefault="00137F75" w:rsidP="00137F75">
      <w:pPr>
        <w:keepNext/>
        <w:spacing w:before="120" w:after="120"/>
        <w:ind w:firstLine="708"/>
        <w:contextualSpacing/>
        <w:rPr>
          <w:rFonts w:cs="Arial"/>
          <w:szCs w:val="24"/>
          <w:lang w:eastAsia="pt-BR"/>
        </w:rPr>
      </w:pPr>
      <w:r w:rsidRPr="00137F75">
        <w:rPr>
          <w:rFonts w:cs="Arial"/>
          <w:szCs w:val="24"/>
          <w:lang w:eastAsia="pt-BR"/>
        </w:rPr>
        <w:lastRenderedPageBreak/>
        <w:t>A seguir é apresentada a lista de presença dessa reunião</w:t>
      </w:r>
      <w:r w:rsidR="00FD131B">
        <w:rPr>
          <w:rFonts w:cs="Arial"/>
          <w:szCs w:val="24"/>
          <w:lang w:eastAsia="pt-BR"/>
        </w:rPr>
        <w:t xml:space="preserve"> (</w:t>
      </w:r>
      <w:r w:rsidR="00FD131B">
        <w:rPr>
          <w:rFonts w:cs="Arial"/>
          <w:szCs w:val="24"/>
          <w:lang w:eastAsia="pt-BR"/>
        </w:rPr>
        <w:fldChar w:fldCharType="begin"/>
      </w:r>
      <w:r w:rsidR="00FD131B">
        <w:rPr>
          <w:rFonts w:cs="Arial"/>
          <w:szCs w:val="24"/>
          <w:lang w:eastAsia="pt-BR"/>
        </w:rPr>
        <w:instrText xml:space="preserve"> REF _Ref487729985 \h </w:instrText>
      </w:r>
      <w:r w:rsidR="00FD131B">
        <w:rPr>
          <w:rFonts w:cs="Arial"/>
          <w:szCs w:val="24"/>
          <w:lang w:eastAsia="pt-BR"/>
        </w:rPr>
      </w:r>
      <w:r w:rsidR="00FD131B">
        <w:rPr>
          <w:rFonts w:cs="Arial"/>
          <w:szCs w:val="24"/>
          <w:lang w:eastAsia="pt-BR"/>
        </w:rPr>
        <w:fldChar w:fldCharType="separate"/>
      </w:r>
      <w:r w:rsidR="004D1D76" w:rsidRPr="00FD131B">
        <w:t xml:space="preserve">Figura </w:t>
      </w:r>
      <w:r w:rsidR="004D1D76">
        <w:rPr>
          <w:noProof/>
        </w:rPr>
        <w:t>25</w:t>
      </w:r>
      <w:r w:rsidR="00FD131B">
        <w:rPr>
          <w:rFonts w:cs="Arial"/>
          <w:szCs w:val="24"/>
          <w:lang w:eastAsia="pt-BR"/>
        </w:rPr>
        <w:fldChar w:fldCharType="end"/>
      </w:r>
      <w:r w:rsidR="00FD131B">
        <w:rPr>
          <w:rFonts w:cs="Arial"/>
          <w:szCs w:val="24"/>
          <w:lang w:eastAsia="pt-BR"/>
        </w:rPr>
        <w:t>)</w:t>
      </w:r>
      <w:r w:rsidRPr="00137F75">
        <w:rPr>
          <w:rFonts w:cs="Arial"/>
          <w:szCs w:val="24"/>
          <w:lang w:eastAsia="pt-BR"/>
        </w:rPr>
        <w:t>.</w:t>
      </w:r>
    </w:p>
    <w:p w:rsidR="00137F75" w:rsidRPr="00FD131B" w:rsidRDefault="00FD131B" w:rsidP="00FD131B">
      <w:pPr>
        <w:pStyle w:val="Legenda"/>
      </w:pPr>
      <w:bookmarkStart w:id="792" w:name="_Ref487729985"/>
      <w:bookmarkStart w:id="793" w:name="_Toc497469121"/>
      <w:r w:rsidRPr="00FD131B">
        <w:t xml:space="preserve">Figura </w:t>
      </w:r>
      <w:r w:rsidR="00D71C43">
        <w:fldChar w:fldCharType="begin"/>
      </w:r>
      <w:r w:rsidR="00D71C43">
        <w:instrText xml:space="preserve"> SEQ Figura \* ARABIC </w:instrText>
      </w:r>
      <w:r w:rsidR="00D71C43">
        <w:fldChar w:fldCharType="separate"/>
      </w:r>
      <w:r w:rsidR="004D1D76">
        <w:rPr>
          <w:noProof/>
        </w:rPr>
        <w:t>25</w:t>
      </w:r>
      <w:r w:rsidR="00D71C43">
        <w:rPr>
          <w:noProof/>
        </w:rPr>
        <w:fldChar w:fldCharType="end"/>
      </w:r>
      <w:bookmarkEnd w:id="792"/>
      <w:r w:rsidRPr="00FD131B">
        <w:t xml:space="preserve"> - </w:t>
      </w:r>
      <w:r w:rsidR="00137F75" w:rsidRPr="00FD131B">
        <w:t>Lista de presença da 2ª Oficina do PMSB de Córrego Novo</w:t>
      </w:r>
      <w:bookmarkEnd w:id="793"/>
    </w:p>
    <w:p w:rsidR="00137F75" w:rsidRPr="00137F75" w:rsidRDefault="00137F75" w:rsidP="0081207B">
      <w:pPr>
        <w:pStyle w:val="figura"/>
      </w:pPr>
      <w:r w:rsidRPr="00137F75">
        <w:rPr>
          <w:noProof/>
        </w:rPr>
        <w:drawing>
          <wp:inline distT="0" distB="0" distL="0" distR="0" wp14:anchorId="5742A441" wp14:editId="32A427C8">
            <wp:extent cx="5760000" cy="2883721"/>
            <wp:effectExtent l="0" t="0" r="0" b="0"/>
            <wp:docPr id="41" name="Imagem 41" descr="\\SHS-SRV1\Projetos\2016\IBIO\RELATÓRIOS REVISÃO\P3 - Diagnóstico\Apoio\Material de Oficinas\Córrego Novo\IMG_04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HS-SRV1\Projetos\2016\IBIO\RELATÓRIOS REVISÃO\P3 - Diagnóstico\Apoio\Material de Oficinas\Córrego Novo\IMG_0453.JPG"/>
                    <pic:cNvPicPr>
                      <a:picLocks noChangeAspect="1" noChangeArrowheads="1"/>
                    </pic:cNvPicPr>
                  </pic:nvPicPr>
                  <pic:blipFill rotWithShape="1">
                    <a:blip r:embed="rId80" cstate="screen">
                      <a:extLst>
                        <a:ext uri="{28A0092B-C50C-407E-A947-70E740481C1C}">
                          <a14:useLocalDpi xmlns:a14="http://schemas.microsoft.com/office/drawing/2010/main"/>
                        </a:ext>
                      </a:extLst>
                    </a:blip>
                    <a:srcRect/>
                    <a:stretch/>
                  </pic:blipFill>
                  <pic:spPr bwMode="auto">
                    <a:xfrm>
                      <a:off x="0" y="0"/>
                      <a:ext cx="5760000" cy="2883721"/>
                    </a:xfrm>
                    <a:prstGeom prst="rect">
                      <a:avLst/>
                    </a:prstGeom>
                    <a:noFill/>
                    <a:ln>
                      <a:noFill/>
                    </a:ln>
                    <a:extLst>
                      <a:ext uri="{53640926-AAD7-44D8-BBD7-CCE9431645EC}">
                        <a14:shadowObscured xmlns:a14="http://schemas.microsoft.com/office/drawing/2010/main"/>
                      </a:ext>
                    </a:extLst>
                  </pic:spPr>
                </pic:pic>
              </a:graphicData>
            </a:graphic>
          </wp:inline>
        </w:drawing>
      </w:r>
    </w:p>
    <w:p w:rsidR="00137F75" w:rsidRPr="00137F75" w:rsidRDefault="00137F75" w:rsidP="00FD131B">
      <w:pPr>
        <w:pStyle w:val="Fonte"/>
      </w:pPr>
      <w:r w:rsidRPr="00137F75">
        <w:t>Fonte: Prefeitura Municipal, 2017</w:t>
      </w:r>
      <w:r w:rsidR="00FD131B">
        <w:t>.</w:t>
      </w:r>
    </w:p>
    <w:p w:rsidR="00104D8B" w:rsidRPr="00DF4A2F" w:rsidRDefault="00104D8B" w:rsidP="00C57ADC">
      <w:pPr>
        <w:pStyle w:val="SHS-Ttulo01"/>
      </w:pPr>
      <w:bookmarkStart w:id="794" w:name="_Toc497469095"/>
      <w:r w:rsidRPr="00DF4A2F">
        <w:t>CONSIDERAÇÕES FINAIS</w:t>
      </w:r>
      <w:bookmarkEnd w:id="794"/>
    </w:p>
    <w:p w:rsidR="00104D8B" w:rsidRDefault="00A044E2" w:rsidP="00A044E2">
      <w:pPr>
        <w:spacing w:before="120" w:after="120"/>
        <w:ind w:firstLine="708"/>
        <w:contextualSpacing/>
        <w:rPr>
          <w:rFonts w:cs="Arial"/>
          <w:szCs w:val="24"/>
          <w:lang w:eastAsia="pt-BR"/>
        </w:rPr>
      </w:pPr>
      <w:r w:rsidRPr="00DF4A2F">
        <w:rPr>
          <w:rFonts w:cs="Arial"/>
          <w:szCs w:val="24"/>
          <w:lang w:eastAsia="pt-BR"/>
        </w:rPr>
        <w:t>Nes</w:t>
      </w:r>
      <w:r w:rsidR="00F70EE2" w:rsidRPr="00DF4A2F">
        <w:rPr>
          <w:rFonts w:cs="Arial"/>
          <w:szCs w:val="24"/>
          <w:lang w:eastAsia="pt-BR"/>
        </w:rPr>
        <w:t>t</w:t>
      </w:r>
      <w:r w:rsidRPr="00DF4A2F">
        <w:rPr>
          <w:rFonts w:cs="Arial"/>
          <w:szCs w:val="24"/>
          <w:lang w:eastAsia="pt-BR"/>
        </w:rPr>
        <w:t xml:space="preserve">a etapa foram estabelecidos </w:t>
      </w:r>
      <w:r w:rsidR="00104D8B" w:rsidRPr="00DF4A2F">
        <w:rPr>
          <w:rFonts w:cs="Arial"/>
          <w:szCs w:val="24"/>
          <w:lang w:eastAsia="pt-BR"/>
        </w:rPr>
        <w:t xml:space="preserve">objetivos e metas </w:t>
      </w:r>
      <w:r w:rsidRPr="00DF4A2F">
        <w:rPr>
          <w:rFonts w:cs="Arial"/>
          <w:szCs w:val="24"/>
          <w:lang w:eastAsia="pt-BR"/>
        </w:rPr>
        <w:t xml:space="preserve">visando </w:t>
      </w:r>
      <w:r w:rsidR="00F70EE2" w:rsidRPr="00DF4A2F">
        <w:rPr>
          <w:rFonts w:cs="Arial"/>
          <w:szCs w:val="24"/>
          <w:lang w:eastAsia="pt-BR"/>
        </w:rPr>
        <w:t>à</w:t>
      </w:r>
      <w:r w:rsidRPr="00DF4A2F">
        <w:rPr>
          <w:rFonts w:cs="Arial"/>
          <w:szCs w:val="24"/>
          <w:lang w:eastAsia="pt-BR"/>
        </w:rPr>
        <w:t xml:space="preserve"> universalização dos serviços que integram o saneamento básico municipal. Na próxima etapa serão propostos os programas e as ações com a finalidade de </w:t>
      </w:r>
      <w:r w:rsidR="007B7163" w:rsidRPr="00DF4A2F">
        <w:rPr>
          <w:rFonts w:cs="Arial"/>
          <w:szCs w:val="24"/>
          <w:lang w:eastAsia="pt-BR"/>
        </w:rPr>
        <w:t>alcançar as metas.</w:t>
      </w:r>
      <w:r w:rsidRPr="00DF4A2F">
        <w:rPr>
          <w:rFonts w:cs="Arial"/>
          <w:szCs w:val="24"/>
          <w:lang w:eastAsia="pt-BR"/>
        </w:rPr>
        <w:t xml:space="preserve">  </w:t>
      </w:r>
    </w:p>
    <w:p w:rsidR="002632EE" w:rsidRDefault="002632EE" w:rsidP="00A044E2">
      <w:pPr>
        <w:spacing w:before="120" w:after="120"/>
        <w:ind w:firstLine="708"/>
        <w:contextualSpacing/>
        <w:rPr>
          <w:rFonts w:cs="Arial"/>
          <w:szCs w:val="24"/>
          <w:lang w:eastAsia="pt-BR"/>
        </w:rPr>
      </w:pPr>
    </w:p>
    <w:p w:rsidR="0068733F" w:rsidRDefault="0081207B" w:rsidP="0068733F">
      <w:pPr>
        <w:pStyle w:val="SHS-Ttulo01"/>
      </w:pPr>
      <w:r>
        <w:rPr>
          <w:szCs w:val="24"/>
        </w:rPr>
        <w:br w:type="page"/>
      </w:r>
      <w:bookmarkStart w:id="795" w:name="_Toc488825358"/>
      <w:bookmarkStart w:id="796" w:name="_Toc497469096"/>
      <w:r w:rsidR="0068733F" w:rsidRPr="00DF4A2F">
        <w:lastRenderedPageBreak/>
        <w:t>BIBLIOGRAFIA</w:t>
      </w:r>
      <w:bookmarkEnd w:id="795"/>
      <w:bookmarkEnd w:id="796"/>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ABIKO, Alex. Serviços Públicos Urbanos. Texto Técnico – Escola Politécnica da USP – Departamento de Engenharia de Construção Civil, São Paulo, 2011.</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ANGULO et al. Resíduos de construção e demolição: avaliação de métodos de quantificação. Revista Engenharia Sanitária e Ambiental. Associação Brasileira de Engenharia Sanitária e Ambiental: Rio de Janeiro. v. 16, n. 3, p. 299-306, jul/set 2011.</w:t>
      </w:r>
    </w:p>
    <w:p w:rsidR="0068733F" w:rsidRPr="006650DD" w:rsidRDefault="0068733F" w:rsidP="0068733F">
      <w:pPr>
        <w:spacing w:before="120" w:after="120"/>
        <w:ind w:left="567" w:hanging="567"/>
        <w:contextualSpacing/>
      </w:pPr>
      <w:r w:rsidRPr="006650DD">
        <w:t>ARRETCHE, Marta T. S. Saneamento – Infraestrutura – Perspectivas de reorganização. Ministério do Planejamento e Orçamento. Instituto de Pesquisa Econômica Aplicada (IPEA), 1999.</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ASSOCIAÇÃO BRASILEIRA DE NORMAS TÉCNICA. NBR 8418. Apresentação de projetos de aterros de resíduos industriais perigosos - procedimento. Rio de Janeiro, 1983.</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______. NBR 13896: Aterros de resíduos não perigosos - Critérios para projeto, implantação e operação. Rio de Janeiro, 1997.</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 xml:space="preserve">ATLAS DIGITAL DAS ÁGUAS DE MINAS, s.d. Disponível em: &lt; http://www.atlasdasaguas.ufv.br/ &gt;. Acesso em </w:t>
      </w:r>
      <w:r w:rsidR="00E760A2">
        <w:rPr>
          <w:rFonts w:cs="Arial"/>
          <w:szCs w:val="24"/>
          <w:lang w:eastAsia="pt-BR"/>
        </w:rPr>
        <w:t>julho 2017.</w:t>
      </w:r>
      <w:r w:rsidRPr="006650DD">
        <w:rPr>
          <w:rFonts w:cs="Arial"/>
          <w:szCs w:val="24"/>
          <w:lang w:eastAsia="pt-BR"/>
        </w:rPr>
        <w:t xml:space="preserve"> </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BATISTA, M.; NASCIMENTO, N. BARRAUD, S. Bacias de Detenção, In: Técnicas Compensatórias em Drenagem Urbana, Porto Alegre: ABRH, 2005.</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val="en-US" w:eastAsia="pt-BR"/>
        </w:rPr>
        <w:t xml:space="preserve">BESEN, G. R. et al. </w:t>
      </w:r>
      <w:r w:rsidRPr="006650DD">
        <w:rPr>
          <w:rFonts w:cs="Arial"/>
          <w:szCs w:val="24"/>
          <w:lang w:eastAsia="pt-BR"/>
        </w:rPr>
        <w:t>Resíduos sólidos: vulnerabilidades e perspectivas. In: SALDIVA P. et al. Meio ambiente e saúde: o desafio das metrópoles. São Paulo: Ex Libris, 2010.</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BRASIL. Constituição (1988). Constituição da República Federativa do Brasil. Brasília, DF: Senado Federal: Centro Gráfico, 1988. 292 p.</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______. Decreto nº 6.017, de 17 de janeiro de 2007. Regulamenta a Lei nº 11.107, de 6 de abril de 2005, que dispõe sobre normas gerais de contratação de consórcios públicos. DOU, Brasília, 2007.</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______. Lei nº 10.257, de 10 de julho de 2001. Institui o Estatuto das Cidades. Regulamenta os arts. 182 e 183 da Constituição Federal, estabelece diretrizes gerais da política urbana e dá outras providências. Diário Oficial [da] República Federativa do Brasil, Brasília, DF.</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lastRenderedPageBreak/>
        <w:t>______. Lei nº 11.445, de 5 de janeiro de 2007. Estabelece diretrizes nacionais para o saneamento básico; altera as Leis nos 6.766, de 19 de dezembro de 1979, 8.036, de 11 de maio de 1990, 8.666, de 21 de junho de 1993, 8.987, de 13 de fevereiro de 1995; revoga a Lei nº 6.528, de 11 de maio de 1978; e dá outras providências. Diário Oficial [da] República Federativa do Brasil, Brasília, DF.</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______. Lei nº 12.305, de 2 de agosto de 2010. Institui a Política Nacional de Resíduos Sólidos; altera a Lei nº 9.605, de 12 de fevereiro de 1998; e dá outras providências. Diário Oficial da União, de 3 de agosto de 2010, Brasília, DF.</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 xml:space="preserve">______. Lei nº 11.107, de 6 de abril de 2005. Dispõe sobre normas gerais de contratação de consórcios públicos e dá outras providências. DOU, Brasília, 2005. </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 xml:space="preserve">______. Lei nº 8.987, de 13 de fevereiro de 1995. Dispõe sobre o regime de concessão e permissão da prestação de serviços públicos, previsto no art. 175 da Constituição Federal, e dá outras providências. DOU, Brasília, 1995. </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 xml:space="preserve">______. Lei nº 8.666, de 21 de junho de 1993. Regulamenta o art. 37, inciso XXI, da Constituição Federal, institui normas para licitações e contratos da Administração Pública e dá outras providências. DOU, Brasília, 1993. </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______. Lei nº 9.074, de 7 de julho de 1995.Estabelece normas para outorga e prorrogações das concessões e permissões de serviços públicos e dá outras providências. Disponível em:  &lt;</w:t>
      </w:r>
      <w:hyperlink r:id="rId81" w:history="1">
        <w:r w:rsidRPr="006650DD">
          <w:rPr>
            <w:szCs w:val="24"/>
            <w:lang w:eastAsia="pt-BR"/>
          </w:rPr>
          <w:t>http://www.planalto.gov.br/ccivil_03/leis/L9074cons.htm</w:t>
        </w:r>
      </w:hyperlink>
      <w:r w:rsidRPr="006650DD">
        <w:rPr>
          <w:rFonts w:cs="Arial"/>
          <w:szCs w:val="24"/>
          <w:lang w:eastAsia="pt-BR"/>
        </w:rPr>
        <w:t>&gt;. Acesso em: julho de 2017.</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______. Lei nº 11.079, de 30 de dezembro de 2004. Institui normas gerais para licitação e contratação de parceria público-privada no âmbito da administração pública. Disponível em:&lt;</w:t>
      </w:r>
      <w:hyperlink r:id="rId82" w:history="1">
        <w:r w:rsidRPr="006650DD">
          <w:rPr>
            <w:szCs w:val="24"/>
            <w:lang w:eastAsia="pt-BR"/>
          </w:rPr>
          <w:t>http://www.planalto.gov.br/ccivil_03/_ato2004-2006/2004/lei/l11079.htm</w:t>
        </w:r>
      </w:hyperlink>
      <w:r w:rsidRPr="006650DD">
        <w:rPr>
          <w:rFonts w:cs="Arial"/>
          <w:szCs w:val="24"/>
          <w:lang w:eastAsia="pt-BR"/>
        </w:rPr>
        <w:t>&gt;. Acesso em: julho de 2017.</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BUARQUE, S. C.; Metodologia e técnicas de construção de cenários globais e regionais. Texto para discussão nº 939. Brasília, IPEA. Fevereiro de 2003. ISSN 1415-4765.</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CANHOLI, A. P. Drenagem urbana e controle de enchentes. São Paulo: Oficina de Textos, 2005.</w:t>
      </w:r>
    </w:p>
    <w:p w:rsidR="004D1D76" w:rsidRDefault="004D1D76" w:rsidP="0068733F">
      <w:pPr>
        <w:spacing w:before="120" w:after="120"/>
        <w:ind w:left="567" w:hanging="567"/>
        <w:contextualSpacing/>
        <w:rPr>
          <w:rFonts w:cs="Arial"/>
          <w:szCs w:val="24"/>
          <w:lang w:eastAsia="pt-BR"/>
        </w:rPr>
      </w:pP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lastRenderedPageBreak/>
        <w:t>CBH DOCE – COMITÊ DA BACIA HIDROGRÁFICA DO RIO DOCE. Plano Integrado de Recursos Hídricos da Bacia Hidrográfica do Rio Doce e Planos de Ações para as Unidades de Planejamento e Gestão de Recursos Hídricos no Âmbito da Bacia do Rio Doce. Volume I, Relatório Final. Elaborado pelo Consórcio ECOPLAN-LUME. 472 p., 2010a.</w:t>
      </w:r>
    </w:p>
    <w:p w:rsidR="0068733F" w:rsidRPr="006650DD" w:rsidRDefault="0068733F" w:rsidP="0068733F">
      <w:pPr>
        <w:spacing w:before="120" w:after="120"/>
        <w:ind w:left="567" w:hanging="567"/>
        <w:contextualSpacing/>
      </w:pPr>
      <w:r w:rsidRPr="006650DD">
        <w:t>CRETELLA JÚNIOR, José. Administração indireta brasileira. Rio de Janeiro: Forense,</w:t>
      </w:r>
      <w:r w:rsidR="00E760A2">
        <w:t xml:space="preserve"> </w:t>
      </w:r>
      <w:r w:rsidRPr="006650DD">
        <w:t>1980.</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D’ELLA, D. M. C. Relação entre utilização de água e geração de resíduos sólidos domiciliares. Revista de saneamento ambiental, São Paulo, no. 65, p.38-41, maio de 2000.</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 xml:space="preserve">EMBRAPA – Empresa Brasileira de Pesquisa Agropecuária. Tecnologias de </w:t>
      </w:r>
      <w:r w:rsidR="00E760A2">
        <w:rPr>
          <w:rFonts w:cs="Arial"/>
          <w:szCs w:val="24"/>
          <w:lang w:eastAsia="pt-BR"/>
        </w:rPr>
        <w:t>S</w:t>
      </w:r>
      <w:r w:rsidRPr="006650DD">
        <w:rPr>
          <w:rFonts w:cs="Arial"/>
          <w:szCs w:val="24"/>
          <w:lang w:eastAsia="pt-BR"/>
        </w:rPr>
        <w:t>aneamento Básico Rural desenvolvidas pela Embrapa. IV Seminário Internacional de Engenharia de Saúde Pública. Belo Horizonte, MG. 2013.</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FEAM - Fundação Estadual do Meio Ambiente - Orientações básicas para a operação de aterro sanitário. Belo Horizonte: FEAM, 2006. 36p.</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______Orientações</w:t>
      </w:r>
      <w:r w:rsidRPr="006650DD">
        <w:rPr>
          <w:rFonts w:cs="Arial"/>
          <w:szCs w:val="24"/>
          <w:lang w:eastAsia="pt-BR"/>
        </w:rPr>
        <w:tab/>
        <w:t xml:space="preserve"> técnicas para atendimento à deliberação Normativa 118/ 2008 do Conselho Estadual de Política Ambiental. 3 ed. - Belo Horizonte. 2008.</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______ Orientações básicas para drenagem urbana- Belo Horizonte: FEAM, 2006.</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GONÇALVES, J. L. de M.; NOGUEIRA JR., L. R.; DUCATTI, F. Recuperação de Solos Degradados, In: Kageyama, P. Y. et al. (org). Restauração ecológica de ecossistemas naturais. Botucatu: FEPAF, 1</w:t>
      </w:r>
      <w:r w:rsidR="0057678A">
        <w:rPr>
          <w:rFonts w:cs="Arial"/>
          <w:szCs w:val="24"/>
          <w:lang w:eastAsia="pt-BR"/>
        </w:rPr>
        <w:t>ª</w:t>
      </w:r>
      <w:r w:rsidRPr="006650DD">
        <w:rPr>
          <w:rFonts w:cs="Arial"/>
          <w:szCs w:val="24"/>
          <w:lang w:eastAsia="pt-BR"/>
        </w:rPr>
        <w:t xml:space="preserve"> ed. Revisada: 2008.</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GOVERNO FEDERAL – MINISTÉRIO DO MEIO AMBIENTE (2012). Plano Nacional de Resíduos Sólidos – Versão pós Audiências e Consulta Pública para Conselhos Nacionais. Brasília – DF.</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GUIA para Elaboração de Planos Municipais de Saneamento do Governo Federal (Secretaria Nacional de Saneamento Ambiental – SNSA/Ministério das Cidades, Fundação Nacional de Saúde – FUNASA/Ministério da Saúde, 2006).</w:t>
      </w:r>
    </w:p>
    <w:p w:rsidR="004D1D76" w:rsidRDefault="004D1D76" w:rsidP="0068733F">
      <w:pPr>
        <w:spacing w:before="120" w:after="120"/>
        <w:ind w:left="567" w:hanging="567"/>
        <w:contextualSpacing/>
        <w:rPr>
          <w:rFonts w:cs="Arial"/>
          <w:szCs w:val="24"/>
          <w:lang w:eastAsia="pt-BR"/>
        </w:rPr>
      </w:pPr>
    </w:p>
    <w:p w:rsidR="004D1D76" w:rsidRDefault="004D1D76" w:rsidP="0068733F">
      <w:pPr>
        <w:spacing w:before="120" w:after="120"/>
        <w:ind w:left="567" w:hanging="567"/>
        <w:contextualSpacing/>
        <w:rPr>
          <w:rFonts w:cs="Arial"/>
          <w:szCs w:val="24"/>
          <w:lang w:eastAsia="pt-BR"/>
        </w:rPr>
      </w:pPr>
    </w:p>
    <w:p w:rsidR="004D1D76" w:rsidRDefault="004D1D76" w:rsidP="0068733F">
      <w:pPr>
        <w:spacing w:before="120" w:after="120"/>
        <w:ind w:left="567" w:hanging="567"/>
        <w:contextualSpacing/>
        <w:rPr>
          <w:rFonts w:cs="Arial"/>
          <w:szCs w:val="24"/>
          <w:lang w:eastAsia="pt-BR"/>
        </w:rPr>
      </w:pPr>
    </w:p>
    <w:p w:rsidR="004D1D76" w:rsidRDefault="004D1D76" w:rsidP="0068733F">
      <w:pPr>
        <w:spacing w:before="120" w:after="120"/>
        <w:ind w:left="567" w:hanging="567"/>
        <w:contextualSpacing/>
        <w:rPr>
          <w:rFonts w:cs="Arial"/>
          <w:szCs w:val="24"/>
          <w:lang w:eastAsia="pt-BR"/>
        </w:rPr>
      </w:pP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lastRenderedPageBreak/>
        <w:t xml:space="preserve">HELLER, Coutinho e Mingoti – Artigo Técnico - Diferentes modelos de gestão de serviços de saneamento produzem os mesmos resultados? Um estudo comparativo em Minas Gerais com base em indicadores, Revista Eng. sanit. ambient. Vol.11 - Nº 4 - out/dez 2006. Disponível em: </w:t>
      </w:r>
      <w:hyperlink r:id="rId83" w:history="1">
        <w:r w:rsidRPr="006650DD">
          <w:rPr>
            <w:rFonts w:cs="Arial"/>
            <w:szCs w:val="24"/>
            <w:lang w:eastAsia="pt-BR"/>
          </w:rPr>
          <w:t>https://www.abes-dn.org.br/publicacoes/engenharia/resaonline/v11n04/v11n04a03_060_%2006.pdf</w:t>
        </w:r>
      </w:hyperlink>
      <w:r w:rsidRPr="006650DD">
        <w:rPr>
          <w:rFonts w:cs="Arial"/>
          <w:szCs w:val="24"/>
          <w:lang w:eastAsia="pt-BR"/>
        </w:rPr>
        <w:t>. Acesso em abril 2017.</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HELLER, Pedro Gasparini Barbosa.  Universidade Federal de Minas Gerais - Programa de Pós-graduação em Saneamento, Meio Ambiente e Recursos Hídricos - Avaliação dos serviços de saneamento de quatro municípios da bacia hidrográfica do rio das Velhas - MG. Uma abordagem da dimensão tecnológica. Belo Horizonte, 2007.</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IBAM. Manual de Gerenciamento Integrado de resíduos sólidos / José Henrique Penido Monteiro [et al.]; coordenação técnica Victor Zular Zveibil. Rio de Janeiro: IBAM, 2001.</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______. Instituto brasileiro de administração municipal. Limpeza Urbana, 2010.</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IBGE – INSTITUTO BRASILEIRO DE GEOGRAFIA E ESTATÍSTICA. 2010. Censo demográfico.</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 xml:space="preserve">INSTITUTO MINEIRO DE GESTÃO DAS ÁGUAS. Qualidade das águas superficiais de Minas Gerais em 2014: resumo executivo. Belo Horizonte: Instituto Mineiro de Gestão das Águas, 2015. 175p. </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JADOVSKI, I. Diretrizes Técnicas e Econômicas para Usinas de Reciclagem de Resíduos de Construção e Demolição. 2005. 182 f. Trabalho de Conclusão (Mestrado em Engenharia) – Curso de Mestrado Profissionalizante em Engenharia, Escola de Engenharia, UFRGS, Porto Alegre, 2006.</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JARDIM, Niza Silva et al. Lixo Municipal: Manual de Gerenciamento Integrado. São Paulo.  IPT: CEMPRE, 1995.</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JORDÃO, E. P.; PESSÔA, C. A.; Tratamento de Esgotos Domésticos. 4ª edição. Rio de Janeiro. 2005.</w:t>
      </w:r>
    </w:p>
    <w:p w:rsidR="0068733F" w:rsidRPr="00E760A2" w:rsidRDefault="0068733F" w:rsidP="0068733F">
      <w:pPr>
        <w:spacing w:before="120" w:after="120"/>
        <w:ind w:left="567" w:hanging="567"/>
        <w:contextualSpacing/>
        <w:rPr>
          <w:rFonts w:cs="Arial"/>
          <w:szCs w:val="24"/>
          <w:lang w:val="en-US" w:eastAsia="pt-BR"/>
        </w:rPr>
      </w:pPr>
      <w:r w:rsidRPr="006650DD">
        <w:rPr>
          <w:rFonts w:cs="Arial"/>
          <w:szCs w:val="24"/>
          <w:lang w:eastAsia="pt-BR"/>
        </w:rPr>
        <w:t xml:space="preserve">LEAL, Jane Terezinha da Costa Pereira. Água para consumo na propriedade rural. </w:t>
      </w:r>
      <w:r w:rsidRPr="006650DD">
        <w:rPr>
          <w:rFonts w:cs="Arial"/>
          <w:szCs w:val="24"/>
          <w:lang w:val="en-US" w:eastAsia="pt-BR"/>
        </w:rPr>
        <w:t xml:space="preserve">Belo Horizonte: EMATER-MG, </w:t>
      </w:r>
      <w:r w:rsidRPr="00E760A2">
        <w:rPr>
          <w:rFonts w:cs="Arial"/>
          <w:szCs w:val="24"/>
          <w:lang w:val="en-US" w:eastAsia="pt-BR"/>
        </w:rPr>
        <w:t xml:space="preserve">2012. 18p. </w:t>
      </w:r>
    </w:p>
    <w:p w:rsidR="0068733F" w:rsidRPr="00E760A2" w:rsidRDefault="0068733F" w:rsidP="0068733F">
      <w:pPr>
        <w:spacing w:before="120" w:after="120"/>
        <w:ind w:left="567" w:hanging="567"/>
        <w:contextualSpacing/>
        <w:rPr>
          <w:rFonts w:cs="Arial"/>
          <w:szCs w:val="24"/>
          <w:lang w:eastAsia="pt-BR"/>
        </w:rPr>
      </w:pPr>
      <w:r w:rsidRPr="00E760A2">
        <w:rPr>
          <w:rFonts w:cs="Arial"/>
          <w:szCs w:val="24"/>
          <w:lang w:val="en-US" w:eastAsia="pt-BR"/>
        </w:rPr>
        <w:t xml:space="preserve">LEOPOLD, L.B.,1968. Hydrology  for Urban Planning - A Guide Book on the Hydrologic Effects on Urban Land Use. </w:t>
      </w:r>
      <w:r w:rsidRPr="00E760A2">
        <w:rPr>
          <w:rFonts w:cs="Arial"/>
          <w:szCs w:val="24"/>
          <w:lang w:eastAsia="pt-BR"/>
        </w:rPr>
        <w:t>USGS circ. 554, 18p.</w:t>
      </w:r>
    </w:p>
    <w:p w:rsidR="00E760A2" w:rsidRPr="008F2F65" w:rsidRDefault="00E760A2" w:rsidP="00E760A2">
      <w:pPr>
        <w:spacing w:before="120" w:after="120"/>
        <w:ind w:left="567" w:hanging="567"/>
        <w:contextualSpacing/>
        <w:rPr>
          <w:rFonts w:cs="Arial"/>
          <w:szCs w:val="24"/>
          <w:lang w:eastAsia="pt-BR"/>
        </w:rPr>
      </w:pPr>
      <w:r w:rsidRPr="00E760A2">
        <w:rPr>
          <w:rFonts w:cs="Arial"/>
          <w:szCs w:val="24"/>
          <w:lang w:eastAsia="pt-BR"/>
        </w:rPr>
        <w:lastRenderedPageBreak/>
        <w:t xml:space="preserve">MATOS, Tássio F. L; SCHALCH, Valdir. Composição dos Resíduos Poliméricos, Pós-consumo, Gerados no Município de São Carlos, SP. </w:t>
      </w:r>
      <w:r w:rsidRPr="008F2F65">
        <w:rPr>
          <w:rFonts w:cs="Arial"/>
          <w:szCs w:val="24"/>
          <w:lang w:eastAsia="pt-BR"/>
        </w:rPr>
        <w:t xml:space="preserve">EESC, USP, 2007. </w:t>
      </w:r>
    </w:p>
    <w:p w:rsidR="0068733F" w:rsidRPr="00E760A2" w:rsidRDefault="0068733F" w:rsidP="0068733F">
      <w:pPr>
        <w:spacing w:before="120" w:after="120"/>
        <w:ind w:left="567" w:hanging="567"/>
        <w:contextualSpacing/>
        <w:rPr>
          <w:rFonts w:cs="Arial"/>
          <w:szCs w:val="24"/>
          <w:lang w:eastAsia="pt-BR"/>
        </w:rPr>
      </w:pPr>
      <w:r w:rsidRPr="006650DD">
        <w:rPr>
          <w:rFonts w:cs="Arial"/>
          <w:szCs w:val="24"/>
          <w:lang w:eastAsia="pt-BR"/>
        </w:rPr>
        <w:t xml:space="preserve">MINAS GERAIS. Resolução conjunta SEMAD-IGAM nº 1548, de 29 de março 2012. Dispõe sobre a vazão de referência para o cálculo da disponibilidade hídrica superficial </w:t>
      </w:r>
      <w:r w:rsidRPr="00E760A2">
        <w:rPr>
          <w:rFonts w:cs="Arial"/>
          <w:szCs w:val="24"/>
          <w:lang w:eastAsia="pt-BR"/>
        </w:rPr>
        <w:t>nas bacias hidrográficas do Estado. Belo Horizonte: Diário do Executivo, 2012.</w:t>
      </w:r>
    </w:p>
    <w:p w:rsidR="00E760A2" w:rsidRPr="00E760A2" w:rsidRDefault="00E760A2" w:rsidP="00E760A2">
      <w:pPr>
        <w:spacing w:before="120" w:after="120"/>
        <w:ind w:left="567" w:hanging="567"/>
        <w:contextualSpacing/>
        <w:rPr>
          <w:rFonts w:cs="Arial"/>
          <w:szCs w:val="24"/>
          <w:lang w:eastAsia="pt-BR"/>
        </w:rPr>
      </w:pPr>
      <w:r w:rsidRPr="00E760A2">
        <w:t>MINISTÉRIO DAS CIDADES / MINISTÉRIO DO MEIO AMBIENTE. Elementos para a organização da coleta seletiva e projetos de galpões de triagem, 2008.</w:t>
      </w:r>
    </w:p>
    <w:p w:rsidR="0068733F" w:rsidRPr="006650DD" w:rsidRDefault="0068733F" w:rsidP="0068733F">
      <w:pPr>
        <w:spacing w:before="120" w:after="120"/>
        <w:ind w:left="567" w:hanging="567"/>
        <w:contextualSpacing/>
        <w:rPr>
          <w:rFonts w:cs="Arial"/>
          <w:szCs w:val="24"/>
          <w:lang w:eastAsia="pt-BR"/>
        </w:rPr>
      </w:pPr>
      <w:r w:rsidRPr="00E760A2">
        <w:rPr>
          <w:rFonts w:cs="Arial"/>
          <w:szCs w:val="24"/>
          <w:lang w:eastAsia="pt-BR"/>
        </w:rPr>
        <w:t>MIRANDA, L.F.R.; ANGULO, S.</w:t>
      </w:r>
      <w:r w:rsidRPr="006650DD">
        <w:rPr>
          <w:rFonts w:cs="Arial"/>
          <w:szCs w:val="24"/>
          <w:lang w:eastAsia="pt-BR"/>
        </w:rPr>
        <w:t>C.; CARELI, E.D. A reciclagem de resíduos de construção e demolição no Brasil: 1986-2008. Revista Ambiente Construído. Porto Alegre. v. 9, n. 1, p. 57-71, jan/mar 2009.</w:t>
      </w:r>
    </w:p>
    <w:p w:rsidR="00E760A2" w:rsidRPr="006650DD" w:rsidRDefault="00E760A2" w:rsidP="00E760A2">
      <w:pPr>
        <w:spacing w:before="120" w:after="120"/>
        <w:ind w:left="567" w:hanging="567"/>
        <w:contextualSpacing/>
        <w:rPr>
          <w:rFonts w:cs="Arial"/>
          <w:szCs w:val="24"/>
          <w:lang w:eastAsia="pt-BR"/>
        </w:rPr>
      </w:pPr>
      <w:r w:rsidRPr="006650DD">
        <w:rPr>
          <w:rFonts w:cs="Arial"/>
          <w:szCs w:val="24"/>
          <w:lang w:eastAsia="pt-BR"/>
        </w:rPr>
        <w:t>MMA - Ministério do Meio Ambiente. Planos de gestão de resíduos sólidos: manual de orientação. Brasília, 2012.</w:t>
      </w:r>
    </w:p>
    <w:p w:rsidR="00E760A2" w:rsidRPr="006650DD" w:rsidRDefault="00E760A2" w:rsidP="00E760A2">
      <w:pPr>
        <w:spacing w:before="120" w:after="120"/>
        <w:ind w:left="567" w:hanging="567"/>
        <w:contextualSpacing/>
        <w:rPr>
          <w:rFonts w:cs="Arial"/>
          <w:szCs w:val="24"/>
          <w:lang w:eastAsia="pt-BR"/>
        </w:rPr>
      </w:pPr>
      <w:r w:rsidRPr="006650DD">
        <w:rPr>
          <w:rFonts w:cs="Arial"/>
          <w:szCs w:val="24"/>
          <w:lang w:eastAsia="pt-BR"/>
        </w:rPr>
        <w:t>______. Ministério do Meio Ambiente. Orientações para elaboração de Plano Simplificado de Gestão Integrada de Resíduos Sólidos – PSGIRS para municípios com população inferior a 20 mil habitantes. Brasília, 2013.</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MOTA, Suetônio. Urbanização e meio ambiente. Rio de Janeiro [RJ]: ABES, 1999.</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______. Urbanização e meio ambiente 3ª ed. Rio de Janeiro [RJ]: ABES, 2003.</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ONOFRE, F.L. Estimativa da geração de resíduos domiciliares. Dissertação (Mestrado em Engenharia Ambiental). UFPA, 2011.</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PEIXOTO, João Batista. O barulho da água: os municípios e a gestão dos serviços de saneamento. São Paulo; Água e Vida; 1994. 94 p. Livrotab.</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PEREIRA, Luiz Carlos Bresser - Uma reforma gerencial da Administração Pública no Brasil. Revista do Serviço Público Ano 49 Número 1 Jan-Mar, 1998.</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PINTO, T.P. Metodologia para a gestão diferenciada de resíduos sólidos da construção urbana. 1999. 189 f. Tese (Doutorado em Engenharia Civil) – Escola Politécnica da Universidade de São Paulo, São Paulo, 1999.</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PLANO de Gerenciamento Integrado de Resíduos da Construção Civil – PGIRCC / Ana Lúcia Maia... [et al.]. -- Belo Horizonte: Fundação Estadual do Meio Ambiente: Fundação Israel Pinheiro, 2009. 44 p. ; il.</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lastRenderedPageBreak/>
        <w:t>PORTO, M.F.A. Aspectos Qualitativos do Escoamento Superficial em Áreas Urbanas. In: TUCCI,</w:t>
      </w:r>
      <w:r w:rsidR="0057678A">
        <w:rPr>
          <w:rFonts w:cs="Arial"/>
          <w:szCs w:val="24"/>
          <w:lang w:eastAsia="pt-BR"/>
        </w:rPr>
        <w:t xml:space="preserve"> </w:t>
      </w:r>
      <w:r w:rsidRPr="006650DD">
        <w:rPr>
          <w:rFonts w:cs="Arial"/>
          <w:szCs w:val="24"/>
          <w:lang w:eastAsia="pt-BR"/>
        </w:rPr>
        <w:t>C.E.M.; PORTO, R.L.L.; BARROS, M.T. Drenagem Urbana. Porto Alegre: Ed. Universidade/UFRGS/ABRH, 1995, V.5, p.387-414.</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ReCESA - Rede Nacional de Capacitação e Extensão Tecnológica em Saneamento Ambiental - Planos municipais de saneamento básico/ org. Juliano Rodrigues Gimenez, Vania Elisabete Schneider e Sérgio Faoro Tieppo – Brasília, 2013.</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RESOLUÇÃO CONAMA nº 375 de 2006 – Define critérios e procedimentos, para o uso agrícola de lodos de esgoto gerados em estações de tratamento de esgoto sanitário e seus produtos derivados, e dá outras providências.</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RESOLUÇÃO CONAMA nº 005 de 1993 – Dispõe sobre o gerenciamento de resíduos sólidos gerados nos portos, aeroportos, terminais ferroviários e rodoviários.</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RESOLUÇÃO CONAMA nº 358 de 2005 – Dispõe sobre o tratamento e a disposição final dos resíduos dos serviços de saúde e dá outras providências.</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RESOLUÇÃO CONAMA nº 283 de 2001 – Dispõe sobre o tratamento e a destinação final dos resíduos dos serviços de saúde.</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RESOLUÇÃO CONAMA nº 334 de 2003 – Dispõe sobre os procedimentos de licenciamento ambiental de estabelecimentos destinados ao recebimento de embalagens vazias de agrotóxicos.</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RESOLUÇÃO CONAMA nº 313 de 2002 – Dispõe sobre o Inventário Nacional de Resíduos Sólidos Industriais.</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REZENDE, Sonaly et. al. - Integrando oferta e demanda de serviços de saneamento: Análise hierárquica do panorama urbano brasileiro no ano 2000. Revista Eng. sanit. ambient., Vol.12 - Nº 1 - jan/mar 2007.</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RIBEIRO, W. Gestão Associada de Serviços Públicos de Saneamento Básico. Brasília: SNSA/MCIDADES, 2007. Apresentação em PowerPoint.</w:t>
      </w:r>
    </w:p>
    <w:p w:rsidR="0068733F" w:rsidRPr="006650DD" w:rsidRDefault="0068733F" w:rsidP="0068733F">
      <w:pPr>
        <w:spacing w:before="120" w:after="120"/>
        <w:ind w:left="567" w:hanging="567"/>
        <w:contextualSpacing/>
      </w:pPr>
      <w:r w:rsidRPr="006650DD">
        <w:t>ROSA, M. O. Gerenciamento de projetos de governo – PMI-DF – PMInforma, n.V, 10 mai. 2007.</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ROTTA, C. M. S. Estudo da recuperação de áreas degradadas por processos erosivos: procedimentos e eficiência dos métodos, 2012. 166p. Dissertação (Mestrado em Geotecnia), Escola de Engenharia de São Carlos, Universidade de São Paulo, 2012.</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lastRenderedPageBreak/>
        <w:t>SCHALCH, V., LEITE, W. C. A., FERNANDES JR., J. L., CASTRO, M. C. A. A. Gestão e gerenciamento de resíduos sólidos. 91 p., 2002. Escola de Engenharia de São Carlos – Universidade de São Paulo.</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SECRETARIA DO MEIO AMBIENTE – Coordenadoria de Educação Ambiental – Coleta Seletiva para Prefeituras – Guia de Implantação, 7ª ed.,2014.</w:t>
      </w:r>
    </w:p>
    <w:p w:rsidR="00665BBB" w:rsidRDefault="00665BBB" w:rsidP="0068733F">
      <w:pPr>
        <w:spacing w:before="120" w:after="120"/>
        <w:ind w:left="567" w:hanging="567"/>
        <w:contextualSpacing/>
        <w:rPr>
          <w:rFonts w:cs="Arial"/>
          <w:szCs w:val="24"/>
          <w:lang w:eastAsia="pt-BR"/>
        </w:rPr>
      </w:pP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SILVA, Maiara Macedo. A participação da sociedade civil em diferentes modelos de prestação dos serviços públicos de abastecimento de água e esgotamento sanitário: estudo em quatro municípios no Brasil, Universidade Federal da Bahia - Escola Politécnica - Mestrado em Engenharia Ambiental Urbana. Salvador, 2010.</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SNIS - Sistema Nacional de Informações sobre Saneamento, 2012.</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______. Glossário de Indicadores - Resíduos Sólidos in: Manejo de Resíduos Sólidos Urbanos, 2014.</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TUCCI, C. E. M.; NEVES, M. G. F. P. Resíduos sólidos na drenagem urbana: Aspectos Conceituais. Revista Brasileira de Recursos Hídricos, v. 13, p. 125-136, 2009.</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TUCCI, C. E. M. Gestão de Águas Pluviais Urbanas/ Carlos E. M. Tucci – Ministério das Cidades – Global Water Partnership - Wolrd Bank – Unesco, 2005.</w:t>
      </w:r>
    </w:p>
    <w:p w:rsidR="0068733F" w:rsidRPr="006650DD" w:rsidRDefault="0068733F" w:rsidP="0068733F">
      <w:pPr>
        <w:spacing w:before="120" w:after="120"/>
        <w:ind w:left="567" w:hanging="567"/>
        <w:contextualSpacing/>
        <w:rPr>
          <w:rFonts w:cs="Arial"/>
          <w:szCs w:val="24"/>
          <w:lang w:eastAsia="pt-BR"/>
        </w:rPr>
      </w:pPr>
      <w:r w:rsidRPr="006650DD">
        <w:rPr>
          <w:rFonts w:cs="Arial"/>
          <w:szCs w:val="24"/>
          <w:lang w:eastAsia="pt-BR"/>
        </w:rPr>
        <w:t>______. Águas urbanas. Estudos Avançados, São Paulo, v. 22, n. 63, p. 97-112, jan. 2008. ISSN 1806-9592. Disponível em: &lt;http://www.revistas.usp.br/eav/article/view/10295&gt;. Acesso em: 09 mar. 2016. doi:http://dx.doi.org/10.1590/S0103-40142008000200007.</w:t>
      </w:r>
    </w:p>
    <w:p w:rsidR="0068733F" w:rsidRPr="001F7197" w:rsidRDefault="0068733F" w:rsidP="0068733F">
      <w:pPr>
        <w:spacing w:before="120" w:after="120"/>
        <w:ind w:left="567" w:hanging="567"/>
        <w:contextualSpacing/>
        <w:rPr>
          <w:rFonts w:cs="Arial"/>
          <w:szCs w:val="24"/>
          <w:lang w:eastAsia="pt-BR"/>
        </w:rPr>
      </w:pPr>
      <w:r w:rsidRPr="006650DD">
        <w:rPr>
          <w:rFonts w:cs="Arial"/>
          <w:szCs w:val="24"/>
          <w:lang w:eastAsia="pt-BR"/>
        </w:rPr>
        <w:t>VON SPERLING, M.; Introd</w:t>
      </w:r>
      <w:bookmarkStart w:id="797" w:name="_GoBack"/>
      <w:bookmarkEnd w:id="797"/>
      <w:r w:rsidRPr="006650DD">
        <w:rPr>
          <w:rFonts w:cs="Arial"/>
          <w:szCs w:val="24"/>
          <w:lang w:eastAsia="pt-BR"/>
        </w:rPr>
        <w:t>ução à qualidade das águas e ao tratamento de esgotos. Belo Horizonte: Departamento de Engenharia Sanitária e Ambiental; Universidade Federal de Minas Gerais. 4ªed., 2014.</w:t>
      </w:r>
      <w:bookmarkEnd w:id="786"/>
    </w:p>
    <w:sectPr w:rsidR="0068733F" w:rsidRPr="001F7197" w:rsidSect="00646530">
      <w:footerReference w:type="default" r:id="rId84"/>
      <w:pgSz w:w="11906" w:h="16838"/>
      <w:pgMar w:top="1134" w:right="1134" w:bottom="1134" w:left="1418"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163B9" w:rsidRDefault="004163B9" w:rsidP="008F3022">
      <w:pPr>
        <w:spacing w:line="240" w:lineRule="auto"/>
      </w:pPr>
      <w:r>
        <w:separator/>
      </w:r>
    </w:p>
  </w:endnote>
  <w:endnote w:type="continuationSeparator" w:id="0">
    <w:p w:rsidR="004163B9" w:rsidRDefault="004163B9" w:rsidP="008F302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gency FB">
    <w:panose1 w:val="020B0503020202020204"/>
    <w:charset w:val="00"/>
    <w:family w:val="swiss"/>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Baha">
    <w:altName w:val="Vrinda"/>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Helvetica-Bold">
    <w:altName w:val="Times New Roman"/>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Times-Roman">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3B9" w:rsidRPr="004B55EF" w:rsidRDefault="004163B9" w:rsidP="00CE1CFD">
    <w:pPr>
      <w:pStyle w:val="Rodap"/>
      <w:spacing w:line="240" w:lineRule="auto"/>
      <w:jc w:val="left"/>
      <w:rPr>
        <w:color w:val="808080"/>
        <w:sz w:val="22"/>
        <w:szCs w:val="22"/>
      </w:rPr>
    </w:pPr>
    <w:r w:rsidRPr="004B55EF">
      <w:rPr>
        <w:color w:val="808080"/>
        <w:sz w:val="22"/>
        <w:szCs w:val="22"/>
      </w:rPr>
      <w:t>________________________________________________________________________________</w:t>
    </w:r>
  </w:p>
  <w:p w:rsidR="004163B9" w:rsidRPr="006B339A" w:rsidRDefault="004163B9" w:rsidP="00CE1CFD">
    <w:pPr>
      <w:pStyle w:val="Rodap"/>
      <w:spacing w:line="240" w:lineRule="auto"/>
      <w:jc w:val="left"/>
      <w:rPr>
        <w:sz w:val="22"/>
        <w:szCs w:val="22"/>
        <w:lang w:val="en-US"/>
      </w:rPr>
    </w:pPr>
    <w:r w:rsidRPr="004B55EF">
      <w:rPr>
        <w:color w:val="808080"/>
        <w:sz w:val="22"/>
        <w:szCs w:val="22"/>
      </w:rPr>
      <w:t xml:space="preserve">SHS Consultoria e Projetos de Engenharia Ltda.- </w:t>
    </w:r>
    <w:r>
      <w:rPr>
        <w:color w:val="808080"/>
        <w:sz w:val="22"/>
        <w:szCs w:val="22"/>
        <w:lang w:val="en-US"/>
      </w:rPr>
      <w:t>EPP</w:t>
    </w:r>
    <w:r>
      <w:rPr>
        <w:color w:val="808080"/>
        <w:sz w:val="22"/>
        <w:szCs w:val="22"/>
        <w:lang w:val="en-US"/>
      </w:rPr>
      <w:tab/>
      <w:t xml:space="preserve">                           </w:t>
    </w:r>
    <w:r w:rsidRPr="004B55EF">
      <w:rPr>
        <w:sz w:val="22"/>
        <w:szCs w:val="22"/>
      </w:rPr>
      <w:fldChar w:fldCharType="begin"/>
    </w:r>
    <w:r w:rsidRPr="006B339A">
      <w:rPr>
        <w:sz w:val="22"/>
        <w:szCs w:val="22"/>
        <w:lang w:val="en-US"/>
      </w:rPr>
      <w:instrText>PAGE   \* MERGEFORMAT</w:instrText>
    </w:r>
    <w:r w:rsidRPr="004B55EF">
      <w:rPr>
        <w:sz w:val="22"/>
        <w:szCs w:val="22"/>
      </w:rPr>
      <w:fldChar w:fldCharType="separate"/>
    </w:r>
    <w:r w:rsidR="004D1D76">
      <w:rPr>
        <w:noProof/>
        <w:sz w:val="22"/>
        <w:szCs w:val="22"/>
        <w:lang w:val="en-US"/>
      </w:rPr>
      <w:t>25</w:t>
    </w:r>
    <w:r w:rsidRPr="004B55EF">
      <w:rPr>
        <w:sz w:val="22"/>
        <w:szCs w:val="22"/>
      </w:rPr>
      <w:fldChar w:fldCharType="end"/>
    </w:r>
  </w:p>
  <w:p w:rsidR="004163B9" w:rsidRPr="00CE1CFD" w:rsidRDefault="004163B9" w:rsidP="00CE1CFD">
    <w:pPr>
      <w:pStyle w:val="Rodap"/>
      <w:spacing w:line="240" w:lineRule="auto"/>
      <w:jc w:val="left"/>
      <w:rPr>
        <w:lang w:val="en-US"/>
      </w:rPr>
    </w:pPr>
    <w:r w:rsidRPr="006B339A">
      <w:rPr>
        <w:color w:val="7F7F7F"/>
        <w:sz w:val="22"/>
        <w:szCs w:val="22"/>
        <w:lang w:val="en-US"/>
      </w:rPr>
      <w:t>www.shs.com.br</w: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3B9" w:rsidRPr="004B55EF" w:rsidRDefault="004163B9" w:rsidP="00CE1CFD">
    <w:pPr>
      <w:pStyle w:val="Rodap"/>
      <w:spacing w:line="240" w:lineRule="auto"/>
      <w:jc w:val="left"/>
      <w:rPr>
        <w:color w:val="808080"/>
        <w:sz w:val="22"/>
        <w:szCs w:val="22"/>
      </w:rPr>
    </w:pPr>
    <w:r w:rsidRPr="004B55EF">
      <w:rPr>
        <w:color w:val="808080"/>
        <w:sz w:val="22"/>
        <w:szCs w:val="22"/>
      </w:rPr>
      <w:t>________________________________________________________________________________</w:t>
    </w:r>
  </w:p>
  <w:p w:rsidR="004163B9" w:rsidRPr="006B339A" w:rsidRDefault="004163B9" w:rsidP="00CE1CFD">
    <w:pPr>
      <w:pStyle w:val="Rodap"/>
      <w:spacing w:line="240" w:lineRule="auto"/>
      <w:jc w:val="left"/>
      <w:rPr>
        <w:sz w:val="22"/>
        <w:szCs w:val="22"/>
        <w:lang w:val="en-US"/>
      </w:rPr>
    </w:pPr>
    <w:r w:rsidRPr="004B55EF">
      <w:rPr>
        <w:color w:val="808080"/>
        <w:sz w:val="22"/>
        <w:szCs w:val="22"/>
      </w:rPr>
      <w:t xml:space="preserve">SHS Consultoria e Projetos de Engenharia Ltda.- </w:t>
    </w:r>
    <w:r>
      <w:rPr>
        <w:color w:val="808080"/>
        <w:sz w:val="22"/>
        <w:szCs w:val="22"/>
        <w:lang w:val="en-US"/>
      </w:rPr>
      <w:t>EPP</w:t>
    </w:r>
    <w:r>
      <w:rPr>
        <w:color w:val="808080"/>
        <w:sz w:val="22"/>
        <w:szCs w:val="22"/>
        <w:lang w:val="en-US"/>
      </w:rPr>
      <w:tab/>
      <w:t xml:space="preserve">                           </w:t>
    </w:r>
    <w:r w:rsidRPr="004B55EF">
      <w:rPr>
        <w:sz w:val="22"/>
        <w:szCs w:val="22"/>
      </w:rPr>
      <w:fldChar w:fldCharType="begin"/>
    </w:r>
    <w:r w:rsidRPr="006B339A">
      <w:rPr>
        <w:sz w:val="22"/>
        <w:szCs w:val="22"/>
        <w:lang w:val="en-US"/>
      </w:rPr>
      <w:instrText>PAGE   \* MERGEFORMAT</w:instrText>
    </w:r>
    <w:r w:rsidRPr="004B55EF">
      <w:rPr>
        <w:sz w:val="22"/>
        <w:szCs w:val="22"/>
      </w:rPr>
      <w:fldChar w:fldCharType="separate"/>
    </w:r>
    <w:r w:rsidR="004D1D76">
      <w:rPr>
        <w:noProof/>
        <w:sz w:val="22"/>
        <w:szCs w:val="22"/>
        <w:lang w:val="en-US"/>
      </w:rPr>
      <w:t>139</w:t>
    </w:r>
    <w:r w:rsidRPr="004B55EF">
      <w:rPr>
        <w:sz w:val="22"/>
        <w:szCs w:val="22"/>
      </w:rPr>
      <w:fldChar w:fldCharType="end"/>
    </w:r>
  </w:p>
  <w:p w:rsidR="004163B9" w:rsidRPr="00CE1CFD" w:rsidRDefault="004163B9" w:rsidP="00CE1CFD">
    <w:pPr>
      <w:pStyle w:val="Rodap"/>
      <w:spacing w:line="240" w:lineRule="auto"/>
      <w:jc w:val="left"/>
      <w:rPr>
        <w:lang w:val="en-US"/>
      </w:rPr>
    </w:pPr>
    <w:r w:rsidRPr="006B339A">
      <w:rPr>
        <w:color w:val="7F7F7F"/>
        <w:sz w:val="22"/>
        <w:szCs w:val="22"/>
        <w:lang w:val="en-US"/>
      </w:rPr>
      <w:t>www.shs.com.br</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3B9" w:rsidRPr="004B55EF" w:rsidRDefault="004163B9" w:rsidP="00CE1CFD">
    <w:pPr>
      <w:pStyle w:val="Rodap"/>
      <w:spacing w:line="240" w:lineRule="auto"/>
      <w:jc w:val="left"/>
      <w:rPr>
        <w:color w:val="808080"/>
        <w:sz w:val="22"/>
        <w:szCs w:val="22"/>
      </w:rPr>
    </w:pPr>
    <w:r w:rsidRPr="004B55EF">
      <w:rPr>
        <w:color w:val="808080"/>
        <w:sz w:val="22"/>
        <w:szCs w:val="22"/>
      </w:rPr>
      <w:t>________________________________________________________________________________</w:t>
    </w:r>
  </w:p>
  <w:p w:rsidR="004163B9" w:rsidRPr="006B339A" w:rsidRDefault="004163B9" w:rsidP="00CE1CFD">
    <w:pPr>
      <w:pStyle w:val="Rodap"/>
      <w:spacing w:line="240" w:lineRule="auto"/>
      <w:jc w:val="left"/>
      <w:rPr>
        <w:sz w:val="22"/>
        <w:szCs w:val="22"/>
        <w:lang w:val="en-US"/>
      </w:rPr>
    </w:pPr>
    <w:r w:rsidRPr="004B55EF">
      <w:rPr>
        <w:color w:val="808080"/>
        <w:sz w:val="22"/>
        <w:szCs w:val="22"/>
      </w:rPr>
      <w:t xml:space="preserve">SHS Consultoria e Projetos de Engenharia Ltda.- </w:t>
    </w:r>
    <w:r>
      <w:rPr>
        <w:color w:val="808080"/>
        <w:sz w:val="22"/>
        <w:szCs w:val="22"/>
        <w:lang w:val="en-US"/>
      </w:rPr>
      <w:t>EPP</w:t>
    </w:r>
    <w:r>
      <w:rPr>
        <w:color w:val="808080"/>
        <w:sz w:val="22"/>
        <w:szCs w:val="22"/>
        <w:lang w:val="en-US"/>
      </w:rPr>
      <w:tab/>
      <w:t xml:space="preserve">                           </w:t>
    </w:r>
    <w:r w:rsidRPr="004B55EF">
      <w:rPr>
        <w:sz w:val="22"/>
        <w:szCs w:val="22"/>
      </w:rPr>
      <w:fldChar w:fldCharType="begin"/>
    </w:r>
    <w:r w:rsidRPr="006B339A">
      <w:rPr>
        <w:sz w:val="22"/>
        <w:szCs w:val="22"/>
        <w:lang w:val="en-US"/>
      </w:rPr>
      <w:instrText>PAGE   \* MERGEFORMAT</w:instrText>
    </w:r>
    <w:r w:rsidRPr="004B55EF">
      <w:rPr>
        <w:sz w:val="22"/>
        <w:szCs w:val="22"/>
      </w:rPr>
      <w:fldChar w:fldCharType="separate"/>
    </w:r>
    <w:r w:rsidR="004D1D76">
      <w:rPr>
        <w:noProof/>
        <w:sz w:val="22"/>
        <w:szCs w:val="22"/>
        <w:lang w:val="en-US"/>
      </w:rPr>
      <w:t>150</w:t>
    </w:r>
    <w:r w:rsidRPr="004B55EF">
      <w:rPr>
        <w:sz w:val="22"/>
        <w:szCs w:val="22"/>
      </w:rPr>
      <w:fldChar w:fldCharType="end"/>
    </w:r>
  </w:p>
  <w:p w:rsidR="004163B9" w:rsidRPr="00CE1CFD" w:rsidRDefault="004163B9" w:rsidP="00CE1CFD">
    <w:pPr>
      <w:pStyle w:val="Rodap"/>
      <w:spacing w:line="240" w:lineRule="auto"/>
      <w:jc w:val="left"/>
      <w:rPr>
        <w:lang w:val="en-US"/>
      </w:rPr>
    </w:pPr>
    <w:r w:rsidRPr="006B339A">
      <w:rPr>
        <w:color w:val="7F7F7F"/>
        <w:sz w:val="22"/>
        <w:szCs w:val="22"/>
        <w:lang w:val="en-US"/>
      </w:rPr>
      <w:t>www.shs.com.br</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3B9" w:rsidRPr="004B55EF" w:rsidRDefault="004163B9" w:rsidP="00CE1CFD">
    <w:pPr>
      <w:pStyle w:val="Rodap"/>
      <w:spacing w:line="240" w:lineRule="auto"/>
      <w:jc w:val="left"/>
      <w:rPr>
        <w:color w:val="808080"/>
        <w:sz w:val="22"/>
        <w:szCs w:val="22"/>
      </w:rPr>
    </w:pPr>
    <w:r w:rsidRPr="004B55EF">
      <w:rPr>
        <w:color w:val="808080"/>
        <w:sz w:val="22"/>
        <w:szCs w:val="22"/>
      </w:rPr>
      <w:t>________________________________________________________________________________</w:t>
    </w:r>
  </w:p>
  <w:p w:rsidR="004163B9" w:rsidRPr="006B339A" w:rsidRDefault="004163B9" w:rsidP="00CE1CFD">
    <w:pPr>
      <w:pStyle w:val="Rodap"/>
      <w:spacing w:line="240" w:lineRule="auto"/>
      <w:jc w:val="left"/>
      <w:rPr>
        <w:sz w:val="22"/>
        <w:szCs w:val="22"/>
        <w:lang w:val="en-US"/>
      </w:rPr>
    </w:pPr>
    <w:r w:rsidRPr="004B55EF">
      <w:rPr>
        <w:color w:val="808080"/>
        <w:sz w:val="22"/>
        <w:szCs w:val="22"/>
      </w:rPr>
      <w:t xml:space="preserve">SHS Consultoria e Projetos de Engenharia Ltda.- </w:t>
    </w:r>
    <w:r>
      <w:rPr>
        <w:color w:val="808080"/>
        <w:sz w:val="22"/>
        <w:szCs w:val="22"/>
        <w:lang w:val="en-US"/>
      </w:rPr>
      <w:t>EPP</w:t>
    </w:r>
    <w:r>
      <w:rPr>
        <w:color w:val="808080"/>
        <w:sz w:val="22"/>
        <w:szCs w:val="22"/>
        <w:lang w:val="en-US"/>
      </w:rPr>
      <w:tab/>
      <w:t xml:space="preserve">                           </w:t>
    </w:r>
    <w:r w:rsidRPr="004B55EF">
      <w:rPr>
        <w:sz w:val="22"/>
        <w:szCs w:val="22"/>
      </w:rPr>
      <w:fldChar w:fldCharType="begin"/>
    </w:r>
    <w:r w:rsidRPr="006B339A">
      <w:rPr>
        <w:sz w:val="22"/>
        <w:szCs w:val="22"/>
        <w:lang w:val="en-US"/>
      </w:rPr>
      <w:instrText>PAGE   \* MERGEFORMAT</w:instrText>
    </w:r>
    <w:r w:rsidRPr="004B55EF">
      <w:rPr>
        <w:sz w:val="22"/>
        <w:szCs w:val="22"/>
      </w:rPr>
      <w:fldChar w:fldCharType="separate"/>
    </w:r>
    <w:r w:rsidR="004D1D76">
      <w:rPr>
        <w:noProof/>
        <w:sz w:val="22"/>
        <w:szCs w:val="22"/>
        <w:lang w:val="en-US"/>
      </w:rPr>
      <w:t>152</w:t>
    </w:r>
    <w:r w:rsidRPr="004B55EF">
      <w:rPr>
        <w:sz w:val="22"/>
        <w:szCs w:val="22"/>
      </w:rPr>
      <w:fldChar w:fldCharType="end"/>
    </w:r>
  </w:p>
  <w:p w:rsidR="004163B9" w:rsidRPr="00CE1CFD" w:rsidRDefault="004163B9" w:rsidP="00CE1CFD">
    <w:pPr>
      <w:pStyle w:val="Rodap"/>
      <w:spacing w:line="240" w:lineRule="auto"/>
      <w:jc w:val="left"/>
      <w:rPr>
        <w:lang w:val="en-US"/>
      </w:rPr>
    </w:pPr>
    <w:r w:rsidRPr="006B339A">
      <w:rPr>
        <w:color w:val="7F7F7F"/>
        <w:sz w:val="22"/>
        <w:szCs w:val="22"/>
        <w:lang w:val="en-US"/>
      </w:rPr>
      <w:t>www.shs.com.br</w: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3B9" w:rsidRPr="004B55EF" w:rsidRDefault="004163B9" w:rsidP="00A70202">
    <w:pPr>
      <w:pStyle w:val="Rodap"/>
      <w:spacing w:line="240" w:lineRule="auto"/>
      <w:jc w:val="left"/>
      <w:rPr>
        <w:color w:val="808080"/>
        <w:sz w:val="22"/>
        <w:szCs w:val="22"/>
      </w:rPr>
    </w:pPr>
    <w:r w:rsidRPr="004B55EF">
      <w:rPr>
        <w:color w:val="808080"/>
        <w:sz w:val="22"/>
        <w:szCs w:val="22"/>
      </w:rPr>
      <w:t>________________________________________________________________________________</w:t>
    </w:r>
  </w:p>
  <w:p w:rsidR="004163B9" w:rsidRPr="006B339A" w:rsidRDefault="004163B9" w:rsidP="00A70202">
    <w:pPr>
      <w:pStyle w:val="Rodap"/>
      <w:spacing w:line="240" w:lineRule="auto"/>
      <w:jc w:val="left"/>
      <w:rPr>
        <w:sz w:val="22"/>
        <w:szCs w:val="22"/>
        <w:lang w:val="en-US"/>
      </w:rPr>
    </w:pPr>
    <w:r w:rsidRPr="004B55EF">
      <w:rPr>
        <w:color w:val="808080"/>
        <w:sz w:val="22"/>
        <w:szCs w:val="22"/>
      </w:rPr>
      <w:t xml:space="preserve">SHS Consultoria e Projetos de Engenharia Ltda.- </w:t>
    </w:r>
    <w:r>
      <w:rPr>
        <w:color w:val="808080"/>
        <w:sz w:val="22"/>
        <w:szCs w:val="22"/>
        <w:lang w:val="en-US"/>
      </w:rPr>
      <w:t>EPP</w:t>
    </w:r>
    <w:r>
      <w:rPr>
        <w:color w:val="808080"/>
        <w:sz w:val="22"/>
        <w:szCs w:val="22"/>
        <w:lang w:val="en-US"/>
      </w:rPr>
      <w:tab/>
      <w:t xml:space="preserve">                           </w:t>
    </w:r>
    <w:r w:rsidRPr="004B55EF">
      <w:rPr>
        <w:sz w:val="22"/>
        <w:szCs w:val="22"/>
      </w:rPr>
      <w:fldChar w:fldCharType="begin"/>
    </w:r>
    <w:r w:rsidRPr="006B339A">
      <w:rPr>
        <w:sz w:val="22"/>
        <w:szCs w:val="22"/>
        <w:lang w:val="en-US"/>
      </w:rPr>
      <w:instrText>PAGE   \* MERGEFORMAT</w:instrText>
    </w:r>
    <w:r w:rsidRPr="004B55EF">
      <w:rPr>
        <w:sz w:val="22"/>
        <w:szCs w:val="22"/>
      </w:rPr>
      <w:fldChar w:fldCharType="separate"/>
    </w:r>
    <w:r w:rsidR="004D1D76">
      <w:rPr>
        <w:noProof/>
        <w:sz w:val="22"/>
        <w:szCs w:val="22"/>
        <w:lang w:val="en-US"/>
      </w:rPr>
      <w:t>184</w:t>
    </w:r>
    <w:r w:rsidRPr="004B55EF">
      <w:rPr>
        <w:sz w:val="22"/>
        <w:szCs w:val="22"/>
      </w:rPr>
      <w:fldChar w:fldCharType="end"/>
    </w:r>
  </w:p>
  <w:p w:rsidR="004163B9" w:rsidRPr="00CE1CFD" w:rsidRDefault="004163B9" w:rsidP="00A70202">
    <w:pPr>
      <w:pStyle w:val="Rodap"/>
      <w:spacing w:line="240" w:lineRule="auto"/>
      <w:jc w:val="left"/>
      <w:rPr>
        <w:lang w:val="en-US"/>
      </w:rPr>
    </w:pPr>
    <w:r w:rsidRPr="006B339A">
      <w:rPr>
        <w:color w:val="7F7F7F"/>
        <w:sz w:val="22"/>
        <w:szCs w:val="22"/>
        <w:lang w:val="en-US"/>
      </w:rPr>
      <w:t>www.shs.com.br</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3B9" w:rsidRPr="004B55EF" w:rsidRDefault="004163B9" w:rsidP="00A70202">
    <w:pPr>
      <w:pStyle w:val="Rodap"/>
      <w:spacing w:line="240" w:lineRule="auto"/>
      <w:jc w:val="left"/>
      <w:rPr>
        <w:color w:val="808080"/>
        <w:sz w:val="22"/>
        <w:szCs w:val="22"/>
      </w:rPr>
    </w:pPr>
    <w:r>
      <w:rPr>
        <w:color w:val="808080"/>
        <w:sz w:val="22"/>
        <w:szCs w:val="22"/>
      </w:rPr>
      <w:t>_______________________________________________</w:t>
    </w:r>
    <w:r w:rsidRPr="004B55EF">
      <w:rPr>
        <w:color w:val="808080"/>
        <w:sz w:val="22"/>
        <w:szCs w:val="22"/>
      </w:rPr>
      <w:t>_________________________________________</w:t>
    </w:r>
    <w:r>
      <w:rPr>
        <w:color w:val="808080"/>
        <w:sz w:val="22"/>
        <w:szCs w:val="22"/>
      </w:rPr>
      <w:t>_______</w:t>
    </w:r>
    <w:r w:rsidRPr="004B55EF">
      <w:rPr>
        <w:color w:val="808080"/>
        <w:sz w:val="22"/>
        <w:szCs w:val="22"/>
      </w:rPr>
      <w:t>______________________________</w:t>
    </w:r>
  </w:p>
  <w:p w:rsidR="004163B9" w:rsidRPr="006B339A" w:rsidRDefault="004163B9" w:rsidP="00A70202">
    <w:pPr>
      <w:pStyle w:val="Rodap"/>
      <w:spacing w:line="240" w:lineRule="auto"/>
      <w:jc w:val="left"/>
      <w:rPr>
        <w:sz w:val="22"/>
        <w:szCs w:val="22"/>
        <w:lang w:val="en-US"/>
      </w:rPr>
    </w:pPr>
    <w:r w:rsidRPr="004B55EF">
      <w:rPr>
        <w:color w:val="808080"/>
        <w:sz w:val="22"/>
        <w:szCs w:val="22"/>
      </w:rPr>
      <w:t xml:space="preserve">SHS Consultoria e Projetos de Engenharia Ltda.- </w:t>
    </w:r>
    <w:r w:rsidRPr="00A70202">
      <w:rPr>
        <w:color w:val="808080"/>
        <w:sz w:val="22"/>
        <w:szCs w:val="22"/>
      </w:rPr>
      <w:t>EPP</w:t>
    </w:r>
    <w:r w:rsidRPr="00A70202">
      <w:rPr>
        <w:color w:val="808080"/>
        <w:sz w:val="22"/>
        <w:szCs w:val="22"/>
      </w:rPr>
      <w:tab/>
      <w:t xml:space="preserve">                                                            </w:t>
    </w:r>
    <w:r>
      <w:rPr>
        <w:color w:val="808080"/>
        <w:sz w:val="22"/>
        <w:szCs w:val="22"/>
      </w:rPr>
      <w:t xml:space="preserve">      </w:t>
    </w:r>
    <w:r w:rsidRPr="004B55EF">
      <w:rPr>
        <w:sz w:val="22"/>
        <w:szCs w:val="22"/>
      </w:rPr>
      <w:fldChar w:fldCharType="begin"/>
    </w:r>
    <w:r w:rsidRPr="006B339A">
      <w:rPr>
        <w:sz w:val="22"/>
        <w:szCs w:val="22"/>
        <w:lang w:val="en-US"/>
      </w:rPr>
      <w:instrText>PAGE   \* MERGEFORMAT</w:instrText>
    </w:r>
    <w:r w:rsidRPr="004B55EF">
      <w:rPr>
        <w:sz w:val="22"/>
        <w:szCs w:val="22"/>
      </w:rPr>
      <w:fldChar w:fldCharType="separate"/>
    </w:r>
    <w:r w:rsidR="004D1D76">
      <w:rPr>
        <w:noProof/>
        <w:sz w:val="22"/>
        <w:szCs w:val="22"/>
        <w:lang w:val="en-US"/>
      </w:rPr>
      <w:t>186</w:t>
    </w:r>
    <w:r w:rsidRPr="004B55EF">
      <w:rPr>
        <w:sz w:val="22"/>
        <w:szCs w:val="22"/>
      </w:rPr>
      <w:fldChar w:fldCharType="end"/>
    </w:r>
  </w:p>
  <w:p w:rsidR="004163B9" w:rsidRPr="000D029E" w:rsidRDefault="004163B9" w:rsidP="00A70202">
    <w:pPr>
      <w:pStyle w:val="Rodap"/>
      <w:spacing w:line="240" w:lineRule="auto"/>
      <w:jc w:val="left"/>
      <w:rPr>
        <w:lang w:val="en-US"/>
      </w:rPr>
    </w:pPr>
    <w:r w:rsidRPr="006B339A">
      <w:rPr>
        <w:color w:val="7F7F7F"/>
        <w:sz w:val="22"/>
        <w:szCs w:val="22"/>
        <w:lang w:val="en-US"/>
      </w:rPr>
      <w:t>www.shs.com.br</w: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3B9" w:rsidRPr="004B55EF" w:rsidRDefault="004163B9" w:rsidP="00A70202">
    <w:pPr>
      <w:pStyle w:val="Rodap"/>
      <w:spacing w:line="240" w:lineRule="auto"/>
      <w:jc w:val="left"/>
      <w:rPr>
        <w:color w:val="808080"/>
        <w:sz w:val="22"/>
        <w:szCs w:val="22"/>
      </w:rPr>
    </w:pPr>
    <w:r w:rsidRPr="004B55EF">
      <w:rPr>
        <w:color w:val="808080"/>
        <w:sz w:val="22"/>
        <w:szCs w:val="22"/>
      </w:rPr>
      <w:t>________________________________________________________________________________</w:t>
    </w:r>
  </w:p>
  <w:p w:rsidR="004163B9" w:rsidRPr="006B339A" w:rsidRDefault="004163B9" w:rsidP="00A70202">
    <w:pPr>
      <w:pStyle w:val="Rodap"/>
      <w:spacing w:line="240" w:lineRule="auto"/>
      <w:jc w:val="left"/>
      <w:rPr>
        <w:sz w:val="22"/>
        <w:szCs w:val="22"/>
        <w:lang w:val="en-US"/>
      </w:rPr>
    </w:pPr>
    <w:r w:rsidRPr="004B55EF">
      <w:rPr>
        <w:color w:val="808080"/>
        <w:sz w:val="22"/>
        <w:szCs w:val="22"/>
      </w:rPr>
      <w:t xml:space="preserve">SHS Consultoria e Projetos de Engenharia Ltda.- </w:t>
    </w:r>
    <w:r>
      <w:rPr>
        <w:color w:val="808080"/>
        <w:sz w:val="22"/>
        <w:szCs w:val="22"/>
        <w:lang w:val="en-US"/>
      </w:rPr>
      <w:t>EPP</w:t>
    </w:r>
    <w:r>
      <w:rPr>
        <w:color w:val="808080"/>
        <w:sz w:val="22"/>
        <w:szCs w:val="22"/>
        <w:lang w:val="en-US"/>
      </w:rPr>
      <w:tab/>
      <w:t xml:space="preserve">                           </w:t>
    </w:r>
    <w:r w:rsidRPr="004B55EF">
      <w:rPr>
        <w:sz w:val="22"/>
        <w:szCs w:val="22"/>
      </w:rPr>
      <w:fldChar w:fldCharType="begin"/>
    </w:r>
    <w:r w:rsidRPr="006B339A">
      <w:rPr>
        <w:sz w:val="22"/>
        <w:szCs w:val="22"/>
        <w:lang w:val="en-US"/>
      </w:rPr>
      <w:instrText>PAGE   \* MERGEFORMAT</w:instrText>
    </w:r>
    <w:r w:rsidRPr="004B55EF">
      <w:rPr>
        <w:sz w:val="22"/>
        <w:szCs w:val="22"/>
      </w:rPr>
      <w:fldChar w:fldCharType="separate"/>
    </w:r>
    <w:r w:rsidR="004D1D76">
      <w:rPr>
        <w:noProof/>
        <w:sz w:val="22"/>
        <w:szCs w:val="22"/>
        <w:lang w:val="en-US"/>
      </w:rPr>
      <w:t>191</w:t>
    </w:r>
    <w:r w:rsidRPr="004B55EF">
      <w:rPr>
        <w:sz w:val="22"/>
        <w:szCs w:val="22"/>
      </w:rPr>
      <w:fldChar w:fldCharType="end"/>
    </w:r>
  </w:p>
  <w:p w:rsidR="004163B9" w:rsidRPr="00CE1CFD" w:rsidRDefault="004163B9" w:rsidP="00A70202">
    <w:pPr>
      <w:pStyle w:val="Rodap"/>
      <w:spacing w:line="240" w:lineRule="auto"/>
      <w:jc w:val="left"/>
      <w:rPr>
        <w:lang w:val="en-US"/>
      </w:rPr>
    </w:pPr>
    <w:r w:rsidRPr="006B339A">
      <w:rPr>
        <w:color w:val="7F7F7F"/>
        <w:sz w:val="22"/>
        <w:szCs w:val="22"/>
        <w:lang w:val="en-US"/>
      </w:rPr>
      <w:t>www.shs.com.br</w: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3B9" w:rsidRPr="004B55EF" w:rsidRDefault="004163B9" w:rsidP="00A70202">
    <w:pPr>
      <w:pStyle w:val="Rodap"/>
      <w:spacing w:line="240" w:lineRule="auto"/>
      <w:jc w:val="left"/>
      <w:rPr>
        <w:color w:val="808080"/>
        <w:sz w:val="22"/>
        <w:szCs w:val="22"/>
      </w:rPr>
    </w:pPr>
    <w:r>
      <w:rPr>
        <w:color w:val="808080"/>
        <w:sz w:val="22"/>
        <w:szCs w:val="22"/>
      </w:rPr>
      <w:t>_______________________________________________</w:t>
    </w:r>
    <w:r w:rsidRPr="004B55EF">
      <w:rPr>
        <w:color w:val="808080"/>
        <w:sz w:val="22"/>
        <w:szCs w:val="22"/>
      </w:rPr>
      <w:t>_________________________________________</w:t>
    </w:r>
    <w:r>
      <w:rPr>
        <w:color w:val="808080"/>
        <w:sz w:val="22"/>
        <w:szCs w:val="22"/>
      </w:rPr>
      <w:t>_______</w:t>
    </w:r>
    <w:r w:rsidRPr="004B55EF">
      <w:rPr>
        <w:color w:val="808080"/>
        <w:sz w:val="22"/>
        <w:szCs w:val="22"/>
      </w:rPr>
      <w:t>______________________________</w:t>
    </w:r>
  </w:p>
  <w:p w:rsidR="004163B9" w:rsidRPr="006B339A" w:rsidRDefault="004163B9" w:rsidP="00A70202">
    <w:pPr>
      <w:pStyle w:val="Rodap"/>
      <w:spacing w:line="240" w:lineRule="auto"/>
      <w:jc w:val="left"/>
      <w:rPr>
        <w:sz w:val="22"/>
        <w:szCs w:val="22"/>
        <w:lang w:val="en-US"/>
      </w:rPr>
    </w:pPr>
    <w:r w:rsidRPr="004B55EF">
      <w:rPr>
        <w:color w:val="808080"/>
        <w:sz w:val="22"/>
        <w:szCs w:val="22"/>
      </w:rPr>
      <w:t xml:space="preserve">SHS Consultoria e Projetos de Engenharia Ltda.- </w:t>
    </w:r>
    <w:r w:rsidRPr="00A70202">
      <w:rPr>
        <w:color w:val="808080"/>
        <w:sz w:val="22"/>
        <w:szCs w:val="22"/>
      </w:rPr>
      <w:t>EPP</w:t>
    </w:r>
    <w:r w:rsidRPr="00A70202">
      <w:rPr>
        <w:color w:val="808080"/>
        <w:sz w:val="22"/>
        <w:szCs w:val="22"/>
      </w:rPr>
      <w:tab/>
      <w:t xml:space="preserve">                                                            </w:t>
    </w:r>
    <w:r>
      <w:rPr>
        <w:color w:val="808080"/>
        <w:sz w:val="22"/>
        <w:szCs w:val="22"/>
      </w:rPr>
      <w:t xml:space="preserve">      </w:t>
    </w:r>
    <w:r w:rsidRPr="004B55EF">
      <w:rPr>
        <w:sz w:val="22"/>
        <w:szCs w:val="22"/>
      </w:rPr>
      <w:fldChar w:fldCharType="begin"/>
    </w:r>
    <w:r w:rsidRPr="006B339A">
      <w:rPr>
        <w:sz w:val="22"/>
        <w:szCs w:val="22"/>
        <w:lang w:val="en-US"/>
      </w:rPr>
      <w:instrText>PAGE   \* MERGEFORMAT</w:instrText>
    </w:r>
    <w:r w:rsidRPr="004B55EF">
      <w:rPr>
        <w:sz w:val="22"/>
        <w:szCs w:val="22"/>
      </w:rPr>
      <w:fldChar w:fldCharType="separate"/>
    </w:r>
    <w:r w:rsidR="004D1D76">
      <w:rPr>
        <w:noProof/>
        <w:sz w:val="22"/>
        <w:szCs w:val="22"/>
        <w:lang w:val="en-US"/>
      </w:rPr>
      <w:t>193</w:t>
    </w:r>
    <w:r w:rsidRPr="004B55EF">
      <w:rPr>
        <w:sz w:val="22"/>
        <w:szCs w:val="22"/>
      </w:rPr>
      <w:fldChar w:fldCharType="end"/>
    </w:r>
  </w:p>
  <w:p w:rsidR="004163B9" w:rsidRPr="000D029E" w:rsidRDefault="004163B9" w:rsidP="00A70202">
    <w:pPr>
      <w:pStyle w:val="Rodap"/>
      <w:spacing w:line="240" w:lineRule="auto"/>
      <w:jc w:val="left"/>
      <w:rPr>
        <w:lang w:val="en-US"/>
      </w:rPr>
    </w:pPr>
    <w:r w:rsidRPr="006B339A">
      <w:rPr>
        <w:color w:val="7F7F7F"/>
        <w:sz w:val="22"/>
        <w:szCs w:val="22"/>
        <w:lang w:val="en-US"/>
      </w:rPr>
      <w:t>www.shs.com.br</w: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3B9" w:rsidRPr="004B55EF" w:rsidRDefault="004163B9" w:rsidP="00A70202">
    <w:pPr>
      <w:pStyle w:val="Rodap"/>
      <w:spacing w:line="240" w:lineRule="auto"/>
      <w:jc w:val="left"/>
      <w:rPr>
        <w:color w:val="808080"/>
        <w:sz w:val="22"/>
        <w:szCs w:val="22"/>
      </w:rPr>
    </w:pPr>
    <w:r w:rsidRPr="004B55EF">
      <w:rPr>
        <w:color w:val="808080"/>
        <w:sz w:val="22"/>
        <w:szCs w:val="22"/>
      </w:rPr>
      <w:t>________________________________________________________________________________</w:t>
    </w:r>
  </w:p>
  <w:p w:rsidR="004163B9" w:rsidRPr="006B339A" w:rsidRDefault="004163B9" w:rsidP="00A70202">
    <w:pPr>
      <w:pStyle w:val="Rodap"/>
      <w:spacing w:line="240" w:lineRule="auto"/>
      <w:jc w:val="left"/>
      <w:rPr>
        <w:sz w:val="22"/>
        <w:szCs w:val="22"/>
        <w:lang w:val="en-US"/>
      </w:rPr>
    </w:pPr>
    <w:r w:rsidRPr="004B55EF">
      <w:rPr>
        <w:color w:val="808080"/>
        <w:sz w:val="22"/>
        <w:szCs w:val="22"/>
      </w:rPr>
      <w:t xml:space="preserve">SHS Consultoria e Projetos de Engenharia Ltda.- </w:t>
    </w:r>
    <w:r>
      <w:rPr>
        <w:color w:val="808080"/>
        <w:sz w:val="22"/>
        <w:szCs w:val="22"/>
        <w:lang w:val="en-US"/>
      </w:rPr>
      <w:t>EPP</w:t>
    </w:r>
    <w:r>
      <w:rPr>
        <w:color w:val="808080"/>
        <w:sz w:val="22"/>
        <w:szCs w:val="22"/>
        <w:lang w:val="en-US"/>
      </w:rPr>
      <w:tab/>
      <w:t xml:space="preserve">                           </w:t>
    </w:r>
    <w:r w:rsidRPr="004B55EF">
      <w:rPr>
        <w:sz w:val="22"/>
        <w:szCs w:val="22"/>
      </w:rPr>
      <w:fldChar w:fldCharType="begin"/>
    </w:r>
    <w:r w:rsidRPr="006B339A">
      <w:rPr>
        <w:sz w:val="22"/>
        <w:szCs w:val="22"/>
        <w:lang w:val="en-US"/>
      </w:rPr>
      <w:instrText>PAGE   \* MERGEFORMAT</w:instrText>
    </w:r>
    <w:r w:rsidRPr="004B55EF">
      <w:rPr>
        <w:sz w:val="22"/>
        <w:szCs w:val="22"/>
      </w:rPr>
      <w:fldChar w:fldCharType="separate"/>
    </w:r>
    <w:r w:rsidR="004D1D76">
      <w:rPr>
        <w:noProof/>
        <w:sz w:val="22"/>
        <w:szCs w:val="22"/>
        <w:lang w:val="en-US"/>
      </w:rPr>
      <w:t>194</w:t>
    </w:r>
    <w:r w:rsidRPr="004B55EF">
      <w:rPr>
        <w:sz w:val="22"/>
        <w:szCs w:val="22"/>
      </w:rPr>
      <w:fldChar w:fldCharType="end"/>
    </w:r>
  </w:p>
  <w:p w:rsidR="004163B9" w:rsidRPr="00CE1CFD" w:rsidRDefault="004163B9" w:rsidP="00A70202">
    <w:pPr>
      <w:pStyle w:val="Rodap"/>
      <w:spacing w:line="240" w:lineRule="auto"/>
      <w:jc w:val="left"/>
      <w:rPr>
        <w:lang w:val="en-US"/>
      </w:rPr>
    </w:pPr>
    <w:r w:rsidRPr="006B339A">
      <w:rPr>
        <w:color w:val="7F7F7F"/>
        <w:sz w:val="22"/>
        <w:szCs w:val="22"/>
        <w:lang w:val="en-US"/>
      </w:rPr>
      <w:t>www.shs.com.br</w: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3B9" w:rsidRPr="004B55EF" w:rsidRDefault="004163B9" w:rsidP="00A70202">
    <w:pPr>
      <w:pStyle w:val="Rodap"/>
      <w:spacing w:line="240" w:lineRule="auto"/>
      <w:jc w:val="left"/>
      <w:rPr>
        <w:color w:val="808080"/>
        <w:sz w:val="22"/>
        <w:szCs w:val="22"/>
      </w:rPr>
    </w:pPr>
    <w:r>
      <w:rPr>
        <w:color w:val="808080"/>
        <w:sz w:val="22"/>
        <w:szCs w:val="22"/>
      </w:rPr>
      <w:t>_______________________________________________</w:t>
    </w:r>
    <w:r w:rsidRPr="004B55EF">
      <w:rPr>
        <w:color w:val="808080"/>
        <w:sz w:val="22"/>
        <w:szCs w:val="22"/>
      </w:rPr>
      <w:t>_________________________________________</w:t>
    </w:r>
    <w:r>
      <w:rPr>
        <w:color w:val="808080"/>
        <w:sz w:val="22"/>
        <w:szCs w:val="22"/>
      </w:rPr>
      <w:t>_______</w:t>
    </w:r>
    <w:r w:rsidRPr="004B55EF">
      <w:rPr>
        <w:color w:val="808080"/>
        <w:sz w:val="22"/>
        <w:szCs w:val="22"/>
      </w:rPr>
      <w:t>______________________________</w:t>
    </w:r>
  </w:p>
  <w:p w:rsidR="004163B9" w:rsidRPr="006B339A" w:rsidRDefault="004163B9" w:rsidP="00A70202">
    <w:pPr>
      <w:pStyle w:val="Rodap"/>
      <w:spacing w:line="240" w:lineRule="auto"/>
      <w:jc w:val="left"/>
      <w:rPr>
        <w:sz w:val="22"/>
        <w:szCs w:val="22"/>
        <w:lang w:val="en-US"/>
      </w:rPr>
    </w:pPr>
    <w:r w:rsidRPr="004B55EF">
      <w:rPr>
        <w:color w:val="808080"/>
        <w:sz w:val="22"/>
        <w:szCs w:val="22"/>
      </w:rPr>
      <w:t xml:space="preserve">SHS Consultoria e Projetos de Engenharia Ltda.- </w:t>
    </w:r>
    <w:r w:rsidRPr="00A70202">
      <w:rPr>
        <w:color w:val="808080"/>
        <w:sz w:val="22"/>
        <w:szCs w:val="22"/>
      </w:rPr>
      <w:t>EPP</w:t>
    </w:r>
    <w:r w:rsidRPr="00A70202">
      <w:rPr>
        <w:color w:val="808080"/>
        <w:sz w:val="22"/>
        <w:szCs w:val="22"/>
      </w:rPr>
      <w:tab/>
      <w:t xml:space="preserve">                                                            </w:t>
    </w:r>
    <w:r>
      <w:rPr>
        <w:color w:val="808080"/>
        <w:sz w:val="22"/>
        <w:szCs w:val="22"/>
      </w:rPr>
      <w:t xml:space="preserve">      </w:t>
    </w:r>
    <w:r w:rsidRPr="004B55EF">
      <w:rPr>
        <w:sz w:val="22"/>
        <w:szCs w:val="22"/>
      </w:rPr>
      <w:fldChar w:fldCharType="begin"/>
    </w:r>
    <w:r w:rsidRPr="006B339A">
      <w:rPr>
        <w:sz w:val="22"/>
        <w:szCs w:val="22"/>
        <w:lang w:val="en-US"/>
      </w:rPr>
      <w:instrText>PAGE   \* MERGEFORMAT</w:instrText>
    </w:r>
    <w:r w:rsidRPr="004B55EF">
      <w:rPr>
        <w:sz w:val="22"/>
        <w:szCs w:val="22"/>
      </w:rPr>
      <w:fldChar w:fldCharType="separate"/>
    </w:r>
    <w:r w:rsidR="004D1D76">
      <w:rPr>
        <w:noProof/>
        <w:sz w:val="22"/>
        <w:szCs w:val="22"/>
        <w:lang w:val="en-US"/>
      </w:rPr>
      <w:t>196</w:t>
    </w:r>
    <w:r w:rsidRPr="004B55EF">
      <w:rPr>
        <w:sz w:val="22"/>
        <w:szCs w:val="22"/>
      </w:rPr>
      <w:fldChar w:fldCharType="end"/>
    </w:r>
  </w:p>
  <w:p w:rsidR="004163B9" w:rsidRPr="000D029E" w:rsidRDefault="004163B9" w:rsidP="00A70202">
    <w:pPr>
      <w:pStyle w:val="Rodap"/>
      <w:spacing w:line="240" w:lineRule="auto"/>
      <w:jc w:val="left"/>
      <w:rPr>
        <w:lang w:val="en-US"/>
      </w:rPr>
    </w:pPr>
    <w:r w:rsidRPr="006B339A">
      <w:rPr>
        <w:color w:val="7F7F7F"/>
        <w:sz w:val="22"/>
        <w:szCs w:val="22"/>
        <w:lang w:val="en-US"/>
      </w:rPr>
      <w:t>www.shs.com.br</w: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3B9" w:rsidRPr="004B55EF" w:rsidRDefault="004163B9" w:rsidP="00A70202">
    <w:pPr>
      <w:pStyle w:val="Rodap"/>
      <w:spacing w:line="240" w:lineRule="auto"/>
      <w:jc w:val="left"/>
      <w:rPr>
        <w:color w:val="808080"/>
        <w:sz w:val="22"/>
        <w:szCs w:val="22"/>
      </w:rPr>
    </w:pPr>
    <w:r w:rsidRPr="004B55EF">
      <w:rPr>
        <w:color w:val="808080"/>
        <w:sz w:val="22"/>
        <w:szCs w:val="22"/>
      </w:rPr>
      <w:t>________________________________________________________________________________</w:t>
    </w:r>
  </w:p>
  <w:p w:rsidR="004163B9" w:rsidRPr="006B339A" w:rsidRDefault="004163B9" w:rsidP="00A70202">
    <w:pPr>
      <w:pStyle w:val="Rodap"/>
      <w:spacing w:line="240" w:lineRule="auto"/>
      <w:jc w:val="left"/>
      <w:rPr>
        <w:sz w:val="22"/>
        <w:szCs w:val="22"/>
        <w:lang w:val="en-US"/>
      </w:rPr>
    </w:pPr>
    <w:r w:rsidRPr="004B55EF">
      <w:rPr>
        <w:color w:val="808080"/>
        <w:sz w:val="22"/>
        <w:szCs w:val="22"/>
      </w:rPr>
      <w:t xml:space="preserve">SHS Consultoria e Projetos de Engenharia Ltda.- </w:t>
    </w:r>
    <w:r>
      <w:rPr>
        <w:color w:val="808080"/>
        <w:sz w:val="22"/>
        <w:szCs w:val="22"/>
        <w:lang w:val="en-US"/>
      </w:rPr>
      <w:t>EPP</w:t>
    </w:r>
    <w:r>
      <w:rPr>
        <w:color w:val="808080"/>
        <w:sz w:val="22"/>
        <w:szCs w:val="22"/>
        <w:lang w:val="en-US"/>
      </w:rPr>
      <w:tab/>
      <w:t xml:space="preserve">                           </w:t>
    </w:r>
    <w:r w:rsidRPr="004B55EF">
      <w:rPr>
        <w:sz w:val="22"/>
        <w:szCs w:val="22"/>
      </w:rPr>
      <w:fldChar w:fldCharType="begin"/>
    </w:r>
    <w:r w:rsidRPr="006B339A">
      <w:rPr>
        <w:sz w:val="22"/>
        <w:szCs w:val="22"/>
        <w:lang w:val="en-US"/>
      </w:rPr>
      <w:instrText>PAGE   \* MERGEFORMAT</w:instrText>
    </w:r>
    <w:r w:rsidRPr="004B55EF">
      <w:rPr>
        <w:sz w:val="22"/>
        <w:szCs w:val="22"/>
      </w:rPr>
      <w:fldChar w:fldCharType="separate"/>
    </w:r>
    <w:r w:rsidR="004D1D76">
      <w:rPr>
        <w:noProof/>
        <w:sz w:val="22"/>
        <w:szCs w:val="22"/>
        <w:lang w:val="en-US"/>
      </w:rPr>
      <w:t>198</w:t>
    </w:r>
    <w:r w:rsidRPr="004B55EF">
      <w:rPr>
        <w:sz w:val="22"/>
        <w:szCs w:val="22"/>
      </w:rPr>
      <w:fldChar w:fldCharType="end"/>
    </w:r>
  </w:p>
  <w:p w:rsidR="004163B9" w:rsidRPr="00CE1CFD" w:rsidRDefault="004163B9" w:rsidP="00A70202">
    <w:pPr>
      <w:pStyle w:val="Rodap"/>
      <w:spacing w:line="240" w:lineRule="auto"/>
      <w:jc w:val="left"/>
      <w:rPr>
        <w:lang w:val="en-US"/>
      </w:rPr>
    </w:pPr>
    <w:r w:rsidRPr="006B339A">
      <w:rPr>
        <w:color w:val="7F7F7F"/>
        <w:sz w:val="22"/>
        <w:szCs w:val="22"/>
        <w:lang w:val="en-US"/>
      </w:rPr>
      <w:t>www.shs.com.br</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3B9" w:rsidRDefault="004163B9" w:rsidP="00AB3C6D">
    <w:pPr>
      <w:pStyle w:val="Rodap"/>
      <w:spacing w:line="240" w:lineRule="auto"/>
      <w:jc w:val="left"/>
      <w:rPr>
        <w:color w:val="808080"/>
        <w:sz w:val="22"/>
        <w:szCs w:val="22"/>
      </w:rPr>
    </w:pPr>
    <w:r>
      <w:rPr>
        <w:color w:val="808080"/>
        <w:sz w:val="22"/>
        <w:szCs w:val="22"/>
      </w:rPr>
      <w:t>________________________________________________________________________________</w:t>
    </w:r>
  </w:p>
  <w:p w:rsidR="004163B9" w:rsidRPr="0032336A" w:rsidRDefault="004163B9" w:rsidP="00AB3C6D">
    <w:pPr>
      <w:pStyle w:val="Rodap"/>
      <w:spacing w:line="240" w:lineRule="auto"/>
      <w:jc w:val="left"/>
      <w:rPr>
        <w:lang w:val="en-US"/>
      </w:rPr>
    </w:pPr>
    <w:r w:rsidRPr="009E6826">
      <w:rPr>
        <w:color w:val="808080"/>
        <w:sz w:val="22"/>
        <w:szCs w:val="22"/>
      </w:rPr>
      <w:t>SHS Consultoria e Projetos de Engenharia Ltda.</w:t>
    </w:r>
    <w:r>
      <w:rPr>
        <w:color w:val="808080"/>
        <w:sz w:val="22"/>
        <w:szCs w:val="22"/>
      </w:rPr>
      <w:t>- EPP</w:t>
    </w:r>
    <w:r w:rsidRPr="0032336A">
      <w:rPr>
        <w:color w:val="808080"/>
        <w:sz w:val="22"/>
        <w:szCs w:val="22"/>
        <w:lang w:val="en-US"/>
      </w:rPr>
      <w:t xml:space="preserve"> </w:t>
    </w:r>
    <w:r w:rsidRPr="0032336A">
      <w:rPr>
        <w:color w:val="808080"/>
        <w:sz w:val="22"/>
        <w:szCs w:val="22"/>
        <w:lang w:val="en-US"/>
      </w:rPr>
      <w:tab/>
    </w:r>
    <w:r>
      <w:rPr>
        <w:color w:val="808080"/>
        <w:sz w:val="22"/>
        <w:szCs w:val="22"/>
        <w:lang w:val="en-US"/>
      </w:rPr>
      <w:t xml:space="preserve">                           </w:t>
    </w:r>
  </w:p>
  <w:p w:rsidR="004163B9" w:rsidRPr="009E6826" w:rsidRDefault="004163B9" w:rsidP="00AB3C6D">
    <w:pPr>
      <w:pStyle w:val="Rodap"/>
      <w:spacing w:line="240" w:lineRule="auto"/>
      <w:jc w:val="left"/>
      <w:rPr>
        <w:i w:val="0"/>
        <w:color w:val="7F7F7F"/>
        <w:sz w:val="22"/>
        <w:szCs w:val="22"/>
      </w:rPr>
    </w:pPr>
    <w:r w:rsidRPr="009E6826">
      <w:rPr>
        <w:color w:val="7F7F7F"/>
        <w:sz w:val="22"/>
        <w:szCs w:val="22"/>
      </w:rPr>
      <w:t>www.shs.com.br</w: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3B9" w:rsidRPr="004B55EF" w:rsidRDefault="004163B9" w:rsidP="00A70202">
    <w:pPr>
      <w:pStyle w:val="Rodap"/>
      <w:spacing w:line="240" w:lineRule="auto"/>
      <w:jc w:val="left"/>
      <w:rPr>
        <w:color w:val="808080"/>
        <w:sz w:val="22"/>
        <w:szCs w:val="22"/>
      </w:rPr>
    </w:pPr>
    <w:r>
      <w:rPr>
        <w:color w:val="808080"/>
        <w:sz w:val="22"/>
        <w:szCs w:val="22"/>
      </w:rPr>
      <w:t>_______________________________________________</w:t>
    </w:r>
    <w:r w:rsidRPr="004B55EF">
      <w:rPr>
        <w:color w:val="808080"/>
        <w:sz w:val="22"/>
        <w:szCs w:val="22"/>
      </w:rPr>
      <w:t>_________________________________________</w:t>
    </w:r>
    <w:r>
      <w:rPr>
        <w:color w:val="808080"/>
        <w:sz w:val="22"/>
        <w:szCs w:val="22"/>
      </w:rPr>
      <w:t>_______</w:t>
    </w:r>
    <w:r w:rsidRPr="004B55EF">
      <w:rPr>
        <w:color w:val="808080"/>
        <w:sz w:val="22"/>
        <w:szCs w:val="22"/>
      </w:rPr>
      <w:t>______________________________</w:t>
    </w:r>
  </w:p>
  <w:p w:rsidR="004163B9" w:rsidRPr="006B339A" w:rsidRDefault="004163B9" w:rsidP="00A70202">
    <w:pPr>
      <w:pStyle w:val="Rodap"/>
      <w:spacing w:line="240" w:lineRule="auto"/>
      <w:jc w:val="left"/>
      <w:rPr>
        <w:sz w:val="22"/>
        <w:szCs w:val="22"/>
        <w:lang w:val="en-US"/>
      </w:rPr>
    </w:pPr>
    <w:r w:rsidRPr="004B55EF">
      <w:rPr>
        <w:color w:val="808080"/>
        <w:sz w:val="22"/>
        <w:szCs w:val="22"/>
      </w:rPr>
      <w:t xml:space="preserve">SHS Consultoria e Projetos de Engenharia Ltda.- </w:t>
    </w:r>
    <w:r w:rsidRPr="00A70202">
      <w:rPr>
        <w:color w:val="808080"/>
        <w:sz w:val="22"/>
        <w:szCs w:val="22"/>
      </w:rPr>
      <w:t>EPP</w:t>
    </w:r>
    <w:r w:rsidRPr="00A70202">
      <w:rPr>
        <w:color w:val="808080"/>
        <w:sz w:val="22"/>
        <w:szCs w:val="22"/>
      </w:rPr>
      <w:tab/>
      <w:t xml:space="preserve">                                                            </w:t>
    </w:r>
    <w:r>
      <w:rPr>
        <w:color w:val="808080"/>
        <w:sz w:val="22"/>
        <w:szCs w:val="22"/>
      </w:rPr>
      <w:t xml:space="preserve">      </w:t>
    </w:r>
    <w:r w:rsidRPr="004B55EF">
      <w:rPr>
        <w:sz w:val="22"/>
        <w:szCs w:val="22"/>
      </w:rPr>
      <w:fldChar w:fldCharType="begin"/>
    </w:r>
    <w:r w:rsidRPr="006B339A">
      <w:rPr>
        <w:sz w:val="22"/>
        <w:szCs w:val="22"/>
        <w:lang w:val="en-US"/>
      </w:rPr>
      <w:instrText>PAGE   \* MERGEFORMAT</w:instrText>
    </w:r>
    <w:r w:rsidRPr="004B55EF">
      <w:rPr>
        <w:sz w:val="22"/>
        <w:szCs w:val="22"/>
      </w:rPr>
      <w:fldChar w:fldCharType="separate"/>
    </w:r>
    <w:r w:rsidR="004D1D76">
      <w:rPr>
        <w:noProof/>
        <w:sz w:val="22"/>
        <w:szCs w:val="22"/>
        <w:lang w:val="en-US"/>
      </w:rPr>
      <w:t>200</w:t>
    </w:r>
    <w:r w:rsidRPr="004B55EF">
      <w:rPr>
        <w:sz w:val="22"/>
        <w:szCs w:val="22"/>
      </w:rPr>
      <w:fldChar w:fldCharType="end"/>
    </w:r>
  </w:p>
  <w:p w:rsidR="004163B9" w:rsidRPr="000D029E" w:rsidRDefault="004163B9" w:rsidP="00A70202">
    <w:pPr>
      <w:pStyle w:val="Rodap"/>
      <w:spacing w:line="240" w:lineRule="auto"/>
      <w:jc w:val="left"/>
      <w:rPr>
        <w:lang w:val="en-US"/>
      </w:rPr>
    </w:pPr>
    <w:r w:rsidRPr="006B339A">
      <w:rPr>
        <w:color w:val="7F7F7F"/>
        <w:sz w:val="22"/>
        <w:szCs w:val="22"/>
        <w:lang w:val="en-US"/>
      </w:rPr>
      <w:t>www.shs.com.br</w: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3B9" w:rsidRPr="004B55EF" w:rsidRDefault="004163B9" w:rsidP="00A70202">
    <w:pPr>
      <w:pStyle w:val="Rodap"/>
      <w:spacing w:line="240" w:lineRule="auto"/>
      <w:jc w:val="left"/>
      <w:rPr>
        <w:color w:val="808080"/>
        <w:sz w:val="22"/>
        <w:szCs w:val="22"/>
      </w:rPr>
    </w:pPr>
    <w:r w:rsidRPr="004B55EF">
      <w:rPr>
        <w:color w:val="808080"/>
        <w:sz w:val="22"/>
        <w:szCs w:val="22"/>
      </w:rPr>
      <w:t>________________________________________________________________________________</w:t>
    </w:r>
  </w:p>
  <w:p w:rsidR="004163B9" w:rsidRPr="006B339A" w:rsidRDefault="004163B9" w:rsidP="00A70202">
    <w:pPr>
      <w:pStyle w:val="Rodap"/>
      <w:spacing w:line="240" w:lineRule="auto"/>
      <w:jc w:val="left"/>
      <w:rPr>
        <w:sz w:val="22"/>
        <w:szCs w:val="22"/>
        <w:lang w:val="en-US"/>
      </w:rPr>
    </w:pPr>
    <w:r w:rsidRPr="004B55EF">
      <w:rPr>
        <w:color w:val="808080"/>
        <w:sz w:val="22"/>
        <w:szCs w:val="22"/>
      </w:rPr>
      <w:t xml:space="preserve">SHS Consultoria e Projetos de Engenharia Ltda.- </w:t>
    </w:r>
    <w:r>
      <w:rPr>
        <w:color w:val="808080"/>
        <w:sz w:val="22"/>
        <w:szCs w:val="22"/>
        <w:lang w:val="en-US"/>
      </w:rPr>
      <w:t>EPP</w:t>
    </w:r>
    <w:r>
      <w:rPr>
        <w:color w:val="808080"/>
        <w:sz w:val="22"/>
        <w:szCs w:val="22"/>
        <w:lang w:val="en-US"/>
      </w:rPr>
      <w:tab/>
      <w:t xml:space="preserve">                           </w:t>
    </w:r>
    <w:r w:rsidRPr="004B55EF">
      <w:rPr>
        <w:sz w:val="22"/>
        <w:szCs w:val="22"/>
      </w:rPr>
      <w:fldChar w:fldCharType="begin"/>
    </w:r>
    <w:r w:rsidRPr="006B339A">
      <w:rPr>
        <w:sz w:val="22"/>
        <w:szCs w:val="22"/>
        <w:lang w:val="en-US"/>
      </w:rPr>
      <w:instrText>PAGE   \* MERGEFORMAT</w:instrText>
    </w:r>
    <w:r w:rsidRPr="004B55EF">
      <w:rPr>
        <w:sz w:val="22"/>
        <w:szCs w:val="22"/>
      </w:rPr>
      <w:fldChar w:fldCharType="separate"/>
    </w:r>
    <w:r w:rsidR="004D1D76">
      <w:rPr>
        <w:noProof/>
        <w:sz w:val="22"/>
        <w:szCs w:val="22"/>
        <w:lang w:val="en-US"/>
      </w:rPr>
      <w:t>201</w:t>
    </w:r>
    <w:r w:rsidRPr="004B55EF">
      <w:rPr>
        <w:sz w:val="22"/>
        <w:szCs w:val="22"/>
      </w:rPr>
      <w:fldChar w:fldCharType="end"/>
    </w:r>
  </w:p>
  <w:p w:rsidR="004163B9" w:rsidRPr="00CE1CFD" w:rsidRDefault="004163B9" w:rsidP="00A70202">
    <w:pPr>
      <w:pStyle w:val="Rodap"/>
      <w:spacing w:line="240" w:lineRule="auto"/>
      <w:jc w:val="left"/>
      <w:rPr>
        <w:lang w:val="en-US"/>
      </w:rPr>
    </w:pPr>
    <w:r w:rsidRPr="006B339A">
      <w:rPr>
        <w:color w:val="7F7F7F"/>
        <w:sz w:val="22"/>
        <w:szCs w:val="22"/>
        <w:lang w:val="en-US"/>
      </w:rPr>
      <w:t>www.shs.com.br</w: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3B9" w:rsidRPr="004B55EF" w:rsidRDefault="004163B9" w:rsidP="00A70202">
    <w:pPr>
      <w:pStyle w:val="Rodap"/>
      <w:spacing w:line="240" w:lineRule="auto"/>
      <w:jc w:val="left"/>
      <w:rPr>
        <w:color w:val="808080"/>
        <w:sz w:val="22"/>
        <w:szCs w:val="22"/>
      </w:rPr>
    </w:pPr>
    <w:r>
      <w:rPr>
        <w:color w:val="808080"/>
        <w:sz w:val="22"/>
        <w:szCs w:val="22"/>
      </w:rPr>
      <w:t>_______________________________________________</w:t>
    </w:r>
    <w:r w:rsidRPr="004B55EF">
      <w:rPr>
        <w:color w:val="808080"/>
        <w:sz w:val="22"/>
        <w:szCs w:val="22"/>
      </w:rPr>
      <w:t>_________________________________________</w:t>
    </w:r>
    <w:r>
      <w:rPr>
        <w:color w:val="808080"/>
        <w:sz w:val="22"/>
        <w:szCs w:val="22"/>
      </w:rPr>
      <w:t>_______</w:t>
    </w:r>
    <w:r w:rsidRPr="004B55EF">
      <w:rPr>
        <w:color w:val="808080"/>
        <w:sz w:val="22"/>
        <w:szCs w:val="22"/>
      </w:rPr>
      <w:t>______________________________</w:t>
    </w:r>
  </w:p>
  <w:p w:rsidR="004163B9" w:rsidRPr="006B339A" w:rsidRDefault="004163B9" w:rsidP="00A70202">
    <w:pPr>
      <w:pStyle w:val="Rodap"/>
      <w:spacing w:line="240" w:lineRule="auto"/>
      <w:jc w:val="left"/>
      <w:rPr>
        <w:sz w:val="22"/>
        <w:szCs w:val="22"/>
        <w:lang w:val="en-US"/>
      </w:rPr>
    </w:pPr>
    <w:r w:rsidRPr="004B55EF">
      <w:rPr>
        <w:color w:val="808080"/>
        <w:sz w:val="22"/>
        <w:szCs w:val="22"/>
      </w:rPr>
      <w:t xml:space="preserve">SHS Consultoria e Projetos de Engenharia Ltda.- </w:t>
    </w:r>
    <w:r w:rsidRPr="00A70202">
      <w:rPr>
        <w:color w:val="808080"/>
        <w:sz w:val="22"/>
        <w:szCs w:val="22"/>
      </w:rPr>
      <w:t>EPP</w:t>
    </w:r>
    <w:r w:rsidRPr="00A70202">
      <w:rPr>
        <w:color w:val="808080"/>
        <w:sz w:val="22"/>
        <w:szCs w:val="22"/>
      </w:rPr>
      <w:tab/>
      <w:t xml:space="preserve">                                                            </w:t>
    </w:r>
    <w:r>
      <w:rPr>
        <w:color w:val="808080"/>
        <w:sz w:val="22"/>
        <w:szCs w:val="22"/>
      </w:rPr>
      <w:t xml:space="preserve">      </w:t>
    </w:r>
    <w:r w:rsidRPr="004B55EF">
      <w:rPr>
        <w:sz w:val="22"/>
        <w:szCs w:val="22"/>
      </w:rPr>
      <w:fldChar w:fldCharType="begin"/>
    </w:r>
    <w:r w:rsidRPr="006B339A">
      <w:rPr>
        <w:sz w:val="22"/>
        <w:szCs w:val="22"/>
        <w:lang w:val="en-US"/>
      </w:rPr>
      <w:instrText>PAGE   \* MERGEFORMAT</w:instrText>
    </w:r>
    <w:r w:rsidRPr="004B55EF">
      <w:rPr>
        <w:sz w:val="22"/>
        <w:szCs w:val="22"/>
      </w:rPr>
      <w:fldChar w:fldCharType="separate"/>
    </w:r>
    <w:r w:rsidR="004D1D76">
      <w:rPr>
        <w:noProof/>
        <w:sz w:val="22"/>
        <w:szCs w:val="22"/>
        <w:lang w:val="en-US"/>
      </w:rPr>
      <w:t>203</w:t>
    </w:r>
    <w:r w:rsidRPr="004B55EF">
      <w:rPr>
        <w:sz w:val="22"/>
        <w:szCs w:val="22"/>
      </w:rPr>
      <w:fldChar w:fldCharType="end"/>
    </w:r>
  </w:p>
  <w:p w:rsidR="004163B9" w:rsidRPr="000D029E" w:rsidRDefault="004163B9" w:rsidP="00A70202">
    <w:pPr>
      <w:pStyle w:val="Rodap"/>
      <w:spacing w:line="240" w:lineRule="auto"/>
      <w:jc w:val="left"/>
      <w:rPr>
        <w:lang w:val="en-US"/>
      </w:rPr>
    </w:pPr>
    <w:r w:rsidRPr="006B339A">
      <w:rPr>
        <w:color w:val="7F7F7F"/>
        <w:sz w:val="22"/>
        <w:szCs w:val="22"/>
        <w:lang w:val="en-US"/>
      </w:rPr>
      <w:t>www.shs.com.br</w: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3B9" w:rsidRPr="004B55EF" w:rsidRDefault="004163B9" w:rsidP="00A70202">
    <w:pPr>
      <w:pStyle w:val="Rodap"/>
      <w:spacing w:line="240" w:lineRule="auto"/>
      <w:jc w:val="left"/>
      <w:rPr>
        <w:color w:val="808080"/>
        <w:sz w:val="22"/>
        <w:szCs w:val="22"/>
      </w:rPr>
    </w:pPr>
    <w:r w:rsidRPr="004B55EF">
      <w:rPr>
        <w:color w:val="808080"/>
        <w:sz w:val="22"/>
        <w:szCs w:val="22"/>
      </w:rPr>
      <w:t>________________________________________________________________________________</w:t>
    </w:r>
  </w:p>
  <w:p w:rsidR="004163B9" w:rsidRPr="006B339A" w:rsidRDefault="004163B9" w:rsidP="00A70202">
    <w:pPr>
      <w:pStyle w:val="Rodap"/>
      <w:spacing w:line="240" w:lineRule="auto"/>
      <w:jc w:val="left"/>
      <w:rPr>
        <w:sz w:val="22"/>
        <w:szCs w:val="22"/>
        <w:lang w:val="en-US"/>
      </w:rPr>
    </w:pPr>
    <w:r w:rsidRPr="004B55EF">
      <w:rPr>
        <w:color w:val="808080"/>
        <w:sz w:val="22"/>
        <w:szCs w:val="22"/>
      </w:rPr>
      <w:t xml:space="preserve">SHS Consultoria e Projetos de Engenharia Ltda.- </w:t>
    </w:r>
    <w:r>
      <w:rPr>
        <w:color w:val="808080"/>
        <w:sz w:val="22"/>
        <w:szCs w:val="22"/>
        <w:lang w:val="en-US"/>
      </w:rPr>
      <w:t>EPP</w:t>
    </w:r>
    <w:r>
      <w:rPr>
        <w:color w:val="808080"/>
        <w:sz w:val="22"/>
        <w:szCs w:val="22"/>
        <w:lang w:val="en-US"/>
      </w:rPr>
      <w:tab/>
      <w:t xml:space="preserve">                           </w:t>
    </w:r>
    <w:r w:rsidRPr="004B55EF">
      <w:rPr>
        <w:sz w:val="22"/>
        <w:szCs w:val="22"/>
      </w:rPr>
      <w:fldChar w:fldCharType="begin"/>
    </w:r>
    <w:r w:rsidRPr="006B339A">
      <w:rPr>
        <w:sz w:val="22"/>
        <w:szCs w:val="22"/>
        <w:lang w:val="en-US"/>
      </w:rPr>
      <w:instrText>PAGE   \* MERGEFORMAT</w:instrText>
    </w:r>
    <w:r w:rsidRPr="004B55EF">
      <w:rPr>
        <w:sz w:val="22"/>
        <w:szCs w:val="22"/>
      </w:rPr>
      <w:fldChar w:fldCharType="separate"/>
    </w:r>
    <w:r w:rsidR="004D1D76">
      <w:rPr>
        <w:noProof/>
        <w:sz w:val="22"/>
        <w:szCs w:val="22"/>
        <w:lang w:val="en-US"/>
      </w:rPr>
      <w:t>205</w:t>
    </w:r>
    <w:r w:rsidRPr="004B55EF">
      <w:rPr>
        <w:sz w:val="22"/>
        <w:szCs w:val="22"/>
      </w:rPr>
      <w:fldChar w:fldCharType="end"/>
    </w:r>
  </w:p>
  <w:p w:rsidR="004163B9" w:rsidRPr="00CE1CFD" w:rsidRDefault="004163B9" w:rsidP="00A70202">
    <w:pPr>
      <w:pStyle w:val="Rodap"/>
      <w:spacing w:line="240" w:lineRule="auto"/>
      <w:jc w:val="left"/>
      <w:rPr>
        <w:lang w:val="en-US"/>
      </w:rPr>
    </w:pPr>
    <w:r w:rsidRPr="006B339A">
      <w:rPr>
        <w:color w:val="7F7F7F"/>
        <w:sz w:val="22"/>
        <w:szCs w:val="22"/>
        <w:lang w:val="en-US"/>
      </w:rPr>
      <w:t>www.shs.com.br</w: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3B9" w:rsidRPr="004B55EF" w:rsidRDefault="004163B9" w:rsidP="00A70202">
    <w:pPr>
      <w:pStyle w:val="Rodap"/>
      <w:spacing w:line="240" w:lineRule="auto"/>
      <w:jc w:val="left"/>
      <w:rPr>
        <w:color w:val="808080"/>
        <w:sz w:val="22"/>
        <w:szCs w:val="22"/>
      </w:rPr>
    </w:pPr>
    <w:r>
      <w:rPr>
        <w:color w:val="808080"/>
        <w:sz w:val="22"/>
        <w:szCs w:val="22"/>
      </w:rPr>
      <w:t>_______________________________________________</w:t>
    </w:r>
    <w:r w:rsidRPr="004B55EF">
      <w:rPr>
        <w:color w:val="808080"/>
        <w:sz w:val="22"/>
        <w:szCs w:val="22"/>
      </w:rPr>
      <w:t>_________________________________________</w:t>
    </w:r>
    <w:r>
      <w:rPr>
        <w:color w:val="808080"/>
        <w:sz w:val="22"/>
        <w:szCs w:val="22"/>
      </w:rPr>
      <w:t>_______</w:t>
    </w:r>
    <w:r w:rsidRPr="004B55EF">
      <w:rPr>
        <w:color w:val="808080"/>
        <w:sz w:val="22"/>
        <w:szCs w:val="22"/>
      </w:rPr>
      <w:t>______________________________</w:t>
    </w:r>
  </w:p>
  <w:p w:rsidR="004163B9" w:rsidRPr="006B339A" w:rsidRDefault="004163B9" w:rsidP="00A70202">
    <w:pPr>
      <w:pStyle w:val="Rodap"/>
      <w:spacing w:line="240" w:lineRule="auto"/>
      <w:jc w:val="left"/>
      <w:rPr>
        <w:sz w:val="22"/>
        <w:szCs w:val="22"/>
        <w:lang w:val="en-US"/>
      </w:rPr>
    </w:pPr>
    <w:r w:rsidRPr="004B55EF">
      <w:rPr>
        <w:color w:val="808080"/>
        <w:sz w:val="22"/>
        <w:szCs w:val="22"/>
      </w:rPr>
      <w:t xml:space="preserve">SHS Consultoria e Projetos de Engenharia Ltda.- </w:t>
    </w:r>
    <w:r w:rsidRPr="00A70202">
      <w:rPr>
        <w:color w:val="808080"/>
        <w:sz w:val="22"/>
        <w:szCs w:val="22"/>
      </w:rPr>
      <w:t>EPP</w:t>
    </w:r>
    <w:r w:rsidRPr="00A70202">
      <w:rPr>
        <w:color w:val="808080"/>
        <w:sz w:val="22"/>
        <w:szCs w:val="22"/>
      </w:rPr>
      <w:tab/>
      <w:t xml:space="preserve">                                                            </w:t>
    </w:r>
    <w:r>
      <w:rPr>
        <w:color w:val="808080"/>
        <w:sz w:val="22"/>
        <w:szCs w:val="22"/>
      </w:rPr>
      <w:t xml:space="preserve">      </w:t>
    </w:r>
    <w:r w:rsidRPr="004B55EF">
      <w:rPr>
        <w:sz w:val="22"/>
        <w:szCs w:val="22"/>
      </w:rPr>
      <w:fldChar w:fldCharType="begin"/>
    </w:r>
    <w:r w:rsidRPr="006B339A">
      <w:rPr>
        <w:sz w:val="22"/>
        <w:szCs w:val="22"/>
        <w:lang w:val="en-US"/>
      </w:rPr>
      <w:instrText>PAGE   \* MERGEFORMAT</w:instrText>
    </w:r>
    <w:r w:rsidRPr="004B55EF">
      <w:rPr>
        <w:sz w:val="22"/>
        <w:szCs w:val="22"/>
      </w:rPr>
      <w:fldChar w:fldCharType="separate"/>
    </w:r>
    <w:r w:rsidR="004D1D76">
      <w:rPr>
        <w:noProof/>
        <w:sz w:val="22"/>
        <w:szCs w:val="22"/>
        <w:lang w:val="en-US"/>
      </w:rPr>
      <w:t>206</w:t>
    </w:r>
    <w:r w:rsidRPr="004B55EF">
      <w:rPr>
        <w:sz w:val="22"/>
        <w:szCs w:val="22"/>
      </w:rPr>
      <w:fldChar w:fldCharType="end"/>
    </w:r>
  </w:p>
  <w:p w:rsidR="004163B9" w:rsidRPr="000D029E" w:rsidRDefault="004163B9" w:rsidP="00A70202">
    <w:pPr>
      <w:pStyle w:val="Rodap"/>
      <w:spacing w:line="240" w:lineRule="auto"/>
      <w:jc w:val="left"/>
      <w:rPr>
        <w:lang w:val="en-US"/>
      </w:rPr>
    </w:pPr>
    <w:r w:rsidRPr="006B339A">
      <w:rPr>
        <w:color w:val="7F7F7F"/>
        <w:sz w:val="22"/>
        <w:szCs w:val="22"/>
        <w:lang w:val="en-US"/>
      </w:rPr>
      <w:t>www.shs.com.br</w: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3B9" w:rsidRPr="004B55EF" w:rsidRDefault="004163B9" w:rsidP="00A70202">
    <w:pPr>
      <w:pStyle w:val="Rodap"/>
      <w:spacing w:line="240" w:lineRule="auto"/>
      <w:jc w:val="left"/>
      <w:rPr>
        <w:color w:val="808080"/>
        <w:sz w:val="22"/>
        <w:szCs w:val="22"/>
      </w:rPr>
    </w:pPr>
    <w:r w:rsidRPr="004B55EF">
      <w:rPr>
        <w:color w:val="808080"/>
        <w:sz w:val="22"/>
        <w:szCs w:val="22"/>
      </w:rPr>
      <w:t>________________________________________________________________________________</w:t>
    </w:r>
  </w:p>
  <w:p w:rsidR="004163B9" w:rsidRPr="006B339A" w:rsidRDefault="004163B9" w:rsidP="00A70202">
    <w:pPr>
      <w:pStyle w:val="Rodap"/>
      <w:spacing w:line="240" w:lineRule="auto"/>
      <w:jc w:val="left"/>
      <w:rPr>
        <w:sz w:val="22"/>
        <w:szCs w:val="22"/>
        <w:lang w:val="en-US"/>
      </w:rPr>
    </w:pPr>
    <w:r w:rsidRPr="004B55EF">
      <w:rPr>
        <w:color w:val="808080"/>
        <w:sz w:val="22"/>
        <w:szCs w:val="22"/>
      </w:rPr>
      <w:t xml:space="preserve">SHS Consultoria e Projetos de Engenharia Ltda.- </w:t>
    </w:r>
    <w:r>
      <w:rPr>
        <w:color w:val="808080"/>
        <w:sz w:val="22"/>
        <w:szCs w:val="22"/>
        <w:lang w:val="en-US"/>
      </w:rPr>
      <w:t>EPP</w:t>
    </w:r>
    <w:r>
      <w:rPr>
        <w:color w:val="808080"/>
        <w:sz w:val="22"/>
        <w:szCs w:val="22"/>
        <w:lang w:val="en-US"/>
      </w:rPr>
      <w:tab/>
      <w:t xml:space="preserve">                           </w:t>
    </w:r>
    <w:r w:rsidRPr="004B55EF">
      <w:rPr>
        <w:sz w:val="22"/>
        <w:szCs w:val="22"/>
      </w:rPr>
      <w:fldChar w:fldCharType="begin"/>
    </w:r>
    <w:r w:rsidRPr="006B339A">
      <w:rPr>
        <w:sz w:val="22"/>
        <w:szCs w:val="22"/>
        <w:lang w:val="en-US"/>
      </w:rPr>
      <w:instrText>PAGE   \* MERGEFORMAT</w:instrText>
    </w:r>
    <w:r w:rsidRPr="004B55EF">
      <w:rPr>
        <w:sz w:val="22"/>
        <w:szCs w:val="22"/>
      </w:rPr>
      <w:fldChar w:fldCharType="separate"/>
    </w:r>
    <w:r w:rsidR="004D1D76">
      <w:rPr>
        <w:noProof/>
        <w:sz w:val="22"/>
        <w:szCs w:val="22"/>
        <w:lang w:val="en-US"/>
      </w:rPr>
      <w:t>207</w:t>
    </w:r>
    <w:r w:rsidRPr="004B55EF">
      <w:rPr>
        <w:sz w:val="22"/>
        <w:szCs w:val="22"/>
      </w:rPr>
      <w:fldChar w:fldCharType="end"/>
    </w:r>
  </w:p>
  <w:p w:rsidR="004163B9" w:rsidRPr="00CE1CFD" w:rsidRDefault="004163B9" w:rsidP="00A70202">
    <w:pPr>
      <w:pStyle w:val="Rodap"/>
      <w:spacing w:line="240" w:lineRule="auto"/>
      <w:jc w:val="left"/>
      <w:rPr>
        <w:lang w:val="en-US"/>
      </w:rPr>
    </w:pPr>
    <w:r w:rsidRPr="006B339A">
      <w:rPr>
        <w:color w:val="7F7F7F"/>
        <w:sz w:val="22"/>
        <w:szCs w:val="22"/>
        <w:lang w:val="en-US"/>
      </w:rPr>
      <w:t>www.shs.com.br</w: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3B9" w:rsidRPr="004B55EF" w:rsidRDefault="004163B9" w:rsidP="00A70202">
    <w:pPr>
      <w:pStyle w:val="Rodap"/>
      <w:spacing w:line="240" w:lineRule="auto"/>
      <w:jc w:val="left"/>
      <w:rPr>
        <w:color w:val="808080"/>
        <w:sz w:val="22"/>
        <w:szCs w:val="22"/>
      </w:rPr>
    </w:pPr>
    <w:r>
      <w:rPr>
        <w:color w:val="808080"/>
        <w:sz w:val="22"/>
        <w:szCs w:val="22"/>
      </w:rPr>
      <w:t>_______________________________________________</w:t>
    </w:r>
    <w:r w:rsidRPr="004B55EF">
      <w:rPr>
        <w:color w:val="808080"/>
        <w:sz w:val="22"/>
        <w:szCs w:val="22"/>
      </w:rPr>
      <w:t>_________________________________________</w:t>
    </w:r>
    <w:r>
      <w:rPr>
        <w:color w:val="808080"/>
        <w:sz w:val="22"/>
        <w:szCs w:val="22"/>
      </w:rPr>
      <w:t>_______</w:t>
    </w:r>
    <w:r w:rsidRPr="004B55EF">
      <w:rPr>
        <w:color w:val="808080"/>
        <w:sz w:val="22"/>
        <w:szCs w:val="22"/>
      </w:rPr>
      <w:t>______________________________</w:t>
    </w:r>
  </w:p>
  <w:p w:rsidR="004163B9" w:rsidRPr="006B339A" w:rsidRDefault="004163B9" w:rsidP="00A70202">
    <w:pPr>
      <w:pStyle w:val="Rodap"/>
      <w:spacing w:line="240" w:lineRule="auto"/>
      <w:jc w:val="left"/>
      <w:rPr>
        <w:sz w:val="22"/>
        <w:szCs w:val="22"/>
        <w:lang w:val="en-US"/>
      </w:rPr>
    </w:pPr>
    <w:r w:rsidRPr="004B55EF">
      <w:rPr>
        <w:color w:val="808080"/>
        <w:sz w:val="22"/>
        <w:szCs w:val="22"/>
      </w:rPr>
      <w:t xml:space="preserve">SHS Consultoria e Projetos de Engenharia Ltda.- </w:t>
    </w:r>
    <w:r w:rsidRPr="00A70202">
      <w:rPr>
        <w:color w:val="808080"/>
        <w:sz w:val="22"/>
        <w:szCs w:val="22"/>
      </w:rPr>
      <w:t>EPP</w:t>
    </w:r>
    <w:r w:rsidRPr="00A70202">
      <w:rPr>
        <w:color w:val="808080"/>
        <w:sz w:val="22"/>
        <w:szCs w:val="22"/>
      </w:rPr>
      <w:tab/>
      <w:t xml:space="preserve">                                                            </w:t>
    </w:r>
    <w:r>
      <w:rPr>
        <w:color w:val="808080"/>
        <w:sz w:val="22"/>
        <w:szCs w:val="22"/>
      </w:rPr>
      <w:t xml:space="preserve">      </w:t>
    </w:r>
    <w:r w:rsidRPr="004B55EF">
      <w:rPr>
        <w:sz w:val="22"/>
        <w:szCs w:val="22"/>
      </w:rPr>
      <w:fldChar w:fldCharType="begin"/>
    </w:r>
    <w:r w:rsidRPr="006B339A">
      <w:rPr>
        <w:sz w:val="22"/>
        <w:szCs w:val="22"/>
        <w:lang w:val="en-US"/>
      </w:rPr>
      <w:instrText>PAGE   \* MERGEFORMAT</w:instrText>
    </w:r>
    <w:r w:rsidRPr="004B55EF">
      <w:rPr>
        <w:sz w:val="22"/>
        <w:szCs w:val="22"/>
      </w:rPr>
      <w:fldChar w:fldCharType="separate"/>
    </w:r>
    <w:r w:rsidR="004D1D76">
      <w:rPr>
        <w:noProof/>
        <w:sz w:val="22"/>
        <w:szCs w:val="22"/>
        <w:lang w:val="en-US"/>
      </w:rPr>
      <w:t>209</w:t>
    </w:r>
    <w:r w:rsidRPr="004B55EF">
      <w:rPr>
        <w:sz w:val="22"/>
        <w:szCs w:val="22"/>
      </w:rPr>
      <w:fldChar w:fldCharType="end"/>
    </w:r>
  </w:p>
  <w:p w:rsidR="004163B9" w:rsidRPr="000D029E" w:rsidRDefault="004163B9" w:rsidP="00A70202">
    <w:pPr>
      <w:pStyle w:val="Rodap"/>
      <w:spacing w:line="240" w:lineRule="auto"/>
      <w:jc w:val="left"/>
      <w:rPr>
        <w:lang w:val="en-US"/>
      </w:rPr>
    </w:pPr>
    <w:r w:rsidRPr="006B339A">
      <w:rPr>
        <w:color w:val="7F7F7F"/>
        <w:sz w:val="22"/>
        <w:szCs w:val="22"/>
        <w:lang w:val="en-US"/>
      </w:rPr>
      <w:t>www.shs.com.br</w: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3B9" w:rsidRPr="004B55EF" w:rsidRDefault="004163B9" w:rsidP="00A70202">
    <w:pPr>
      <w:pStyle w:val="Rodap"/>
      <w:spacing w:line="240" w:lineRule="auto"/>
      <w:jc w:val="left"/>
      <w:rPr>
        <w:color w:val="808080"/>
        <w:sz w:val="22"/>
        <w:szCs w:val="22"/>
      </w:rPr>
    </w:pPr>
    <w:r w:rsidRPr="004B55EF">
      <w:rPr>
        <w:color w:val="808080"/>
        <w:sz w:val="22"/>
        <w:szCs w:val="22"/>
      </w:rPr>
      <w:t>________________________________________________________________________________</w:t>
    </w:r>
  </w:p>
  <w:p w:rsidR="004163B9" w:rsidRPr="006B339A" w:rsidRDefault="004163B9" w:rsidP="00A70202">
    <w:pPr>
      <w:pStyle w:val="Rodap"/>
      <w:spacing w:line="240" w:lineRule="auto"/>
      <w:jc w:val="left"/>
      <w:rPr>
        <w:sz w:val="22"/>
        <w:szCs w:val="22"/>
        <w:lang w:val="en-US"/>
      </w:rPr>
    </w:pPr>
    <w:r w:rsidRPr="004B55EF">
      <w:rPr>
        <w:color w:val="808080"/>
        <w:sz w:val="22"/>
        <w:szCs w:val="22"/>
      </w:rPr>
      <w:t xml:space="preserve">SHS Consultoria e Projetos de Engenharia Ltda.- </w:t>
    </w:r>
    <w:r>
      <w:rPr>
        <w:color w:val="808080"/>
        <w:sz w:val="22"/>
        <w:szCs w:val="22"/>
        <w:lang w:val="en-US"/>
      </w:rPr>
      <w:t>EPP</w:t>
    </w:r>
    <w:r>
      <w:rPr>
        <w:color w:val="808080"/>
        <w:sz w:val="22"/>
        <w:szCs w:val="22"/>
        <w:lang w:val="en-US"/>
      </w:rPr>
      <w:tab/>
      <w:t xml:space="preserve">                           </w:t>
    </w:r>
    <w:r w:rsidRPr="004B55EF">
      <w:rPr>
        <w:sz w:val="22"/>
        <w:szCs w:val="22"/>
      </w:rPr>
      <w:fldChar w:fldCharType="begin"/>
    </w:r>
    <w:r w:rsidRPr="006B339A">
      <w:rPr>
        <w:sz w:val="22"/>
        <w:szCs w:val="22"/>
        <w:lang w:val="en-US"/>
      </w:rPr>
      <w:instrText>PAGE   \* MERGEFORMAT</w:instrText>
    </w:r>
    <w:r w:rsidRPr="004B55EF">
      <w:rPr>
        <w:sz w:val="22"/>
        <w:szCs w:val="22"/>
      </w:rPr>
      <w:fldChar w:fldCharType="separate"/>
    </w:r>
    <w:r w:rsidR="004D1D76">
      <w:rPr>
        <w:noProof/>
        <w:sz w:val="22"/>
        <w:szCs w:val="22"/>
        <w:lang w:val="en-US"/>
      </w:rPr>
      <w:t>211</w:t>
    </w:r>
    <w:r w:rsidRPr="004B55EF">
      <w:rPr>
        <w:sz w:val="22"/>
        <w:szCs w:val="22"/>
      </w:rPr>
      <w:fldChar w:fldCharType="end"/>
    </w:r>
  </w:p>
  <w:p w:rsidR="004163B9" w:rsidRPr="00CE1CFD" w:rsidRDefault="004163B9" w:rsidP="00A70202">
    <w:pPr>
      <w:pStyle w:val="Rodap"/>
      <w:spacing w:line="240" w:lineRule="auto"/>
      <w:jc w:val="left"/>
      <w:rPr>
        <w:lang w:val="en-US"/>
      </w:rPr>
    </w:pPr>
    <w:r w:rsidRPr="006B339A">
      <w:rPr>
        <w:color w:val="7F7F7F"/>
        <w:sz w:val="22"/>
        <w:szCs w:val="22"/>
        <w:lang w:val="en-US"/>
      </w:rPr>
      <w:t>www.shs.com.br</w: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3B9" w:rsidRPr="004B55EF" w:rsidRDefault="004163B9" w:rsidP="00A70202">
    <w:pPr>
      <w:pStyle w:val="Rodap"/>
      <w:spacing w:line="240" w:lineRule="auto"/>
      <w:jc w:val="left"/>
      <w:rPr>
        <w:color w:val="808080"/>
        <w:sz w:val="22"/>
        <w:szCs w:val="22"/>
      </w:rPr>
    </w:pPr>
    <w:r>
      <w:rPr>
        <w:color w:val="808080"/>
        <w:sz w:val="22"/>
        <w:szCs w:val="22"/>
      </w:rPr>
      <w:t>_______________________________________________</w:t>
    </w:r>
    <w:r w:rsidRPr="004B55EF">
      <w:rPr>
        <w:color w:val="808080"/>
        <w:sz w:val="22"/>
        <w:szCs w:val="22"/>
      </w:rPr>
      <w:t>_________________________________________</w:t>
    </w:r>
    <w:r>
      <w:rPr>
        <w:color w:val="808080"/>
        <w:sz w:val="22"/>
        <w:szCs w:val="22"/>
      </w:rPr>
      <w:t>_______</w:t>
    </w:r>
    <w:r w:rsidRPr="004B55EF">
      <w:rPr>
        <w:color w:val="808080"/>
        <w:sz w:val="22"/>
        <w:szCs w:val="22"/>
      </w:rPr>
      <w:t>______________________________</w:t>
    </w:r>
  </w:p>
  <w:p w:rsidR="004163B9" w:rsidRPr="006B339A" w:rsidRDefault="004163B9" w:rsidP="00A70202">
    <w:pPr>
      <w:pStyle w:val="Rodap"/>
      <w:spacing w:line="240" w:lineRule="auto"/>
      <w:jc w:val="left"/>
      <w:rPr>
        <w:sz w:val="22"/>
        <w:szCs w:val="22"/>
        <w:lang w:val="en-US"/>
      </w:rPr>
    </w:pPr>
    <w:r w:rsidRPr="004B55EF">
      <w:rPr>
        <w:color w:val="808080"/>
        <w:sz w:val="22"/>
        <w:szCs w:val="22"/>
      </w:rPr>
      <w:t xml:space="preserve">SHS Consultoria e Projetos de Engenharia Ltda.- </w:t>
    </w:r>
    <w:r w:rsidRPr="00A70202">
      <w:rPr>
        <w:color w:val="808080"/>
        <w:sz w:val="22"/>
        <w:szCs w:val="22"/>
      </w:rPr>
      <w:t>EPP</w:t>
    </w:r>
    <w:r w:rsidRPr="00A70202">
      <w:rPr>
        <w:color w:val="808080"/>
        <w:sz w:val="22"/>
        <w:szCs w:val="22"/>
      </w:rPr>
      <w:tab/>
      <w:t xml:space="preserve">                                                            </w:t>
    </w:r>
    <w:r>
      <w:rPr>
        <w:color w:val="808080"/>
        <w:sz w:val="22"/>
        <w:szCs w:val="22"/>
      </w:rPr>
      <w:t xml:space="preserve">      </w:t>
    </w:r>
    <w:r w:rsidRPr="004B55EF">
      <w:rPr>
        <w:sz w:val="22"/>
        <w:szCs w:val="22"/>
      </w:rPr>
      <w:fldChar w:fldCharType="begin"/>
    </w:r>
    <w:r w:rsidRPr="006B339A">
      <w:rPr>
        <w:sz w:val="22"/>
        <w:szCs w:val="22"/>
        <w:lang w:val="en-US"/>
      </w:rPr>
      <w:instrText>PAGE   \* MERGEFORMAT</w:instrText>
    </w:r>
    <w:r w:rsidRPr="004B55EF">
      <w:rPr>
        <w:sz w:val="22"/>
        <w:szCs w:val="22"/>
      </w:rPr>
      <w:fldChar w:fldCharType="separate"/>
    </w:r>
    <w:r w:rsidR="004D1D76">
      <w:rPr>
        <w:noProof/>
        <w:sz w:val="22"/>
        <w:szCs w:val="22"/>
        <w:lang w:val="en-US"/>
      </w:rPr>
      <w:t>213</w:t>
    </w:r>
    <w:r w:rsidRPr="004B55EF">
      <w:rPr>
        <w:sz w:val="22"/>
        <w:szCs w:val="22"/>
      </w:rPr>
      <w:fldChar w:fldCharType="end"/>
    </w:r>
  </w:p>
  <w:p w:rsidR="004163B9" w:rsidRPr="000D029E" w:rsidRDefault="004163B9" w:rsidP="00A70202">
    <w:pPr>
      <w:pStyle w:val="Rodap"/>
      <w:spacing w:line="240" w:lineRule="auto"/>
      <w:jc w:val="left"/>
      <w:rPr>
        <w:lang w:val="en-US"/>
      </w:rPr>
    </w:pPr>
    <w:r w:rsidRPr="006B339A">
      <w:rPr>
        <w:color w:val="7F7F7F"/>
        <w:sz w:val="22"/>
        <w:szCs w:val="22"/>
        <w:lang w:val="en-US"/>
      </w:rPr>
      <w:t>www.shs.com.br</w: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3B9" w:rsidRPr="004B55EF" w:rsidRDefault="004163B9" w:rsidP="00B94A15">
    <w:pPr>
      <w:pStyle w:val="Rodap"/>
      <w:spacing w:line="240" w:lineRule="auto"/>
      <w:jc w:val="left"/>
      <w:rPr>
        <w:color w:val="808080"/>
        <w:sz w:val="22"/>
        <w:szCs w:val="22"/>
      </w:rPr>
    </w:pPr>
    <w:r w:rsidRPr="004B55EF">
      <w:rPr>
        <w:color w:val="808080"/>
        <w:sz w:val="22"/>
        <w:szCs w:val="22"/>
      </w:rPr>
      <w:t>_________________________________________</w:t>
    </w:r>
    <w:r>
      <w:rPr>
        <w:color w:val="808080"/>
        <w:sz w:val="22"/>
        <w:szCs w:val="22"/>
      </w:rPr>
      <w:t>_______</w:t>
    </w:r>
    <w:r w:rsidRPr="004B55EF">
      <w:rPr>
        <w:color w:val="808080"/>
        <w:sz w:val="22"/>
        <w:szCs w:val="22"/>
      </w:rPr>
      <w:t>___________________________________</w:t>
    </w:r>
  </w:p>
  <w:p w:rsidR="004163B9" w:rsidRPr="00A70202" w:rsidRDefault="004163B9" w:rsidP="00B94A15">
    <w:pPr>
      <w:pStyle w:val="Rodap"/>
      <w:spacing w:line="240" w:lineRule="auto"/>
      <w:jc w:val="left"/>
      <w:rPr>
        <w:sz w:val="22"/>
        <w:szCs w:val="22"/>
      </w:rPr>
    </w:pPr>
    <w:r w:rsidRPr="004B55EF">
      <w:rPr>
        <w:color w:val="808080"/>
        <w:sz w:val="22"/>
        <w:szCs w:val="22"/>
      </w:rPr>
      <w:t xml:space="preserve">SHS Consultoria e Projetos de Engenharia Ltda.- </w:t>
    </w:r>
    <w:r w:rsidRPr="00A70202">
      <w:rPr>
        <w:color w:val="808080"/>
        <w:sz w:val="22"/>
        <w:szCs w:val="22"/>
      </w:rPr>
      <w:t>EPP</w:t>
    </w:r>
    <w:r>
      <w:rPr>
        <w:color w:val="808080"/>
        <w:sz w:val="22"/>
        <w:szCs w:val="22"/>
      </w:rPr>
      <w:tab/>
    </w:r>
    <w:r>
      <w:rPr>
        <w:color w:val="808080"/>
        <w:sz w:val="22"/>
        <w:szCs w:val="22"/>
      </w:rPr>
      <w:tab/>
    </w:r>
    <w:r w:rsidRPr="004B55EF">
      <w:rPr>
        <w:sz w:val="22"/>
        <w:szCs w:val="22"/>
      </w:rPr>
      <w:fldChar w:fldCharType="begin"/>
    </w:r>
    <w:r w:rsidRPr="00A70202">
      <w:rPr>
        <w:sz w:val="22"/>
        <w:szCs w:val="22"/>
      </w:rPr>
      <w:instrText>PAGE   \* MERGEFORMAT</w:instrText>
    </w:r>
    <w:r w:rsidRPr="004B55EF">
      <w:rPr>
        <w:sz w:val="22"/>
        <w:szCs w:val="22"/>
      </w:rPr>
      <w:fldChar w:fldCharType="separate"/>
    </w:r>
    <w:r w:rsidR="004D1D76">
      <w:rPr>
        <w:noProof/>
        <w:sz w:val="22"/>
        <w:szCs w:val="22"/>
      </w:rPr>
      <w:t>214</w:t>
    </w:r>
    <w:r w:rsidRPr="004B55EF">
      <w:rPr>
        <w:sz w:val="22"/>
        <w:szCs w:val="22"/>
      </w:rPr>
      <w:fldChar w:fldCharType="end"/>
    </w:r>
  </w:p>
  <w:p w:rsidR="004163B9" w:rsidRPr="00A70202" w:rsidRDefault="004163B9" w:rsidP="00B94A15">
    <w:pPr>
      <w:pStyle w:val="Rodap"/>
      <w:spacing w:line="240" w:lineRule="auto"/>
      <w:jc w:val="left"/>
    </w:pPr>
    <w:r w:rsidRPr="00A70202">
      <w:rPr>
        <w:color w:val="7F7F7F"/>
        <w:sz w:val="22"/>
        <w:szCs w:val="22"/>
      </w:rPr>
      <w:t>www.shs.com.br</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3B9" w:rsidRPr="009E6826" w:rsidRDefault="004163B9" w:rsidP="00193B74">
    <w:pPr>
      <w:pStyle w:val="Rodap"/>
      <w:pBdr>
        <w:top w:val="single" w:sz="4" w:space="1" w:color="7F7F7F"/>
      </w:pBdr>
      <w:spacing w:line="240" w:lineRule="auto"/>
      <w:rPr>
        <w:i w:val="0"/>
        <w:color w:val="7F7F7F"/>
        <w:sz w:val="22"/>
        <w:szCs w:val="22"/>
      </w:rPr>
    </w:pPr>
    <w:r w:rsidRPr="009E6826">
      <w:rPr>
        <w:color w:val="808080"/>
        <w:sz w:val="22"/>
        <w:szCs w:val="22"/>
      </w:rPr>
      <w:t>SHS Consultoria e Projetos de Engenharia Ltda.</w:t>
    </w:r>
    <w:r>
      <w:rPr>
        <w:color w:val="808080"/>
        <w:sz w:val="22"/>
        <w:szCs w:val="22"/>
      </w:rPr>
      <w:t>- EPP</w:t>
    </w:r>
    <w:r>
      <w:rPr>
        <w:color w:val="808080"/>
        <w:sz w:val="22"/>
        <w:szCs w:val="22"/>
      </w:rPr>
      <w:tab/>
    </w:r>
  </w:p>
  <w:p w:rsidR="004163B9" w:rsidRPr="009E6826" w:rsidRDefault="004163B9" w:rsidP="00193B74">
    <w:pPr>
      <w:pStyle w:val="Rodap"/>
      <w:pBdr>
        <w:top w:val="single" w:sz="4" w:space="1" w:color="7F7F7F"/>
      </w:pBdr>
      <w:spacing w:line="240" w:lineRule="auto"/>
      <w:rPr>
        <w:i w:val="0"/>
        <w:color w:val="7F7F7F"/>
        <w:sz w:val="22"/>
        <w:szCs w:val="22"/>
      </w:rPr>
    </w:pPr>
    <w:r w:rsidRPr="009E6826">
      <w:rPr>
        <w:color w:val="7F7F7F"/>
        <w:sz w:val="22"/>
        <w:szCs w:val="22"/>
      </w:rPr>
      <w:t>www.shs.com.br</w:t>
    </w:r>
  </w:p>
  <w:p w:rsidR="004163B9" w:rsidRDefault="004163B9"/>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3B9" w:rsidRPr="004B55EF" w:rsidRDefault="004163B9" w:rsidP="00B94A15">
    <w:pPr>
      <w:pStyle w:val="Rodap"/>
      <w:spacing w:line="240" w:lineRule="auto"/>
      <w:jc w:val="left"/>
      <w:rPr>
        <w:color w:val="808080"/>
        <w:sz w:val="22"/>
        <w:szCs w:val="22"/>
      </w:rPr>
    </w:pPr>
    <w:r>
      <w:rPr>
        <w:color w:val="808080"/>
        <w:sz w:val="22"/>
        <w:szCs w:val="22"/>
      </w:rPr>
      <w:t>_______________________________________________</w:t>
    </w:r>
    <w:r w:rsidRPr="004B55EF">
      <w:rPr>
        <w:color w:val="808080"/>
        <w:sz w:val="22"/>
        <w:szCs w:val="22"/>
      </w:rPr>
      <w:t>_________________________________________</w:t>
    </w:r>
    <w:r>
      <w:rPr>
        <w:color w:val="808080"/>
        <w:sz w:val="22"/>
        <w:szCs w:val="22"/>
      </w:rPr>
      <w:t>_______</w:t>
    </w:r>
    <w:r w:rsidRPr="004B55EF">
      <w:rPr>
        <w:color w:val="808080"/>
        <w:sz w:val="22"/>
        <w:szCs w:val="22"/>
      </w:rPr>
      <w:t>______________________________</w:t>
    </w:r>
  </w:p>
  <w:p w:rsidR="004163B9" w:rsidRPr="006B339A" w:rsidRDefault="004163B9" w:rsidP="00B94A15">
    <w:pPr>
      <w:pStyle w:val="Rodap"/>
      <w:spacing w:line="240" w:lineRule="auto"/>
      <w:jc w:val="left"/>
      <w:rPr>
        <w:sz w:val="22"/>
        <w:szCs w:val="22"/>
        <w:lang w:val="en-US"/>
      </w:rPr>
    </w:pPr>
    <w:r w:rsidRPr="004B55EF">
      <w:rPr>
        <w:color w:val="808080"/>
        <w:sz w:val="22"/>
        <w:szCs w:val="22"/>
      </w:rPr>
      <w:t xml:space="preserve">SHS Consultoria e Projetos de Engenharia Ltda.- </w:t>
    </w:r>
    <w:r w:rsidRPr="00A70202">
      <w:rPr>
        <w:color w:val="808080"/>
        <w:sz w:val="22"/>
        <w:szCs w:val="22"/>
      </w:rPr>
      <w:t>EPP</w:t>
    </w:r>
    <w:r w:rsidRPr="00A70202">
      <w:rPr>
        <w:color w:val="808080"/>
        <w:sz w:val="22"/>
        <w:szCs w:val="22"/>
      </w:rPr>
      <w:tab/>
      <w:t xml:space="preserve">                                                            </w:t>
    </w:r>
    <w:r>
      <w:rPr>
        <w:color w:val="808080"/>
        <w:sz w:val="22"/>
        <w:szCs w:val="22"/>
      </w:rPr>
      <w:t xml:space="preserve">      </w:t>
    </w:r>
    <w:r w:rsidRPr="004B55EF">
      <w:rPr>
        <w:sz w:val="22"/>
        <w:szCs w:val="22"/>
      </w:rPr>
      <w:fldChar w:fldCharType="begin"/>
    </w:r>
    <w:r w:rsidRPr="006B339A">
      <w:rPr>
        <w:sz w:val="22"/>
        <w:szCs w:val="22"/>
        <w:lang w:val="en-US"/>
      </w:rPr>
      <w:instrText>PAGE   \* MERGEFORMAT</w:instrText>
    </w:r>
    <w:r w:rsidRPr="004B55EF">
      <w:rPr>
        <w:sz w:val="22"/>
        <w:szCs w:val="22"/>
      </w:rPr>
      <w:fldChar w:fldCharType="separate"/>
    </w:r>
    <w:r w:rsidR="004D1D76">
      <w:rPr>
        <w:noProof/>
        <w:sz w:val="22"/>
        <w:szCs w:val="22"/>
        <w:lang w:val="en-US"/>
      </w:rPr>
      <w:t>216</w:t>
    </w:r>
    <w:r w:rsidRPr="004B55EF">
      <w:rPr>
        <w:sz w:val="22"/>
        <w:szCs w:val="22"/>
      </w:rPr>
      <w:fldChar w:fldCharType="end"/>
    </w:r>
  </w:p>
  <w:p w:rsidR="004163B9" w:rsidRPr="000D029E" w:rsidRDefault="004163B9" w:rsidP="00B94A15">
    <w:pPr>
      <w:pStyle w:val="Rodap"/>
      <w:spacing w:line="240" w:lineRule="auto"/>
      <w:jc w:val="left"/>
      <w:rPr>
        <w:lang w:val="en-US"/>
      </w:rPr>
    </w:pPr>
    <w:r w:rsidRPr="006B339A">
      <w:rPr>
        <w:color w:val="7F7F7F"/>
        <w:sz w:val="22"/>
        <w:szCs w:val="22"/>
        <w:lang w:val="en-US"/>
      </w:rPr>
      <w:t>www.shs.com.br</w:t>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3B9" w:rsidRPr="004B55EF" w:rsidRDefault="004163B9" w:rsidP="00A70202">
    <w:pPr>
      <w:pStyle w:val="Rodap"/>
      <w:spacing w:line="240" w:lineRule="auto"/>
      <w:jc w:val="left"/>
      <w:rPr>
        <w:color w:val="808080"/>
        <w:sz w:val="22"/>
        <w:szCs w:val="22"/>
      </w:rPr>
    </w:pPr>
    <w:r w:rsidRPr="004B55EF">
      <w:rPr>
        <w:color w:val="808080"/>
        <w:sz w:val="22"/>
        <w:szCs w:val="22"/>
      </w:rPr>
      <w:t>________________________________________________________________________________</w:t>
    </w:r>
  </w:p>
  <w:p w:rsidR="004163B9" w:rsidRPr="006B339A" w:rsidRDefault="004163B9" w:rsidP="00A70202">
    <w:pPr>
      <w:pStyle w:val="Rodap"/>
      <w:spacing w:line="240" w:lineRule="auto"/>
      <w:jc w:val="left"/>
      <w:rPr>
        <w:sz w:val="22"/>
        <w:szCs w:val="22"/>
        <w:lang w:val="en-US"/>
      </w:rPr>
    </w:pPr>
    <w:r w:rsidRPr="004B55EF">
      <w:rPr>
        <w:color w:val="808080"/>
        <w:sz w:val="22"/>
        <w:szCs w:val="22"/>
      </w:rPr>
      <w:t xml:space="preserve">SHS Consultoria e Projetos de Engenharia Ltda.- </w:t>
    </w:r>
    <w:r>
      <w:rPr>
        <w:color w:val="808080"/>
        <w:sz w:val="22"/>
        <w:szCs w:val="22"/>
        <w:lang w:val="en-US"/>
      </w:rPr>
      <w:t>EPP</w:t>
    </w:r>
    <w:r>
      <w:rPr>
        <w:color w:val="808080"/>
        <w:sz w:val="22"/>
        <w:szCs w:val="22"/>
        <w:lang w:val="en-US"/>
      </w:rPr>
      <w:tab/>
      <w:t xml:space="preserve">                           </w:t>
    </w:r>
    <w:r w:rsidRPr="004B55EF">
      <w:rPr>
        <w:sz w:val="22"/>
        <w:szCs w:val="22"/>
      </w:rPr>
      <w:fldChar w:fldCharType="begin"/>
    </w:r>
    <w:r w:rsidRPr="006B339A">
      <w:rPr>
        <w:sz w:val="22"/>
        <w:szCs w:val="22"/>
        <w:lang w:val="en-US"/>
      </w:rPr>
      <w:instrText>PAGE   \* MERGEFORMAT</w:instrText>
    </w:r>
    <w:r w:rsidRPr="004B55EF">
      <w:rPr>
        <w:sz w:val="22"/>
        <w:szCs w:val="22"/>
      </w:rPr>
      <w:fldChar w:fldCharType="separate"/>
    </w:r>
    <w:r w:rsidR="004D1D76">
      <w:rPr>
        <w:noProof/>
        <w:sz w:val="22"/>
        <w:szCs w:val="22"/>
        <w:lang w:val="en-US"/>
      </w:rPr>
      <w:t>218</w:t>
    </w:r>
    <w:r w:rsidRPr="004B55EF">
      <w:rPr>
        <w:sz w:val="22"/>
        <w:szCs w:val="22"/>
      </w:rPr>
      <w:fldChar w:fldCharType="end"/>
    </w:r>
  </w:p>
  <w:p w:rsidR="004163B9" w:rsidRPr="00CE1CFD" w:rsidRDefault="004163B9" w:rsidP="00A70202">
    <w:pPr>
      <w:pStyle w:val="Rodap"/>
      <w:spacing w:line="240" w:lineRule="auto"/>
      <w:jc w:val="left"/>
      <w:rPr>
        <w:lang w:val="en-US"/>
      </w:rPr>
    </w:pPr>
    <w:r w:rsidRPr="006B339A">
      <w:rPr>
        <w:color w:val="7F7F7F"/>
        <w:sz w:val="22"/>
        <w:szCs w:val="22"/>
        <w:lang w:val="en-US"/>
      </w:rPr>
      <w:t>www.shs.com.br</w:t>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3B9" w:rsidRPr="004B55EF" w:rsidRDefault="004163B9" w:rsidP="00A70202">
    <w:pPr>
      <w:pStyle w:val="Rodap"/>
      <w:spacing w:line="240" w:lineRule="auto"/>
      <w:jc w:val="left"/>
      <w:rPr>
        <w:color w:val="808080"/>
        <w:sz w:val="22"/>
        <w:szCs w:val="22"/>
      </w:rPr>
    </w:pPr>
    <w:r>
      <w:rPr>
        <w:color w:val="808080"/>
        <w:sz w:val="22"/>
        <w:szCs w:val="22"/>
      </w:rPr>
      <w:t>_______________________________________________</w:t>
    </w:r>
    <w:r w:rsidRPr="004B55EF">
      <w:rPr>
        <w:color w:val="808080"/>
        <w:sz w:val="22"/>
        <w:szCs w:val="22"/>
      </w:rPr>
      <w:t>_________________________________________</w:t>
    </w:r>
    <w:r>
      <w:rPr>
        <w:color w:val="808080"/>
        <w:sz w:val="22"/>
        <w:szCs w:val="22"/>
      </w:rPr>
      <w:t>_______</w:t>
    </w:r>
    <w:r w:rsidRPr="004B55EF">
      <w:rPr>
        <w:color w:val="808080"/>
        <w:sz w:val="22"/>
        <w:szCs w:val="22"/>
      </w:rPr>
      <w:t>______________________________</w:t>
    </w:r>
  </w:p>
  <w:p w:rsidR="004163B9" w:rsidRPr="006B339A" w:rsidRDefault="004163B9" w:rsidP="00A70202">
    <w:pPr>
      <w:pStyle w:val="Rodap"/>
      <w:spacing w:line="240" w:lineRule="auto"/>
      <w:jc w:val="left"/>
      <w:rPr>
        <w:sz w:val="22"/>
        <w:szCs w:val="22"/>
        <w:lang w:val="en-US"/>
      </w:rPr>
    </w:pPr>
    <w:r w:rsidRPr="004B55EF">
      <w:rPr>
        <w:color w:val="808080"/>
        <w:sz w:val="22"/>
        <w:szCs w:val="22"/>
      </w:rPr>
      <w:t xml:space="preserve">SHS Consultoria e Projetos de Engenharia Ltda.- </w:t>
    </w:r>
    <w:r w:rsidRPr="00A70202">
      <w:rPr>
        <w:color w:val="808080"/>
        <w:sz w:val="22"/>
        <w:szCs w:val="22"/>
      </w:rPr>
      <w:t>EPP</w:t>
    </w:r>
    <w:r w:rsidRPr="00A70202">
      <w:rPr>
        <w:color w:val="808080"/>
        <w:sz w:val="22"/>
        <w:szCs w:val="22"/>
      </w:rPr>
      <w:tab/>
      <w:t xml:space="preserve">                                                            </w:t>
    </w:r>
    <w:r>
      <w:rPr>
        <w:color w:val="808080"/>
        <w:sz w:val="22"/>
        <w:szCs w:val="22"/>
      </w:rPr>
      <w:t xml:space="preserve">      </w:t>
    </w:r>
    <w:r w:rsidRPr="004B55EF">
      <w:rPr>
        <w:sz w:val="22"/>
        <w:szCs w:val="22"/>
      </w:rPr>
      <w:fldChar w:fldCharType="begin"/>
    </w:r>
    <w:r w:rsidRPr="006B339A">
      <w:rPr>
        <w:sz w:val="22"/>
        <w:szCs w:val="22"/>
        <w:lang w:val="en-US"/>
      </w:rPr>
      <w:instrText>PAGE   \* MERGEFORMAT</w:instrText>
    </w:r>
    <w:r w:rsidRPr="004B55EF">
      <w:rPr>
        <w:sz w:val="22"/>
        <w:szCs w:val="22"/>
      </w:rPr>
      <w:fldChar w:fldCharType="separate"/>
    </w:r>
    <w:r w:rsidR="004D1D76">
      <w:rPr>
        <w:noProof/>
        <w:sz w:val="22"/>
        <w:szCs w:val="22"/>
        <w:lang w:val="en-US"/>
      </w:rPr>
      <w:t>221</w:t>
    </w:r>
    <w:r w:rsidRPr="004B55EF">
      <w:rPr>
        <w:sz w:val="22"/>
        <w:szCs w:val="22"/>
      </w:rPr>
      <w:fldChar w:fldCharType="end"/>
    </w:r>
  </w:p>
  <w:p w:rsidR="004163B9" w:rsidRPr="000D029E" w:rsidRDefault="004163B9" w:rsidP="00A70202">
    <w:pPr>
      <w:pStyle w:val="Rodap"/>
      <w:spacing w:line="240" w:lineRule="auto"/>
      <w:jc w:val="left"/>
      <w:rPr>
        <w:lang w:val="en-US"/>
      </w:rPr>
    </w:pPr>
    <w:r w:rsidRPr="006B339A">
      <w:rPr>
        <w:color w:val="7F7F7F"/>
        <w:sz w:val="22"/>
        <w:szCs w:val="22"/>
        <w:lang w:val="en-US"/>
      </w:rPr>
      <w:t>www.shs.com.br</w:t>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3B9" w:rsidRPr="004B55EF" w:rsidRDefault="004163B9" w:rsidP="00CE1CFD">
    <w:pPr>
      <w:pStyle w:val="Rodap"/>
      <w:spacing w:line="240" w:lineRule="auto"/>
      <w:jc w:val="left"/>
      <w:rPr>
        <w:color w:val="808080"/>
        <w:sz w:val="22"/>
        <w:szCs w:val="22"/>
      </w:rPr>
    </w:pPr>
    <w:r w:rsidRPr="004B55EF">
      <w:rPr>
        <w:color w:val="808080"/>
        <w:sz w:val="22"/>
        <w:szCs w:val="22"/>
      </w:rPr>
      <w:t>________________________________________________________________________________</w:t>
    </w:r>
  </w:p>
  <w:p w:rsidR="004163B9" w:rsidRPr="006B339A" w:rsidRDefault="004163B9" w:rsidP="00CE1CFD">
    <w:pPr>
      <w:pStyle w:val="Rodap"/>
      <w:spacing w:line="240" w:lineRule="auto"/>
      <w:jc w:val="left"/>
      <w:rPr>
        <w:sz w:val="22"/>
        <w:szCs w:val="22"/>
        <w:lang w:val="en-US"/>
      </w:rPr>
    </w:pPr>
    <w:r w:rsidRPr="004B55EF">
      <w:rPr>
        <w:color w:val="808080"/>
        <w:sz w:val="22"/>
        <w:szCs w:val="22"/>
      </w:rPr>
      <w:t xml:space="preserve">SHS Consultoria e Projetos de Engenharia Ltda.- </w:t>
    </w:r>
    <w:r>
      <w:rPr>
        <w:color w:val="808080"/>
        <w:sz w:val="22"/>
        <w:szCs w:val="22"/>
        <w:lang w:val="en-US"/>
      </w:rPr>
      <w:t>EPP</w:t>
    </w:r>
    <w:r>
      <w:rPr>
        <w:color w:val="808080"/>
        <w:sz w:val="22"/>
        <w:szCs w:val="22"/>
        <w:lang w:val="en-US"/>
      </w:rPr>
      <w:tab/>
      <w:t xml:space="preserve">                           </w:t>
    </w:r>
    <w:r w:rsidRPr="004B55EF">
      <w:rPr>
        <w:sz w:val="22"/>
        <w:szCs w:val="22"/>
      </w:rPr>
      <w:fldChar w:fldCharType="begin"/>
    </w:r>
    <w:r w:rsidRPr="006B339A">
      <w:rPr>
        <w:sz w:val="22"/>
        <w:szCs w:val="22"/>
        <w:lang w:val="en-US"/>
      </w:rPr>
      <w:instrText>PAGE   \* MERGEFORMAT</w:instrText>
    </w:r>
    <w:r w:rsidRPr="004B55EF">
      <w:rPr>
        <w:sz w:val="22"/>
        <w:szCs w:val="22"/>
      </w:rPr>
      <w:fldChar w:fldCharType="separate"/>
    </w:r>
    <w:r w:rsidR="004D1D76">
      <w:rPr>
        <w:noProof/>
        <w:sz w:val="22"/>
        <w:szCs w:val="22"/>
        <w:lang w:val="en-US"/>
      </w:rPr>
      <w:t>232</w:t>
    </w:r>
    <w:r w:rsidRPr="004B55EF">
      <w:rPr>
        <w:sz w:val="22"/>
        <w:szCs w:val="22"/>
      </w:rPr>
      <w:fldChar w:fldCharType="end"/>
    </w:r>
  </w:p>
  <w:p w:rsidR="004163B9" w:rsidRPr="00CE1CFD" w:rsidRDefault="004163B9" w:rsidP="00CE1CFD">
    <w:pPr>
      <w:pStyle w:val="Rodap"/>
      <w:spacing w:line="240" w:lineRule="auto"/>
      <w:jc w:val="left"/>
      <w:rPr>
        <w:lang w:val="en-US"/>
      </w:rPr>
    </w:pPr>
    <w:r w:rsidRPr="006B339A">
      <w:rPr>
        <w:color w:val="7F7F7F"/>
        <w:sz w:val="22"/>
        <w:szCs w:val="22"/>
        <w:lang w:val="en-US"/>
      </w:rPr>
      <w:t>www.shs.com.br</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3B9" w:rsidRPr="004B55EF" w:rsidRDefault="004163B9" w:rsidP="00CE1CFD">
    <w:pPr>
      <w:pStyle w:val="Rodap"/>
      <w:spacing w:line="240" w:lineRule="auto"/>
      <w:jc w:val="left"/>
      <w:rPr>
        <w:color w:val="808080"/>
        <w:sz w:val="22"/>
        <w:szCs w:val="22"/>
      </w:rPr>
    </w:pPr>
    <w:r>
      <w:rPr>
        <w:color w:val="808080"/>
        <w:sz w:val="22"/>
        <w:szCs w:val="22"/>
      </w:rPr>
      <w:t>_____________________________________________</w:t>
    </w:r>
    <w:r w:rsidRPr="004B55EF">
      <w:rPr>
        <w:color w:val="808080"/>
        <w:sz w:val="22"/>
        <w:szCs w:val="22"/>
      </w:rPr>
      <w:t>________________________________________________________________________________</w:t>
    </w:r>
  </w:p>
  <w:p w:rsidR="004163B9" w:rsidRPr="00CE1CFD" w:rsidRDefault="004163B9" w:rsidP="00CE1CFD">
    <w:pPr>
      <w:pStyle w:val="Rodap"/>
      <w:spacing w:line="240" w:lineRule="auto"/>
      <w:jc w:val="left"/>
      <w:rPr>
        <w:sz w:val="22"/>
        <w:szCs w:val="22"/>
      </w:rPr>
    </w:pPr>
    <w:r w:rsidRPr="004B55EF">
      <w:rPr>
        <w:color w:val="808080"/>
        <w:sz w:val="22"/>
        <w:szCs w:val="22"/>
      </w:rPr>
      <w:t xml:space="preserve">SHS Consultoria e Projetos de Engenharia Ltda.- </w:t>
    </w:r>
    <w:r w:rsidRPr="00CE1CFD">
      <w:rPr>
        <w:color w:val="808080"/>
        <w:sz w:val="22"/>
        <w:szCs w:val="22"/>
      </w:rPr>
      <w:t>EPP</w:t>
    </w:r>
    <w:r w:rsidRPr="00CE1CFD">
      <w:rPr>
        <w:color w:val="808080"/>
        <w:sz w:val="22"/>
        <w:szCs w:val="22"/>
      </w:rPr>
      <w:tab/>
      <w:t xml:space="preserve">                           </w:t>
    </w:r>
    <w:r w:rsidRPr="00CE1CFD">
      <w:rPr>
        <w:color w:val="808080"/>
        <w:sz w:val="22"/>
        <w:szCs w:val="22"/>
      </w:rPr>
      <w:tab/>
    </w:r>
    <w:r>
      <w:rPr>
        <w:color w:val="808080"/>
        <w:sz w:val="22"/>
        <w:szCs w:val="22"/>
      </w:rPr>
      <w:tab/>
    </w:r>
    <w:r>
      <w:rPr>
        <w:color w:val="808080"/>
        <w:sz w:val="22"/>
        <w:szCs w:val="22"/>
      </w:rPr>
      <w:tab/>
    </w:r>
    <w:r w:rsidRPr="004B55EF">
      <w:rPr>
        <w:sz w:val="22"/>
        <w:szCs w:val="22"/>
      </w:rPr>
      <w:fldChar w:fldCharType="begin"/>
    </w:r>
    <w:r w:rsidRPr="00CE1CFD">
      <w:rPr>
        <w:sz w:val="22"/>
        <w:szCs w:val="22"/>
      </w:rPr>
      <w:instrText>PAGE   \* MERGEFORMAT</w:instrText>
    </w:r>
    <w:r w:rsidRPr="004B55EF">
      <w:rPr>
        <w:sz w:val="22"/>
        <w:szCs w:val="22"/>
      </w:rPr>
      <w:fldChar w:fldCharType="separate"/>
    </w:r>
    <w:r w:rsidR="004D1D76">
      <w:rPr>
        <w:noProof/>
        <w:sz w:val="22"/>
        <w:szCs w:val="22"/>
      </w:rPr>
      <w:t>26</w:t>
    </w:r>
    <w:r w:rsidRPr="004B55EF">
      <w:rPr>
        <w:sz w:val="22"/>
        <w:szCs w:val="22"/>
      </w:rPr>
      <w:fldChar w:fldCharType="end"/>
    </w:r>
  </w:p>
  <w:p w:rsidR="004163B9" w:rsidRPr="00CE1CFD" w:rsidRDefault="004163B9" w:rsidP="00CE1CFD">
    <w:pPr>
      <w:pStyle w:val="Rodap"/>
      <w:spacing w:line="240" w:lineRule="auto"/>
      <w:jc w:val="left"/>
    </w:pPr>
    <w:r w:rsidRPr="00CE1CFD">
      <w:rPr>
        <w:color w:val="7F7F7F"/>
        <w:sz w:val="22"/>
        <w:szCs w:val="22"/>
      </w:rPr>
      <w:t>www.shs.com.br</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3B9" w:rsidRPr="004B55EF" w:rsidRDefault="004163B9" w:rsidP="00CE1CFD">
    <w:pPr>
      <w:pStyle w:val="Rodap"/>
      <w:spacing w:line="240" w:lineRule="auto"/>
      <w:jc w:val="left"/>
      <w:rPr>
        <w:color w:val="808080"/>
        <w:sz w:val="22"/>
        <w:szCs w:val="22"/>
      </w:rPr>
    </w:pPr>
    <w:r w:rsidRPr="004B55EF">
      <w:rPr>
        <w:color w:val="808080"/>
        <w:sz w:val="22"/>
        <w:szCs w:val="22"/>
      </w:rPr>
      <w:t>________________________________________________________________________________</w:t>
    </w:r>
  </w:p>
  <w:p w:rsidR="004163B9" w:rsidRPr="006B339A" w:rsidRDefault="004163B9" w:rsidP="00CE1CFD">
    <w:pPr>
      <w:pStyle w:val="Rodap"/>
      <w:spacing w:line="240" w:lineRule="auto"/>
      <w:jc w:val="left"/>
      <w:rPr>
        <w:sz w:val="22"/>
        <w:szCs w:val="22"/>
        <w:lang w:val="en-US"/>
      </w:rPr>
    </w:pPr>
    <w:r w:rsidRPr="004B55EF">
      <w:rPr>
        <w:color w:val="808080"/>
        <w:sz w:val="22"/>
        <w:szCs w:val="22"/>
      </w:rPr>
      <w:t xml:space="preserve">SHS Consultoria e Projetos de Engenharia Ltda.- </w:t>
    </w:r>
    <w:r>
      <w:rPr>
        <w:color w:val="808080"/>
        <w:sz w:val="22"/>
        <w:szCs w:val="22"/>
        <w:lang w:val="en-US"/>
      </w:rPr>
      <w:t>EPP</w:t>
    </w:r>
    <w:r>
      <w:rPr>
        <w:color w:val="808080"/>
        <w:sz w:val="22"/>
        <w:szCs w:val="22"/>
        <w:lang w:val="en-US"/>
      </w:rPr>
      <w:tab/>
      <w:t xml:space="preserve">                           </w:t>
    </w:r>
    <w:r w:rsidRPr="004B55EF">
      <w:rPr>
        <w:sz w:val="22"/>
        <w:szCs w:val="22"/>
      </w:rPr>
      <w:fldChar w:fldCharType="begin"/>
    </w:r>
    <w:r w:rsidRPr="006B339A">
      <w:rPr>
        <w:sz w:val="22"/>
        <w:szCs w:val="22"/>
        <w:lang w:val="en-US"/>
      </w:rPr>
      <w:instrText>PAGE   \* MERGEFORMAT</w:instrText>
    </w:r>
    <w:r w:rsidRPr="004B55EF">
      <w:rPr>
        <w:sz w:val="22"/>
        <w:szCs w:val="22"/>
      </w:rPr>
      <w:fldChar w:fldCharType="separate"/>
    </w:r>
    <w:r w:rsidR="004D1D76">
      <w:rPr>
        <w:noProof/>
        <w:sz w:val="22"/>
        <w:szCs w:val="22"/>
        <w:lang w:val="en-US"/>
      </w:rPr>
      <w:t>28</w:t>
    </w:r>
    <w:r w:rsidRPr="004B55EF">
      <w:rPr>
        <w:sz w:val="22"/>
        <w:szCs w:val="22"/>
      </w:rPr>
      <w:fldChar w:fldCharType="end"/>
    </w:r>
  </w:p>
  <w:p w:rsidR="004163B9" w:rsidRPr="00CE1CFD" w:rsidRDefault="004163B9" w:rsidP="00CE1CFD">
    <w:pPr>
      <w:pStyle w:val="Rodap"/>
      <w:spacing w:line="240" w:lineRule="auto"/>
      <w:jc w:val="left"/>
      <w:rPr>
        <w:lang w:val="en-US"/>
      </w:rPr>
    </w:pPr>
    <w:r w:rsidRPr="006B339A">
      <w:rPr>
        <w:color w:val="7F7F7F"/>
        <w:sz w:val="22"/>
        <w:szCs w:val="22"/>
        <w:lang w:val="en-US"/>
      </w:rPr>
      <w:t>www.shs.com.br</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3B9" w:rsidRPr="004B55EF" w:rsidRDefault="004163B9" w:rsidP="00CE1CFD">
    <w:pPr>
      <w:pStyle w:val="Rodap"/>
      <w:spacing w:line="240" w:lineRule="auto"/>
      <w:jc w:val="left"/>
      <w:rPr>
        <w:color w:val="808080"/>
        <w:sz w:val="22"/>
        <w:szCs w:val="22"/>
      </w:rPr>
    </w:pPr>
    <w:r>
      <w:rPr>
        <w:color w:val="808080"/>
        <w:sz w:val="22"/>
        <w:szCs w:val="22"/>
      </w:rPr>
      <w:t>_____________________________________________</w:t>
    </w:r>
    <w:r w:rsidRPr="004B55EF">
      <w:rPr>
        <w:color w:val="808080"/>
        <w:sz w:val="22"/>
        <w:szCs w:val="22"/>
      </w:rPr>
      <w:t>________________________________________________________________________________</w:t>
    </w:r>
  </w:p>
  <w:p w:rsidR="004163B9" w:rsidRPr="00CE1CFD" w:rsidRDefault="004163B9" w:rsidP="00CE1CFD">
    <w:pPr>
      <w:pStyle w:val="Rodap"/>
      <w:spacing w:line="240" w:lineRule="auto"/>
      <w:jc w:val="left"/>
      <w:rPr>
        <w:sz w:val="22"/>
        <w:szCs w:val="22"/>
      </w:rPr>
    </w:pPr>
    <w:r w:rsidRPr="004B55EF">
      <w:rPr>
        <w:color w:val="808080"/>
        <w:sz w:val="22"/>
        <w:szCs w:val="22"/>
      </w:rPr>
      <w:t xml:space="preserve">SHS Consultoria e Projetos de Engenharia Ltda.- </w:t>
    </w:r>
    <w:r w:rsidRPr="00CE1CFD">
      <w:rPr>
        <w:color w:val="808080"/>
        <w:sz w:val="22"/>
        <w:szCs w:val="22"/>
      </w:rPr>
      <w:t>EPP</w:t>
    </w:r>
    <w:r w:rsidRPr="00CE1CFD">
      <w:rPr>
        <w:color w:val="808080"/>
        <w:sz w:val="22"/>
        <w:szCs w:val="22"/>
      </w:rPr>
      <w:tab/>
      <w:t xml:space="preserve">                           </w:t>
    </w:r>
    <w:r w:rsidRPr="00CE1CFD">
      <w:rPr>
        <w:color w:val="808080"/>
        <w:sz w:val="22"/>
        <w:szCs w:val="22"/>
      </w:rPr>
      <w:tab/>
    </w:r>
    <w:r>
      <w:rPr>
        <w:color w:val="808080"/>
        <w:sz w:val="22"/>
        <w:szCs w:val="22"/>
      </w:rPr>
      <w:tab/>
    </w:r>
    <w:r>
      <w:rPr>
        <w:color w:val="808080"/>
        <w:sz w:val="22"/>
        <w:szCs w:val="22"/>
      </w:rPr>
      <w:tab/>
    </w:r>
    <w:r w:rsidRPr="004B55EF">
      <w:rPr>
        <w:sz w:val="22"/>
        <w:szCs w:val="22"/>
      </w:rPr>
      <w:fldChar w:fldCharType="begin"/>
    </w:r>
    <w:r w:rsidRPr="00CE1CFD">
      <w:rPr>
        <w:sz w:val="22"/>
        <w:szCs w:val="22"/>
      </w:rPr>
      <w:instrText>PAGE   \* MERGEFORMAT</w:instrText>
    </w:r>
    <w:r w:rsidRPr="004B55EF">
      <w:rPr>
        <w:sz w:val="22"/>
        <w:szCs w:val="22"/>
      </w:rPr>
      <w:fldChar w:fldCharType="separate"/>
    </w:r>
    <w:r w:rsidR="004D1D76">
      <w:rPr>
        <w:noProof/>
        <w:sz w:val="22"/>
        <w:szCs w:val="22"/>
      </w:rPr>
      <w:t>29</w:t>
    </w:r>
    <w:r w:rsidRPr="004B55EF">
      <w:rPr>
        <w:sz w:val="22"/>
        <w:szCs w:val="22"/>
      </w:rPr>
      <w:fldChar w:fldCharType="end"/>
    </w:r>
  </w:p>
  <w:p w:rsidR="004163B9" w:rsidRPr="00CE1CFD" w:rsidRDefault="004163B9" w:rsidP="00CE1CFD">
    <w:pPr>
      <w:pStyle w:val="Rodap"/>
      <w:spacing w:line="240" w:lineRule="auto"/>
      <w:jc w:val="left"/>
    </w:pPr>
    <w:r w:rsidRPr="00CE1CFD">
      <w:rPr>
        <w:color w:val="7F7F7F"/>
        <w:sz w:val="22"/>
        <w:szCs w:val="22"/>
      </w:rPr>
      <w:t>www.shs.com.br</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3B9" w:rsidRPr="004B55EF" w:rsidRDefault="004163B9" w:rsidP="00CE1CFD">
    <w:pPr>
      <w:pStyle w:val="Rodap"/>
      <w:spacing w:line="240" w:lineRule="auto"/>
      <w:jc w:val="left"/>
      <w:rPr>
        <w:color w:val="808080"/>
        <w:sz w:val="22"/>
        <w:szCs w:val="22"/>
      </w:rPr>
    </w:pPr>
    <w:r w:rsidRPr="004B55EF">
      <w:rPr>
        <w:color w:val="808080"/>
        <w:sz w:val="22"/>
        <w:szCs w:val="22"/>
      </w:rPr>
      <w:t>________________________________________________________________________________</w:t>
    </w:r>
  </w:p>
  <w:p w:rsidR="004163B9" w:rsidRPr="006B339A" w:rsidRDefault="004163B9" w:rsidP="00CE1CFD">
    <w:pPr>
      <w:pStyle w:val="Rodap"/>
      <w:spacing w:line="240" w:lineRule="auto"/>
      <w:jc w:val="left"/>
      <w:rPr>
        <w:sz w:val="22"/>
        <w:szCs w:val="22"/>
        <w:lang w:val="en-US"/>
      </w:rPr>
    </w:pPr>
    <w:r w:rsidRPr="004B55EF">
      <w:rPr>
        <w:color w:val="808080"/>
        <w:sz w:val="22"/>
        <w:szCs w:val="22"/>
      </w:rPr>
      <w:t xml:space="preserve">SHS Consultoria e Projetos de Engenharia Ltda.- </w:t>
    </w:r>
    <w:r>
      <w:rPr>
        <w:color w:val="808080"/>
        <w:sz w:val="22"/>
        <w:szCs w:val="22"/>
        <w:lang w:val="en-US"/>
      </w:rPr>
      <w:t>EPP</w:t>
    </w:r>
    <w:r>
      <w:rPr>
        <w:color w:val="808080"/>
        <w:sz w:val="22"/>
        <w:szCs w:val="22"/>
        <w:lang w:val="en-US"/>
      </w:rPr>
      <w:tab/>
      <w:t xml:space="preserve">                           </w:t>
    </w:r>
    <w:r w:rsidRPr="004B55EF">
      <w:rPr>
        <w:sz w:val="22"/>
        <w:szCs w:val="22"/>
      </w:rPr>
      <w:fldChar w:fldCharType="begin"/>
    </w:r>
    <w:r w:rsidRPr="006B339A">
      <w:rPr>
        <w:sz w:val="22"/>
        <w:szCs w:val="22"/>
        <w:lang w:val="en-US"/>
      </w:rPr>
      <w:instrText>PAGE   \* MERGEFORMAT</w:instrText>
    </w:r>
    <w:r w:rsidRPr="004B55EF">
      <w:rPr>
        <w:sz w:val="22"/>
        <w:szCs w:val="22"/>
      </w:rPr>
      <w:fldChar w:fldCharType="separate"/>
    </w:r>
    <w:r w:rsidR="004D1D76">
      <w:rPr>
        <w:noProof/>
        <w:sz w:val="22"/>
        <w:szCs w:val="22"/>
        <w:lang w:val="en-US"/>
      </w:rPr>
      <w:t>109</w:t>
    </w:r>
    <w:r w:rsidRPr="004B55EF">
      <w:rPr>
        <w:sz w:val="22"/>
        <w:szCs w:val="22"/>
      </w:rPr>
      <w:fldChar w:fldCharType="end"/>
    </w:r>
  </w:p>
  <w:p w:rsidR="004163B9" w:rsidRPr="00CE1CFD" w:rsidRDefault="004163B9" w:rsidP="00CE1CFD">
    <w:pPr>
      <w:pStyle w:val="Rodap"/>
      <w:spacing w:line="240" w:lineRule="auto"/>
      <w:jc w:val="left"/>
      <w:rPr>
        <w:lang w:val="en-US"/>
      </w:rPr>
    </w:pPr>
    <w:r w:rsidRPr="006B339A">
      <w:rPr>
        <w:color w:val="7F7F7F"/>
        <w:sz w:val="22"/>
        <w:szCs w:val="22"/>
        <w:lang w:val="en-US"/>
      </w:rPr>
      <w:t>www.shs.com.br</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3B9" w:rsidRPr="004B55EF" w:rsidRDefault="004163B9" w:rsidP="00CE1CFD">
    <w:pPr>
      <w:pStyle w:val="Rodap"/>
      <w:spacing w:line="240" w:lineRule="auto"/>
      <w:jc w:val="left"/>
      <w:rPr>
        <w:color w:val="808080"/>
        <w:sz w:val="22"/>
        <w:szCs w:val="22"/>
      </w:rPr>
    </w:pPr>
    <w:r>
      <w:rPr>
        <w:color w:val="808080"/>
        <w:sz w:val="22"/>
        <w:szCs w:val="22"/>
      </w:rPr>
      <w:t>_____________________________________________</w:t>
    </w:r>
    <w:r w:rsidRPr="004B55EF">
      <w:rPr>
        <w:color w:val="808080"/>
        <w:sz w:val="22"/>
        <w:szCs w:val="22"/>
      </w:rPr>
      <w:t>________________________________________________________________________________</w:t>
    </w:r>
  </w:p>
  <w:p w:rsidR="004163B9" w:rsidRPr="00CE1CFD" w:rsidRDefault="004163B9" w:rsidP="00CE1CFD">
    <w:pPr>
      <w:pStyle w:val="Rodap"/>
      <w:spacing w:line="240" w:lineRule="auto"/>
      <w:jc w:val="left"/>
      <w:rPr>
        <w:sz w:val="22"/>
        <w:szCs w:val="22"/>
      </w:rPr>
    </w:pPr>
    <w:r w:rsidRPr="004B55EF">
      <w:rPr>
        <w:color w:val="808080"/>
        <w:sz w:val="22"/>
        <w:szCs w:val="22"/>
      </w:rPr>
      <w:t xml:space="preserve">SHS Consultoria e Projetos de Engenharia Ltda.- </w:t>
    </w:r>
    <w:r w:rsidRPr="00CE1CFD">
      <w:rPr>
        <w:color w:val="808080"/>
        <w:sz w:val="22"/>
        <w:szCs w:val="22"/>
      </w:rPr>
      <w:t>EPP</w:t>
    </w:r>
    <w:r w:rsidRPr="00CE1CFD">
      <w:rPr>
        <w:color w:val="808080"/>
        <w:sz w:val="22"/>
        <w:szCs w:val="22"/>
      </w:rPr>
      <w:tab/>
      <w:t xml:space="preserve">                           </w:t>
    </w:r>
    <w:r w:rsidRPr="00CE1CFD">
      <w:rPr>
        <w:color w:val="808080"/>
        <w:sz w:val="22"/>
        <w:szCs w:val="22"/>
      </w:rPr>
      <w:tab/>
    </w:r>
    <w:r>
      <w:rPr>
        <w:color w:val="808080"/>
        <w:sz w:val="22"/>
        <w:szCs w:val="22"/>
      </w:rPr>
      <w:tab/>
    </w:r>
    <w:r>
      <w:rPr>
        <w:color w:val="808080"/>
        <w:sz w:val="22"/>
        <w:szCs w:val="22"/>
      </w:rPr>
      <w:tab/>
    </w:r>
    <w:r w:rsidRPr="004B55EF">
      <w:rPr>
        <w:sz w:val="22"/>
        <w:szCs w:val="22"/>
      </w:rPr>
      <w:fldChar w:fldCharType="begin"/>
    </w:r>
    <w:r w:rsidRPr="00CE1CFD">
      <w:rPr>
        <w:sz w:val="22"/>
        <w:szCs w:val="22"/>
      </w:rPr>
      <w:instrText>PAGE   \* MERGEFORMAT</w:instrText>
    </w:r>
    <w:r w:rsidRPr="004B55EF">
      <w:rPr>
        <w:sz w:val="22"/>
        <w:szCs w:val="22"/>
      </w:rPr>
      <w:fldChar w:fldCharType="separate"/>
    </w:r>
    <w:r w:rsidR="004D1D76">
      <w:rPr>
        <w:noProof/>
        <w:sz w:val="22"/>
        <w:szCs w:val="22"/>
      </w:rPr>
      <w:t>111</w:t>
    </w:r>
    <w:r w:rsidRPr="004B55EF">
      <w:rPr>
        <w:sz w:val="22"/>
        <w:szCs w:val="22"/>
      </w:rPr>
      <w:fldChar w:fldCharType="end"/>
    </w:r>
  </w:p>
  <w:p w:rsidR="004163B9" w:rsidRPr="00CE1CFD" w:rsidRDefault="004163B9" w:rsidP="00CE1CFD">
    <w:pPr>
      <w:pStyle w:val="Rodap"/>
      <w:spacing w:line="240" w:lineRule="auto"/>
      <w:jc w:val="left"/>
    </w:pPr>
    <w:r w:rsidRPr="00CE1CFD">
      <w:rPr>
        <w:color w:val="7F7F7F"/>
        <w:sz w:val="22"/>
        <w:szCs w:val="22"/>
      </w:rPr>
      <w:t>www.shs.com.br</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3B9" w:rsidRPr="004B55EF" w:rsidRDefault="004163B9" w:rsidP="00F94A69">
    <w:pPr>
      <w:pStyle w:val="Rodap"/>
      <w:spacing w:line="240" w:lineRule="auto"/>
      <w:jc w:val="left"/>
      <w:rPr>
        <w:color w:val="808080"/>
        <w:sz w:val="22"/>
        <w:szCs w:val="22"/>
      </w:rPr>
    </w:pPr>
    <w:r w:rsidRPr="004B55EF">
      <w:rPr>
        <w:color w:val="808080"/>
        <w:sz w:val="22"/>
        <w:szCs w:val="22"/>
      </w:rPr>
      <w:t>________________________________________________________________________________</w:t>
    </w:r>
  </w:p>
  <w:p w:rsidR="004163B9" w:rsidRPr="006B339A" w:rsidRDefault="004163B9" w:rsidP="00F94A69">
    <w:pPr>
      <w:pStyle w:val="Rodap"/>
      <w:spacing w:line="240" w:lineRule="auto"/>
      <w:jc w:val="left"/>
      <w:rPr>
        <w:sz w:val="22"/>
        <w:szCs w:val="22"/>
        <w:lang w:val="en-US"/>
      </w:rPr>
    </w:pPr>
    <w:r w:rsidRPr="004B55EF">
      <w:rPr>
        <w:color w:val="808080"/>
        <w:sz w:val="22"/>
        <w:szCs w:val="22"/>
      </w:rPr>
      <w:t xml:space="preserve">SHS Consultoria e Projetos de Engenharia Ltda.- </w:t>
    </w:r>
    <w:r>
      <w:rPr>
        <w:color w:val="808080"/>
        <w:sz w:val="22"/>
        <w:szCs w:val="22"/>
        <w:lang w:val="en-US"/>
      </w:rPr>
      <w:t>EPP</w:t>
    </w:r>
    <w:r>
      <w:rPr>
        <w:color w:val="808080"/>
        <w:sz w:val="22"/>
        <w:szCs w:val="22"/>
        <w:lang w:val="en-US"/>
      </w:rPr>
      <w:tab/>
      <w:t xml:space="preserve">                           </w:t>
    </w:r>
    <w:r w:rsidRPr="004B55EF">
      <w:rPr>
        <w:sz w:val="22"/>
        <w:szCs w:val="22"/>
      </w:rPr>
      <w:fldChar w:fldCharType="begin"/>
    </w:r>
    <w:r w:rsidRPr="006B339A">
      <w:rPr>
        <w:sz w:val="22"/>
        <w:szCs w:val="22"/>
        <w:lang w:val="en-US"/>
      </w:rPr>
      <w:instrText>PAGE   \* MERGEFORMAT</w:instrText>
    </w:r>
    <w:r w:rsidRPr="004B55EF">
      <w:rPr>
        <w:sz w:val="22"/>
        <w:szCs w:val="22"/>
      </w:rPr>
      <w:fldChar w:fldCharType="separate"/>
    </w:r>
    <w:r w:rsidR="004D1D76">
      <w:rPr>
        <w:noProof/>
        <w:sz w:val="22"/>
        <w:szCs w:val="22"/>
        <w:lang w:val="en-US"/>
      </w:rPr>
      <w:t>137</w:t>
    </w:r>
    <w:r w:rsidRPr="004B55EF">
      <w:rPr>
        <w:sz w:val="22"/>
        <w:szCs w:val="22"/>
      </w:rPr>
      <w:fldChar w:fldCharType="end"/>
    </w:r>
  </w:p>
  <w:p w:rsidR="004163B9" w:rsidRPr="00CE1CFD" w:rsidRDefault="004163B9" w:rsidP="00F94A69">
    <w:pPr>
      <w:pStyle w:val="Rodap"/>
      <w:spacing w:line="240" w:lineRule="auto"/>
      <w:jc w:val="left"/>
      <w:rPr>
        <w:lang w:val="en-US"/>
      </w:rPr>
    </w:pPr>
    <w:r w:rsidRPr="006B339A">
      <w:rPr>
        <w:color w:val="7F7F7F"/>
        <w:sz w:val="22"/>
        <w:szCs w:val="22"/>
        <w:lang w:val="en-US"/>
      </w:rPr>
      <w:t>www.shs.com.br</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163B9" w:rsidRDefault="004163B9" w:rsidP="008F3022">
      <w:pPr>
        <w:spacing w:line="240" w:lineRule="auto"/>
      </w:pPr>
      <w:r>
        <w:separator/>
      </w:r>
    </w:p>
  </w:footnote>
  <w:footnote w:type="continuationSeparator" w:id="0">
    <w:p w:rsidR="004163B9" w:rsidRDefault="004163B9" w:rsidP="008F3022">
      <w:pPr>
        <w:spacing w:line="240" w:lineRule="auto"/>
      </w:pPr>
      <w:r>
        <w:continuationSeparator/>
      </w:r>
    </w:p>
  </w:footnote>
  <w:footnote w:id="1">
    <w:p w:rsidR="004163B9" w:rsidRDefault="004163B9" w:rsidP="001F7197">
      <w:pPr>
        <w:pStyle w:val="Textodenotaderodap"/>
      </w:pPr>
      <w:r w:rsidRPr="00F66DA9">
        <w:rPr>
          <w:rStyle w:val="Refdenotaderodap"/>
        </w:rPr>
        <w:footnoteRef/>
      </w:r>
      <w:r w:rsidRPr="00F66DA9">
        <w:t xml:space="preserve"> É preciso </w:t>
      </w:r>
      <w:r w:rsidRPr="00F66DA9">
        <w:rPr>
          <w:sz w:val="18"/>
        </w:rPr>
        <w:t>considerar uma série de estudos necessários para escolha final do local adequado, como análises geotécnicas definidas por normas técnicas específicas.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3B9" w:rsidRPr="001D78F0" w:rsidRDefault="004163B9" w:rsidP="007A2B6D">
    <w:pPr>
      <w:tabs>
        <w:tab w:val="center" w:pos="4252"/>
        <w:tab w:val="right" w:pos="8504"/>
      </w:tabs>
      <w:spacing w:line="240" w:lineRule="auto"/>
      <w:contextualSpacing/>
      <w:jc w:val="center"/>
      <w:rPr>
        <w:rFonts w:ascii="Calibri" w:hAnsi="Calibri"/>
        <w:sz w:val="22"/>
      </w:rPr>
    </w:pPr>
    <w:r w:rsidRPr="001D78F0">
      <w:rPr>
        <w:rFonts w:eastAsia="Times New Roman"/>
        <w:noProof/>
        <w:szCs w:val="20"/>
        <w:lang w:eastAsia="pt-BR"/>
      </w:rPr>
      <w:drawing>
        <wp:inline distT="0" distB="0" distL="0" distR="0" wp14:anchorId="4800DD5F" wp14:editId="64395A67">
          <wp:extent cx="793750" cy="724535"/>
          <wp:effectExtent l="0" t="0" r="6350" b="0"/>
          <wp:docPr id="13" name="Imagem 1" descr="Descrição: mg-corrego-novo-bras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Descrição: mg-corrego-novo-brasa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93750" cy="724535"/>
                  </a:xfrm>
                  <a:prstGeom prst="rect">
                    <a:avLst/>
                  </a:prstGeom>
                  <a:noFill/>
                  <a:ln>
                    <a:noFill/>
                  </a:ln>
                </pic:spPr>
              </pic:pic>
            </a:graphicData>
          </a:graphic>
        </wp:inline>
      </w:drawing>
    </w:r>
    <w:r>
      <w:rPr>
        <w:rFonts w:eastAsia="Times New Roman"/>
        <w:szCs w:val="20"/>
        <w:lang w:eastAsia="x-none"/>
      </w:rPr>
      <w:t xml:space="preserve">                      </w:t>
    </w:r>
    <w:r w:rsidRPr="001D78F0">
      <w:rPr>
        <w:rFonts w:eastAsia="Times New Roman"/>
        <w:noProof/>
        <w:color w:val="000000"/>
        <w:sz w:val="28"/>
        <w:szCs w:val="28"/>
        <w:lang w:eastAsia="pt-BR"/>
      </w:rPr>
      <w:drawing>
        <wp:inline distT="0" distB="0" distL="0" distR="0" wp14:anchorId="074E19E8" wp14:editId="5A448FC1">
          <wp:extent cx="733425" cy="716280"/>
          <wp:effectExtent l="0" t="0" r="9525" b="7620"/>
          <wp:docPr id="18"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33425" cy="716280"/>
                  </a:xfrm>
                  <a:prstGeom prst="rect">
                    <a:avLst/>
                  </a:prstGeom>
                  <a:noFill/>
                  <a:ln>
                    <a:noFill/>
                  </a:ln>
                </pic:spPr>
              </pic:pic>
            </a:graphicData>
          </a:graphic>
        </wp:inline>
      </w:drawing>
    </w:r>
    <w:r w:rsidRPr="001D78F0">
      <w:rPr>
        <w:rFonts w:eastAsia="Times New Roman"/>
        <w:szCs w:val="20"/>
        <w:lang w:val="x-none" w:eastAsia="x-none"/>
      </w:rPr>
      <w:tab/>
    </w:r>
    <w:r w:rsidRPr="001D78F0">
      <w:rPr>
        <w:rFonts w:eastAsia="Times New Roman"/>
        <w:szCs w:val="20"/>
        <w:lang w:eastAsia="x-none"/>
      </w:rPr>
      <w:t xml:space="preserve">                      </w:t>
    </w:r>
    <w:r w:rsidRPr="001D78F0">
      <w:rPr>
        <w:rFonts w:eastAsia="Times New Roman"/>
        <w:noProof/>
        <w:szCs w:val="20"/>
        <w:lang w:eastAsia="pt-BR"/>
      </w:rPr>
      <w:drawing>
        <wp:inline distT="0" distB="0" distL="0" distR="0" wp14:anchorId="134BBAFA" wp14:editId="5B50D6D2">
          <wp:extent cx="905510" cy="724535"/>
          <wp:effectExtent l="0" t="0" r="8890" b="0"/>
          <wp:docPr id="2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905510" cy="724535"/>
                  </a:xfrm>
                  <a:prstGeom prst="rect">
                    <a:avLst/>
                  </a:prstGeom>
                  <a:noFill/>
                  <a:ln>
                    <a:noFill/>
                  </a:ln>
                </pic:spPr>
              </pic:pic>
            </a:graphicData>
          </a:graphic>
        </wp:inline>
      </w:drawing>
    </w:r>
    <w:r w:rsidRPr="001D78F0">
      <w:rPr>
        <w:rFonts w:eastAsia="Times New Roman"/>
        <w:szCs w:val="20"/>
        <w:lang w:eastAsia="x-none"/>
      </w:rPr>
      <w:t xml:space="preserve">                      </w:t>
    </w:r>
    <w:r w:rsidRPr="001D78F0">
      <w:rPr>
        <w:rFonts w:eastAsia="Times New Roman"/>
        <w:b/>
        <w:noProof/>
        <w:color w:val="000000"/>
        <w:sz w:val="28"/>
        <w:szCs w:val="28"/>
        <w:lang w:eastAsia="pt-BR"/>
      </w:rPr>
      <w:drawing>
        <wp:inline distT="0" distB="0" distL="0" distR="0" wp14:anchorId="474E1380" wp14:editId="194EEDD8">
          <wp:extent cx="647065" cy="716280"/>
          <wp:effectExtent l="0" t="0" r="635" b="7620"/>
          <wp:docPr id="27" name="Imagem 4" descr="Descrição: logoti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descr="Descrição: logotipo"/>
                  <pic:cNvPicPr>
                    <a:picLocks noChangeAspect="1" noChangeArrowheads="1"/>
                  </pic:cNvPicPr>
                </pic:nvPicPr>
                <pic:blipFill>
                  <a:blip r:embed="rId4">
                    <a:extLst>
                      <a:ext uri="{28A0092B-C50C-407E-A947-70E740481C1C}">
                        <a14:useLocalDpi xmlns:a14="http://schemas.microsoft.com/office/drawing/2010/main" val="0"/>
                      </a:ext>
                    </a:extLst>
                  </a:blip>
                  <a:srcRect t="10101" b="10101"/>
                  <a:stretch>
                    <a:fillRect/>
                  </a:stretch>
                </pic:blipFill>
                <pic:spPr bwMode="auto">
                  <a:xfrm>
                    <a:off x="0" y="0"/>
                    <a:ext cx="647065" cy="716280"/>
                  </a:xfrm>
                  <a:prstGeom prst="rect">
                    <a:avLst/>
                  </a:prstGeom>
                  <a:noFill/>
                  <a:ln>
                    <a:noFill/>
                  </a:ln>
                </pic:spPr>
              </pic:pic>
            </a:graphicData>
          </a:graphic>
        </wp:inline>
      </w:drawing>
    </w:r>
  </w:p>
  <w:p w:rsidR="004163B9" w:rsidRPr="00C6697A" w:rsidRDefault="004163B9" w:rsidP="007A2B6D">
    <w:pPr>
      <w:pStyle w:val="Cabealho"/>
      <w:rPr>
        <w:sz w:val="2"/>
        <w:szCs w:val="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3B9" w:rsidRPr="001D78F0" w:rsidRDefault="004163B9" w:rsidP="007A2B6D">
    <w:pPr>
      <w:tabs>
        <w:tab w:val="center" w:pos="4252"/>
        <w:tab w:val="right" w:pos="8504"/>
      </w:tabs>
      <w:spacing w:line="240" w:lineRule="auto"/>
      <w:contextualSpacing/>
      <w:jc w:val="center"/>
      <w:rPr>
        <w:rFonts w:ascii="Calibri" w:hAnsi="Calibri"/>
        <w:sz w:val="22"/>
      </w:rPr>
    </w:pPr>
    <w:r w:rsidRPr="001D78F0">
      <w:rPr>
        <w:rFonts w:eastAsia="Times New Roman"/>
        <w:noProof/>
        <w:szCs w:val="20"/>
        <w:lang w:eastAsia="pt-BR"/>
      </w:rPr>
      <w:drawing>
        <wp:inline distT="0" distB="0" distL="0" distR="0" wp14:anchorId="6A22F430" wp14:editId="59FEC2AF">
          <wp:extent cx="793750" cy="724535"/>
          <wp:effectExtent l="0" t="0" r="6350" b="0"/>
          <wp:docPr id="3" name="Imagem 1" descr="Descrição: mg-corrego-novo-bras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Descrição: mg-corrego-novo-brasa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93750" cy="724535"/>
                  </a:xfrm>
                  <a:prstGeom prst="rect">
                    <a:avLst/>
                  </a:prstGeom>
                  <a:noFill/>
                  <a:ln>
                    <a:noFill/>
                  </a:ln>
                </pic:spPr>
              </pic:pic>
            </a:graphicData>
          </a:graphic>
        </wp:inline>
      </w:drawing>
    </w:r>
    <w:r>
      <w:rPr>
        <w:rFonts w:eastAsia="Times New Roman"/>
        <w:szCs w:val="20"/>
        <w:lang w:eastAsia="x-none"/>
      </w:rPr>
      <w:t xml:space="preserve">                      </w:t>
    </w:r>
    <w:r w:rsidRPr="001D78F0">
      <w:rPr>
        <w:rFonts w:eastAsia="Times New Roman"/>
        <w:noProof/>
        <w:color w:val="000000"/>
        <w:sz w:val="28"/>
        <w:szCs w:val="28"/>
        <w:lang w:eastAsia="pt-BR"/>
      </w:rPr>
      <w:drawing>
        <wp:inline distT="0" distB="0" distL="0" distR="0" wp14:anchorId="1D7F86F9" wp14:editId="4069B84D">
          <wp:extent cx="733425" cy="716280"/>
          <wp:effectExtent l="0" t="0" r="9525" b="7620"/>
          <wp:docPr id="4"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33425" cy="716280"/>
                  </a:xfrm>
                  <a:prstGeom prst="rect">
                    <a:avLst/>
                  </a:prstGeom>
                  <a:noFill/>
                  <a:ln>
                    <a:noFill/>
                  </a:ln>
                </pic:spPr>
              </pic:pic>
            </a:graphicData>
          </a:graphic>
        </wp:inline>
      </w:drawing>
    </w:r>
    <w:r w:rsidRPr="001D78F0">
      <w:rPr>
        <w:rFonts w:eastAsia="Times New Roman"/>
        <w:szCs w:val="20"/>
        <w:lang w:val="x-none" w:eastAsia="x-none"/>
      </w:rPr>
      <w:tab/>
    </w:r>
    <w:r w:rsidRPr="001D78F0">
      <w:rPr>
        <w:rFonts w:eastAsia="Times New Roman"/>
        <w:szCs w:val="20"/>
        <w:lang w:eastAsia="x-none"/>
      </w:rPr>
      <w:t xml:space="preserve">                      </w:t>
    </w:r>
    <w:r w:rsidRPr="001D78F0">
      <w:rPr>
        <w:rFonts w:eastAsia="Times New Roman"/>
        <w:noProof/>
        <w:szCs w:val="20"/>
        <w:lang w:eastAsia="pt-BR"/>
      </w:rPr>
      <w:drawing>
        <wp:inline distT="0" distB="0" distL="0" distR="0" wp14:anchorId="32D04481" wp14:editId="7AE0DD3B">
          <wp:extent cx="905510" cy="724535"/>
          <wp:effectExtent l="0" t="0" r="8890" b="0"/>
          <wp:docPr id="5"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905510" cy="724535"/>
                  </a:xfrm>
                  <a:prstGeom prst="rect">
                    <a:avLst/>
                  </a:prstGeom>
                  <a:noFill/>
                  <a:ln>
                    <a:noFill/>
                  </a:ln>
                </pic:spPr>
              </pic:pic>
            </a:graphicData>
          </a:graphic>
        </wp:inline>
      </w:drawing>
    </w:r>
    <w:r w:rsidRPr="001D78F0">
      <w:rPr>
        <w:rFonts w:eastAsia="Times New Roman"/>
        <w:szCs w:val="20"/>
        <w:lang w:eastAsia="x-none"/>
      </w:rPr>
      <w:t xml:space="preserve">                      </w:t>
    </w:r>
    <w:r w:rsidRPr="001D78F0">
      <w:rPr>
        <w:rFonts w:eastAsia="Times New Roman"/>
        <w:b/>
        <w:noProof/>
        <w:color w:val="000000"/>
        <w:sz w:val="28"/>
        <w:szCs w:val="28"/>
        <w:lang w:eastAsia="pt-BR"/>
      </w:rPr>
      <w:drawing>
        <wp:inline distT="0" distB="0" distL="0" distR="0" wp14:anchorId="1F940E81" wp14:editId="0DFD3E43">
          <wp:extent cx="647065" cy="716280"/>
          <wp:effectExtent l="0" t="0" r="635" b="7620"/>
          <wp:docPr id="12" name="Imagem 4" descr="Descrição: logoti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descr="Descrição: logotipo"/>
                  <pic:cNvPicPr>
                    <a:picLocks noChangeAspect="1" noChangeArrowheads="1"/>
                  </pic:cNvPicPr>
                </pic:nvPicPr>
                <pic:blipFill>
                  <a:blip r:embed="rId4">
                    <a:extLst>
                      <a:ext uri="{28A0092B-C50C-407E-A947-70E740481C1C}">
                        <a14:useLocalDpi xmlns:a14="http://schemas.microsoft.com/office/drawing/2010/main" val="0"/>
                      </a:ext>
                    </a:extLst>
                  </a:blip>
                  <a:srcRect t="10101" b="10101"/>
                  <a:stretch>
                    <a:fillRect/>
                  </a:stretch>
                </pic:blipFill>
                <pic:spPr bwMode="auto">
                  <a:xfrm>
                    <a:off x="0" y="0"/>
                    <a:ext cx="647065" cy="716280"/>
                  </a:xfrm>
                  <a:prstGeom prst="rect">
                    <a:avLst/>
                  </a:prstGeom>
                  <a:noFill/>
                  <a:ln>
                    <a:noFill/>
                  </a:ln>
                </pic:spPr>
              </pic:pic>
            </a:graphicData>
          </a:graphic>
        </wp:inline>
      </w:drawing>
    </w:r>
  </w:p>
  <w:p w:rsidR="004163B9" w:rsidRPr="00C6697A" w:rsidRDefault="004163B9" w:rsidP="007A2B6D">
    <w:pPr>
      <w:pStyle w:val="Cabealho"/>
      <w:rPr>
        <w:sz w:val="2"/>
        <w:szCs w:val="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63B9" w:rsidRDefault="004163B9" w:rsidP="00193B74">
    <w:pPr>
      <w:pStyle w:val="Cabealho"/>
      <w:ind w:firstLine="0"/>
    </w:pPr>
    <w:r>
      <w:rPr>
        <w:noProof/>
        <w:lang w:val="pt-BR" w:eastAsia="pt-BR"/>
      </w:rPr>
      <w:drawing>
        <wp:inline distT="0" distB="0" distL="0" distR="0" wp14:anchorId="39D74D35" wp14:editId="13B9B3E9">
          <wp:extent cx="819150" cy="762000"/>
          <wp:effectExtent l="0" t="0" r="0" b="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9150" cy="762000"/>
                  </a:xfrm>
                  <a:prstGeom prst="rect">
                    <a:avLst/>
                  </a:prstGeom>
                  <a:noFill/>
                  <a:ln>
                    <a:noFill/>
                  </a:ln>
                </pic:spPr>
              </pic:pic>
            </a:graphicData>
          </a:graphic>
        </wp:inline>
      </w:drawing>
    </w:r>
    <w:r>
      <w:tab/>
    </w:r>
    <w:r>
      <w:tab/>
    </w:r>
    <w:r>
      <w:rPr>
        <w:b/>
        <w:noProof/>
        <w:color w:val="000000"/>
        <w:sz w:val="28"/>
        <w:szCs w:val="28"/>
        <w:lang w:val="pt-BR" w:eastAsia="pt-BR"/>
      </w:rPr>
      <w:drawing>
        <wp:inline distT="0" distB="0" distL="0" distR="0" wp14:anchorId="5637BA53" wp14:editId="32F3E356">
          <wp:extent cx="609600" cy="685800"/>
          <wp:effectExtent l="0" t="0" r="0" b="0"/>
          <wp:docPr id="25" name="Imagem 25" descr="Descrição: logoti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0" descr="Descrição: logotipo"/>
                  <pic:cNvPicPr>
                    <a:picLocks noChangeAspect="1" noChangeArrowheads="1"/>
                  </pic:cNvPicPr>
                </pic:nvPicPr>
                <pic:blipFill>
                  <a:blip r:embed="rId2">
                    <a:extLst>
                      <a:ext uri="{28A0092B-C50C-407E-A947-70E740481C1C}">
                        <a14:useLocalDpi xmlns:a14="http://schemas.microsoft.com/office/drawing/2010/main" val="0"/>
                      </a:ext>
                    </a:extLst>
                  </a:blip>
                  <a:srcRect t="10101" b="10101"/>
                  <a:stretch>
                    <a:fillRect/>
                  </a:stretch>
                </pic:blipFill>
                <pic:spPr bwMode="auto">
                  <a:xfrm>
                    <a:off x="0" y="0"/>
                    <a:ext cx="609600" cy="685800"/>
                  </a:xfrm>
                  <a:prstGeom prst="rect">
                    <a:avLst/>
                  </a:prstGeom>
                  <a:noFill/>
                  <a:ln>
                    <a:noFill/>
                  </a:ln>
                </pic:spPr>
              </pic:pic>
            </a:graphicData>
          </a:graphic>
        </wp:inline>
      </w:drawing>
    </w:r>
  </w:p>
  <w:p w:rsidR="004163B9" w:rsidRDefault="004163B9"/>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5828F2"/>
    <w:multiLevelType w:val="multilevel"/>
    <w:tmpl w:val="2B4EA77A"/>
    <w:lvl w:ilvl="0">
      <w:start w:val="1"/>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nsid w:val="08B24597"/>
    <w:multiLevelType w:val="hybridMultilevel"/>
    <w:tmpl w:val="C5E6BEF0"/>
    <w:lvl w:ilvl="0" w:tplc="0416000F">
      <w:start w:val="1"/>
      <w:numFmt w:val="decimal"/>
      <w:lvlText w:val="%1."/>
      <w:lvlJc w:val="left"/>
      <w:pPr>
        <w:ind w:left="1571" w:hanging="360"/>
      </w:pPr>
    </w:lvl>
    <w:lvl w:ilvl="1" w:tplc="04160019" w:tentative="1">
      <w:start w:val="1"/>
      <w:numFmt w:val="lowerLetter"/>
      <w:lvlText w:val="%2."/>
      <w:lvlJc w:val="left"/>
      <w:pPr>
        <w:ind w:left="2291" w:hanging="360"/>
      </w:pPr>
    </w:lvl>
    <w:lvl w:ilvl="2" w:tplc="0416001B" w:tentative="1">
      <w:start w:val="1"/>
      <w:numFmt w:val="lowerRoman"/>
      <w:lvlText w:val="%3."/>
      <w:lvlJc w:val="right"/>
      <w:pPr>
        <w:ind w:left="3011" w:hanging="180"/>
      </w:pPr>
    </w:lvl>
    <w:lvl w:ilvl="3" w:tplc="0416000F" w:tentative="1">
      <w:start w:val="1"/>
      <w:numFmt w:val="decimal"/>
      <w:lvlText w:val="%4."/>
      <w:lvlJc w:val="left"/>
      <w:pPr>
        <w:ind w:left="3731" w:hanging="360"/>
      </w:pPr>
    </w:lvl>
    <w:lvl w:ilvl="4" w:tplc="04160019" w:tentative="1">
      <w:start w:val="1"/>
      <w:numFmt w:val="lowerLetter"/>
      <w:lvlText w:val="%5."/>
      <w:lvlJc w:val="left"/>
      <w:pPr>
        <w:ind w:left="4451" w:hanging="360"/>
      </w:pPr>
    </w:lvl>
    <w:lvl w:ilvl="5" w:tplc="0416001B" w:tentative="1">
      <w:start w:val="1"/>
      <w:numFmt w:val="lowerRoman"/>
      <w:lvlText w:val="%6."/>
      <w:lvlJc w:val="right"/>
      <w:pPr>
        <w:ind w:left="5171" w:hanging="180"/>
      </w:pPr>
    </w:lvl>
    <w:lvl w:ilvl="6" w:tplc="0416000F" w:tentative="1">
      <w:start w:val="1"/>
      <w:numFmt w:val="decimal"/>
      <w:lvlText w:val="%7."/>
      <w:lvlJc w:val="left"/>
      <w:pPr>
        <w:ind w:left="5891" w:hanging="360"/>
      </w:pPr>
    </w:lvl>
    <w:lvl w:ilvl="7" w:tplc="04160019" w:tentative="1">
      <w:start w:val="1"/>
      <w:numFmt w:val="lowerLetter"/>
      <w:lvlText w:val="%8."/>
      <w:lvlJc w:val="left"/>
      <w:pPr>
        <w:ind w:left="6611" w:hanging="360"/>
      </w:pPr>
    </w:lvl>
    <w:lvl w:ilvl="8" w:tplc="0416001B" w:tentative="1">
      <w:start w:val="1"/>
      <w:numFmt w:val="lowerRoman"/>
      <w:lvlText w:val="%9."/>
      <w:lvlJc w:val="right"/>
      <w:pPr>
        <w:ind w:left="7331" w:hanging="180"/>
      </w:pPr>
    </w:lvl>
  </w:abstractNum>
  <w:abstractNum w:abstractNumId="2">
    <w:nsid w:val="0B69609A"/>
    <w:multiLevelType w:val="hybridMultilevel"/>
    <w:tmpl w:val="66262AB2"/>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
    <w:nsid w:val="0DB16915"/>
    <w:multiLevelType w:val="hybridMultilevel"/>
    <w:tmpl w:val="2646D518"/>
    <w:lvl w:ilvl="0" w:tplc="0416000F">
      <w:start w:val="1"/>
      <w:numFmt w:val="decimal"/>
      <w:lvlText w:val="%1."/>
      <w:lvlJc w:val="left"/>
      <w:pPr>
        <w:ind w:left="1429" w:hanging="360"/>
      </w:pPr>
      <w:rPr>
        <w:rFont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4">
    <w:nsid w:val="18757E21"/>
    <w:multiLevelType w:val="hybridMultilevel"/>
    <w:tmpl w:val="3154CEFE"/>
    <w:lvl w:ilvl="0" w:tplc="0416000D">
      <w:start w:val="1"/>
      <w:numFmt w:val="bullet"/>
      <w:lvlText w:val=""/>
      <w:lvlJc w:val="left"/>
      <w:pPr>
        <w:ind w:left="1320" w:hanging="360"/>
      </w:pPr>
      <w:rPr>
        <w:rFonts w:ascii="Wingdings" w:hAnsi="Wingdings" w:hint="default"/>
      </w:rPr>
    </w:lvl>
    <w:lvl w:ilvl="1" w:tplc="04160003" w:tentative="1">
      <w:start w:val="1"/>
      <w:numFmt w:val="bullet"/>
      <w:lvlText w:val="o"/>
      <w:lvlJc w:val="left"/>
      <w:pPr>
        <w:ind w:left="2040" w:hanging="360"/>
      </w:pPr>
      <w:rPr>
        <w:rFonts w:ascii="Courier New" w:hAnsi="Courier New" w:cs="Courier New" w:hint="default"/>
      </w:rPr>
    </w:lvl>
    <w:lvl w:ilvl="2" w:tplc="04160005" w:tentative="1">
      <w:start w:val="1"/>
      <w:numFmt w:val="bullet"/>
      <w:lvlText w:val=""/>
      <w:lvlJc w:val="left"/>
      <w:pPr>
        <w:ind w:left="2760" w:hanging="360"/>
      </w:pPr>
      <w:rPr>
        <w:rFonts w:ascii="Wingdings" w:hAnsi="Wingdings" w:hint="default"/>
      </w:rPr>
    </w:lvl>
    <w:lvl w:ilvl="3" w:tplc="04160001" w:tentative="1">
      <w:start w:val="1"/>
      <w:numFmt w:val="bullet"/>
      <w:lvlText w:val=""/>
      <w:lvlJc w:val="left"/>
      <w:pPr>
        <w:ind w:left="3480" w:hanging="360"/>
      </w:pPr>
      <w:rPr>
        <w:rFonts w:ascii="Symbol" w:hAnsi="Symbol" w:hint="default"/>
      </w:rPr>
    </w:lvl>
    <w:lvl w:ilvl="4" w:tplc="04160003" w:tentative="1">
      <w:start w:val="1"/>
      <w:numFmt w:val="bullet"/>
      <w:lvlText w:val="o"/>
      <w:lvlJc w:val="left"/>
      <w:pPr>
        <w:ind w:left="4200" w:hanging="360"/>
      </w:pPr>
      <w:rPr>
        <w:rFonts w:ascii="Courier New" w:hAnsi="Courier New" w:cs="Courier New" w:hint="default"/>
      </w:rPr>
    </w:lvl>
    <w:lvl w:ilvl="5" w:tplc="04160005" w:tentative="1">
      <w:start w:val="1"/>
      <w:numFmt w:val="bullet"/>
      <w:lvlText w:val=""/>
      <w:lvlJc w:val="left"/>
      <w:pPr>
        <w:ind w:left="4920" w:hanging="360"/>
      </w:pPr>
      <w:rPr>
        <w:rFonts w:ascii="Wingdings" w:hAnsi="Wingdings" w:hint="default"/>
      </w:rPr>
    </w:lvl>
    <w:lvl w:ilvl="6" w:tplc="04160001" w:tentative="1">
      <w:start w:val="1"/>
      <w:numFmt w:val="bullet"/>
      <w:lvlText w:val=""/>
      <w:lvlJc w:val="left"/>
      <w:pPr>
        <w:ind w:left="5640" w:hanging="360"/>
      </w:pPr>
      <w:rPr>
        <w:rFonts w:ascii="Symbol" w:hAnsi="Symbol" w:hint="default"/>
      </w:rPr>
    </w:lvl>
    <w:lvl w:ilvl="7" w:tplc="04160003" w:tentative="1">
      <w:start w:val="1"/>
      <w:numFmt w:val="bullet"/>
      <w:lvlText w:val="o"/>
      <w:lvlJc w:val="left"/>
      <w:pPr>
        <w:ind w:left="6360" w:hanging="360"/>
      </w:pPr>
      <w:rPr>
        <w:rFonts w:ascii="Courier New" w:hAnsi="Courier New" w:cs="Courier New" w:hint="default"/>
      </w:rPr>
    </w:lvl>
    <w:lvl w:ilvl="8" w:tplc="04160005" w:tentative="1">
      <w:start w:val="1"/>
      <w:numFmt w:val="bullet"/>
      <w:lvlText w:val=""/>
      <w:lvlJc w:val="left"/>
      <w:pPr>
        <w:ind w:left="7080" w:hanging="360"/>
      </w:pPr>
      <w:rPr>
        <w:rFonts w:ascii="Wingdings" w:hAnsi="Wingdings" w:hint="default"/>
      </w:rPr>
    </w:lvl>
  </w:abstractNum>
  <w:abstractNum w:abstractNumId="5">
    <w:nsid w:val="1A62680F"/>
    <w:multiLevelType w:val="hybridMultilevel"/>
    <w:tmpl w:val="BDDE68A0"/>
    <w:lvl w:ilvl="0" w:tplc="72883AA6">
      <w:start w:val="1"/>
      <w:numFmt w:val="decimal"/>
      <w:lvlText w:val="Objetivo %1."/>
      <w:lvlJc w:val="left"/>
      <w:pPr>
        <w:ind w:left="2190" w:hanging="360"/>
      </w:pPr>
      <w:rPr>
        <w:b/>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6">
    <w:nsid w:val="1B804629"/>
    <w:multiLevelType w:val="hybridMultilevel"/>
    <w:tmpl w:val="CBFC2B54"/>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7">
    <w:nsid w:val="1EC938C3"/>
    <w:multiLevelType w:val="hybridMultilevel"/>
    <w:tmpl w:val="9530EF56"/>
    <w:lvl w:ilvl="0" w:tplc="0416000D">
      <w:start w:val="1"/>
      <w:numFmt w:val="bullet"/>
      <w:lvlText w:val=""/>
      <w:lvlJc w:val="left"/>
      <w:pPr>
        <w:ind w:left="1320" w:hanging="360"/>
      </w:pPr>
      <w:rPr>
        <w:rFonts w:ascii="Wingdings" w:hAnsi="Wingdings" w:hint="default"/>
      </w:rPr>
    </w:lvl>
    <w:lvl w:ilvl="1" w:tplc="04160003" w:tentative="1">
      <w:start w:val="1"/>
      <w:numFmt w:val="bullet"/>
      <w:lvlText w:val="o"/>
      <w:lvlJc w:val="left"/>
      <w:pPr>
        <w:ind w:left="2040" w:hanging="360"/>
      </w:pPr>
      <w:rPr>
        <w:rFonts w:ascii="Courier New" w:hAnsi="Courier New" w:cs="Courier New" w:hint="default"/>
      </w:rPr>
    </w:lvl>
    <w:lvl w:ilvl="2" w:tplc="04160005" w:tentative="1">
      <w:start w:val="1"/>
      <w:numFmt w:val="bullet"/>
      <w:lvlText w:val=""/>
      <w:lvlJc w:val="left"/>
      <w:pPr>
        <w:ind w:left="2760" w:hanging="360"/>
      </w:pPr>
      <w:rPr>
        <w:rFonts w:ascii="Wingdings" w:hAnsi="Wingdings" w:hint="default"/>
      </w:rPr>
    </w:lvl>
    <w:lvl w:ilvl="3" w:tplc="04160001" w:tentative="1">
      <w:start w:val="1"/>
      <w:numFmt w:val="bullet"/>
      <w:lvlText w:val=""/>
      <w:lvlJc w:val="left"/>
      <w:pPr>
        <w:ind w:left="3480" w:hanging="360"/>
      </w:pPr>
      <w:rPr>
        <w:rFonts w:ascii="Symbol" w:hAnsi="Symbol" w:hint="default"/>
      </w:rPr>
    </w:lvl>
    <w:lvl w:ilvl="4" w:tplc="04160003" w:tentative="1">
      <w:start w:val="1"/>
      <w:numFmt w:val="bullet"/>
      <w:lvlText w:val="o"/>
      <w:lvlJc w:val="left"/>
      <w:pPr>
        <w:ind w:left="4200" w:hanging="360"/>
      </w:pPr>
      <w:rPr>
        <w:rFonts w:ascii="Courier New" w:hAnsi="Courier New" w:cs="Courier New" w:hint="default"/>
      </w:rPr>
    </w:lvl>
    <w:lvl w:ilvl="5" w:tplc="04160005" w:tentative="1">
      <w:start w:val="1"/>
      <w:numFmt w:val="bullet"/>
      <w:lvlText w:val=""/>
      <w:lvlJc w:val="left"/>
      <w:pPr>
        <w:ind w:left="4920" w:hanging="360"/>
      </w:pPr>
      <w:rPr>
        <w:rFonts w:ascii="Wingdings" w:hAnsi="Wingdings" w:hint="default"/>
      </w:rPr>
    </w:lvl>
    <w:lvl w:ilvl="6" w:tplc="04160001" w:tentative="1">
      <w:start w:val="1"/>
      <w:numFmt w:val="bullet"/>
      <w:lvlText w:val=""/>
      <w:lvlJc w:val="left"/>
      <w:pPr>
        <w:ind w:left="5640" w:hanging="360"/>
      </w:pPr>
      <w:rPr>
        <w:rFonts w:ascii="Symbol" w:hAnsi="Symbol" w:hint="default"/>
      </w:rPr>
    </w:lvl>
    <w:lvl w:ilvl="7" w:tplc="04160003" w:tentative="1">
      <w:start w:val="1"/>
      <w:numFmt w:val="bullet"/>
      <w:lvlText w:val="o"/>
      <w:lvlJc w:val="left"/>
      <w:pPr>
        <w:ind w:left="6360" w:hanging="360"/>
      </w:pPr>
      <w:rPr>
        <w:rFonts w:ascii="Courier New" w:hAnsi="Courier New" w:cs="Courier New" w:hint="default"/>
      </w:rPr>
    </w:lvl>
    <w:lvl w:ilvl="8" w:tplc="04160005" w:tentative="1">
      <w:start w:val="1"/>
      <w:numFmt w:val="bullet"/>
      <w:lvlText w:val=""/>
      <w:lvlJc w:val="left"/>
      <w:pPr>
        <w:ind w:left="7080" w:hanging="360"/>
      </w:pPr>
      <w:rPr>
        <w:rFonts w:ascii="Wingdings" w:hAnsi="Wingdings" w:hint="default"/>
      </w:rPr>
    </w:lvl>
  </w:abstractNum>
  <w:abstractNum w:abstractNumId="8">
    <w:nsid w:val="1FDA27CC"/>
    <w:multiLevelType w:val="hybridMultilevel"/>
    <w:tmpl w:val="0B2AA078"/>
    <w:lvl w:ilvl="0" w:tplc="04160019">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nsid w:val="204816EA"/>
    <w:multiLevelType w:val="hybridMultilevel"/>
    <w:tmpl w:val="6FEA077C"/>
    <w:lvl w:ilvl="0" w:tplc="04160001">
      <w:start w:val="1"/>
      <w:numFmt w:val="bullet"/>
      <w:lvlText w:val=""/>
      <w:lvlJc w:val="left"/>
      <w:pPr>
        <w:ind w:left="1428" w:hanging="360"/>
      </w:pPr>
      <w:rPr>
        <w:rFonts w:ascii="Symbol" w:hAnsi="Symbol" w:hint="default"/>
      </w:rPr>
    </w:lvl>
    <w:lvl w:ilvl="1" w:tplc="04160003">
      <w:start w:val="1"/>
      <w:numFmt w:val="bullet"/>
      <w:lvlText w:val="o"/>
      <w:lvlJc w:val="left"/>
      <w:pPr>
        <w:ind w:left="2148" w:hanging="360"/>
      </w:pPr>
      <w:rPr>
        <w:rFonts w:ascii="Courier New" w:hAnsi="Courier New" w:cs="Courier New" w:hint="default"/>
      </w:rPr>
    </w:lvl>
    <w:lvl w:ilvl="2" w:tplc="04160005">
      <w:start w:val="1"/>
      <w:numFmt w:val="bullet"/>
      <w:lvlText w:val=""/>
      <w:lvlJc w:val="left"/>
      <w:pPr>
        <w:ind w:left="2868" w:hanging="360"/>
      </w:pPr>
      <w:rPr>
        <w:rFonts w:ascii="Wingdings" w:hAnsi="Wingdings" w:hint="default"/>
      </w:rPr>
    </w:lvl>
    <w:lvl w:ilvl="3" w:tplc="04160001">
      <w:start w:val="1"/>
      <w:numFmt w:val="bullet"/>
      <w:lvlText w:val=""/>
      <w:lvlJc w:val="left"/>
      <w:pPr>
        <w:ind w:left="3588" w:hanging="360"/>
      </w:pPr>
      <w:rPr>
        <w:rFonts w:ascii="Symbol" w:hAnsi="Symbol" w:hint="default"/>
      </w:rPr>
    </w:lvl>
    <w:lvl w:ilvl="4" w:tplc="04160003">
      <w:start w:val="1"/>
      <w:numFmt w:val="bullet"/>
      <w:lvlText w:val="o"/>
      <w:lvlJc w:val="left"/>
      <w:pPr>
        <w:ind w:left="4308" w:hanging="360"/>
      </w:pPr>
      <w:rPr>
        <w:rFonts w:ascii="Courier New" w:hAnsi="Courier New" w:cs="Courier New" w:hint="default"/>
      </w:rPr>
    </w:lvl>
    <w:lvl w:ilvl="5" w:tplc="04160005">
      <w:start w:val="1"/>
      <w:numFmt w:val="bullet"/>
      <w:lvlText w:val=""/>
      <w:lvlJc w:val="left"/>
      <w:pPr>
        <w:ind w:left="5028" w:hanging="360"/>
      </w:pPr>
      <w:rPr>
        <w:rFonts w:ascii="Wingdings" w:hAnsi="Wingdings" w:hint="default"/>
      </w:rPr>
    </w:lvl>
    <w:lvl w:ilvl="6" w:tplc="04160001">
      <w:start w:val="1"/>
      <w:numFmt w:val="bullet"/>
      <w:lvlText w:val=""/>
      <w:lvlJc w:val="left"/>
      <w:pPr>
        <w:ind w:left="5748" w:hanging="360"/>
      </w:pPr>
      <w:rPr>
        <w:rFonts w:ascii="Symbol" w:hAnsi="Symbol" w:hint="default"/>
      </w:rPr>
    </w:lvl>
    <w:lvl w:ilvl="7" w:tplc="04160003">
      <w:start w:val="1"/>
      <w:numFmt w:val="bullet"/>
      <w:lvlText w:val="o"/>
      <w:lvlJc w:val="left"/>
      <w:pPr>
        <w:ind w:left="6468" w:hanging="360"/>
      </w:pPr>
      <w:rPr>
        <w:rFonts w:ascii="Courier New" w:hAnsi="Courier New" w:cs="Courier New" w:hint="default"/>
      </w:rPr>
    </w:lvl>
    <w:lvl w:ilvl="8" w:tplc="04160005">
      <w:start w:val="1"/>
      <w:numFmt w:val="bullet"/>
      <w:lvlText w:val=""/>
      <w:lvlJc w:val="left"/>
      <w:pPr>
        <w:ind w:left="7188" w:hanging="360"/>
      </w:pPr>
      <w:rPr>
        <w:rFonts w:ascii="Wingdings" w:hAnsi="Wingdings" w:hint="default"/>
      </w:rPr>
    </w:lvl>
  </w:abstractNum>
  <w:abstractNum w:abstractNumId="10">
    <w:nsid w:val="236C30CE"/>
    <w:multiLevelType w:val="hybridMultilevel"/>
    <w:tmpl w:val="2398C45E"/>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1">
    <w:nsid w:val="2591641D"/>
    <w:multiLevelType w:val="hybridMultilevel"/>
    <w:tmpl w:val="BDDE68A0"/>
    <w:lvl w:ilvl="0" w:tplc="72883AA6">
      <w:start w:val="1"/>
      <w:numFmt w:val="decimal"/>
      <w:lvlText w:val="Objetivo %1."/>
      <w:lvlJc w:val="left"/>
      <w:pPr>
        <w:ind w:left="2190" w:hanging="360"/>
      </w:pPr>
      <w:rPr>
        <w:b/>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2">
    <w:nsid w:val="27A63552"/>
    <w:multiLevelType w:val="hybridMultilevel"/>
    <w:tmpl w:val="AC7A526E"/>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3">
    <w:nsid w:val="28102EFC"/>
    <w:multiLevelType w:val="hybridMultilevel"/>
    <w:tmpl w:val="54362A78"/>
    <w:lvl w:ilvl="0" w:tplc="04160009">
      <w:start w:val="1"/>
      <w:numFmt w:val="bullet"/>
      <w:lvlText w:val=""/>
      <w:lvlJc w:val="left"/>
      <w:pPr>
        <w:ind w:left="720" w:hanging="360"/>
      </w:pPr>
      <w:rPr>
        <w:rFonts w:ascii="Wingdings" w:hAnsi="Wingding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nsid w:val="2AA65888"/>
    <w:multiLevelType w:val="hybridMultilevel"/>
    <w:tmpl w:val="219EF0D2"/>
    <w:lvl w:ilvl="0" w:tplc="0416000D">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5">
    <w:nsid w:val="2B423085"/>
    <w:multiLevelType w:val="hybridMultilevel"/>
    <w:tmpl w:val="562EA698"/>
    <w:lvl w:ilvl="0" w:tplc="D480DBB2">
      <w:numFmt w:val="bullet"/>
      <w:lvlText w:val="•"/>
      <w:lvlJc w:val="left"/>
      <w:pPr>
        <w:ind w:left="2628" w:hanging="360"/>
      </w:pPr>
      <w:rPr>
        <w:rFonts w:ascii="Arial" w:eastAsia="Calibri" w:hAnsi="Arial" w:cs="Aria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nsid w:val="2B7A1F66"/>
    <w:multiLevelType w:val="hybridMultilevel"/>
    <w:tmpl w:val="94EEEA30"/>
    <w:lvl w:ilvl="0" w:tplc="0416000F">
      <w:start w:val="1"/>
      <w:numFmt w:val="decimal"/>
      <w:lvlText w:val="%1."/>
      <w:lvlJc w:val="left"/>
      <w:pPr>
        <w:ind w:left="765" w:hanging="360"/>
      </w:pPr>
    </w:lvl>
    <w:lvl w:ilvl="1" w:tplc="04160019" w:tentative="1">
      <w:start w:val="1"/>
      <w:numFmt w:val="lowerLetter"/>
      <w:lvlText w:val="%2."/>
      <w:lvlJc w:val="left"/>
      <w:pPr>
        <w:ind w:left="1485" w:hanging="360"/>
      </w:pPr>
    </w:lvl>
    <w:lvl w:ilvl="2" w:tplc="0416001B" w:tentative="1">
      <w:start w:val="1"/>
      <w:numFmt w:val="lowerRoman"/>
      <w:lvlText w:val="%3."/>
      <w:lvlJc w:val="right"/>
      <w:pPr>
        <w:ind w:left="2205" w:hanging="180"/>
      </w:pPr>
    </w:lvl>
    <w:lvl w:ilvl="3" w:tplc="0416000F" w:tentative="1">
      <w:start w:val="1"/>
      <w:numFmt w:val="decimal"/>
      <w:lvlText w:val="%4."/>
      <w:lvlJc w:val="left"/>
      <w:pPr>
        <w:ind w:left="2925" w:hanging="360"/>
      </w:pPr>
    </w:lvl>
    <w:lvl w:ilvl="4" w:tplc="04160019" w:tentative="1">
      <w:start w:val="1"/>
      <w:numFmt w:val="lowerLetter"/>
      <w:lvlText w:val="%5."/>
      <w:lvlJc w:val="left"/>
      <w:pPr>
        <w:ind w:left="3645" w:hanging="360"/>
      </w:pPr>
    </w:lvl>
    <w:lvl w:ilvl="5" w:tplc="0416001B" w:tentative="1">
      <w:start w:val="1"/>
      <w:numFmt w:val="lowerRoman"/>
      <w:lvlText w:val="%6."/>
      <w:lvlJc w:val="right"/>
      <w:pPr>
        <w:ind w:left="4365" w:hanging="180"/>
      </w:pPr>
    </w:lvl>
    <w:lvl w:ilvl="6" w:tplc="0416000F" w:tentative="1">
      <w:start w:val="1"/>
      <w:numFmt w:val="decimal"/>
      <w:lvlText w:val="%7."/>
      <w:lvlJc w:val="left"/>
      <w:pPr>
        <w:ind w:left="5085" w:hanging="360"/>
      </w:pPr>
    </w:lvl>
    <w:lvl w:ilvl="7" w:tplc="04160019" w:tentative="1">
      <w:start w:val="1"/>
      <w:numFmt w:val="lowerLetter"/>
      <w:lvlText w:val="%8."/>
      <w:lvlJc w:val="left"/>
      <w:pPr>
        <w:ind w:left="5805" w:hanging="360"/>
      </w:pPr>
    </w:lvl>
    <w:lvl w:ilvl="8" w:tplc="0416001B" w:tentative="1">
      <w:start w:val="1"/>
      <w:numFmt w:val="lowerRoman"/>
      <w:lvlText w:val="%9."/>
      <w:lvlJc w:val="right"/>
      <w:pPr>
        <w:ind w:left="6525" w:hanging="180"/>
      </w:pPr>
    </w:lvl>
  </w:abstractNum>
  <w:abstractNum w:abstractNumId="17">
    <w:nsid w:val="2B7F5F57"/>
    <w:multiLevelType w:val="hybridMultilevel"/>
    <w:tmpl w:val="BDDE68A0"/>
    <w:lvl w:ilvl="0" w:tplc="72883AA6">
      <w:start w:val="1"/>
      <w:numFmt w:val="decimal"/>
      <w:lvlText w:val="Objetivo %1."/>
      <w:lvlJc w:val="left"/>
      <w:pPr>
        <w:ind w:left="2190" w:hanging="360"/>
      </w:pPr>
      <w:rPr>
        <w:b/>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8">
    <w:nsid w:val="2C0E5098"/>
    <w:multiLevelType w:val="hybridMultilevel"/>
    <w:tmpl w:val="4E44180C"/>
    <w:lvl w:ilvl="0" w:tplc="0416000D">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9">
    <w:nsid w:val="2CAE5649"/>
    <w:multiLevelType w:val="hybridMultilevel"/>
    <w:tmpl w:val="D8BADB1E"/>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nsid w:val="2E0A7DCD"/>
    <w:multiLevelType w:val="hybridMultilevel"/>
    <w:tmpl w:val="AAB09A6C"/>
    <w:lvl w:ilvl="0" w:tplc="FFFFFFFF">
      <w:start w:val="1"/>
      <w:numFmt w:val="bullet"/>
      <w:pStyle w:val="SHS-Lista"/>
      <w:lvlText w:val=""/>
      <w:lvlJc w:val="left"/>
      <w:pPr>
        <w:tabs>
          <w:tab w:val="num" w:pos="1418"/>
        </w:tabs>
        <w:ind w:left="1418" w:hanging="567"/>
      </w:pPr>
      <w:rPr>
        <w:rFonts w:ascii="Symbol" w:hAnsi="Symbol" w:hint="default"/>
      </w:rPr>
    </w:lvl>
    <w:lvl w:ilvl="1" w:tplc="FFFFFFFF">
      <w:numFmt w:val="bullet"/>
      <w:lvlText w:val="-"/>
      <w:lvlJc w:val="left"/>
      <w:pPr>
        <w:tabs>
          <w:tab w:val="num" w:pos="1440"/>
        </w:tabs>
        <w:ind w:left="1440" w:hanging="360"/>
      </w:pPr>
      <w:rPr>
        <w:rFonts w:ascii="Times New Roman" w:eastAsia="Times New Roman" w:hAnsi="Times New Roman"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decimal"/>
      <w:lvlText w:val="%4."/>
      <w:lvlJc w:val="left"/>
      <w:pPr>
        <w:tabs>
          <w:tab w:val="num" w:pos="2880"/>
        </w:tabs>
        <w:ind w:left="2880" w:hanging="360"/>
      </w:pPr>
      <w:rPr>
        <w:rFonts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
    <w:nsid w:val="2E1348EC"/>
    <w:multiLevelType w:val="hybridMultilevel"/>
    <w:tmpl w:val="BDDE68A0"/>
    <w:lvl w:ilvl="0" w:tplc="72883AA6">
      <w:start w:val="1"/>
      <w:numFmt w:val="decimal"/>
      <w:lvlText w:val="Objetivo %1."/>
      <w:lvlJc w:val="left"/>
      <w:pPr>
        <w:ind w:left="2190" w:hanging="360"/>
      </w:pPr>
      <w:rPr>
        <w:b/>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2">
    <w:nsid w:val="2E953F8D"/>
    <w:multiLevelType w:val="hybridMultilevel"/>
    <w:tmpl w:val="7598EC06"/>
    <w:lvl w:ilvl="0" w:tplc="04160001">
      <w:start w:val="1"/>
      <w:numFmt w:val="bullet"/>
      <w:lvlText w:val=""/>
      <w:lvlJc w:val="left"/>
      <w:pPr>
        <w:ind w:left="1428" w:hanging="360"/>
      </w:pPr>
      <w:rPr>
        <w:rFonts w:ascii="Symbol" w:hAnsi="Symbol" w:hint="default"/>
      </w:rPr>
    </w:lvl>
    <w:lvl w:ilvl="1" w:tplc="04160003">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23">
    <w:nsid w:val="2FF50217"/>
    <w:multiLevelType w:val="hybridMultilevel"/>
    <w:tmpl w:val="ABA21A5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nsid w:val="326D4626"/>
    <w:multiLevelType w:val="hybridMultilevel"/>
    <w:tmpl w:val="11121D0E"/>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nsid w:val="3355042F"/>
    <w:multiLevelType w:val="multilevel"/>
    <w:tmpl w:val="792269A6"/>
    <w:lvl w:ilvl="0">
      <w:start w:val="1"/>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nsid w:val="33660DCB"/>
    <w:multiLevelType w:val="hybridMultilevel"/>
    <w:tmpl w:val="B596B94E"/>
    <w:lvl w:ilvl="0" w:tplc="04160005">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7">
    <w:nsid w:val="36301BE9"/>
    <w:multiLevelType w:val="multilevel"/>
    <w:tmpl w:val="CE5E946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nsid w:val="37394C80"/>
    <w:multiLevelType w:val="hybridMultilevel"/>
    <w:tmpl w:val="0CCEA5D0"/>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29">
    <w:nsid w:val="37E927F7"/>
    <w:multiLevelType w:val="hybridMultilevel"/>
    <w:tmpl w:val="EBDC0584"/>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0">
    <w:nsid w:val="38E0263E"/>
    <w:multiLevelType w:val="hybridMultilevel"/>
    <w:tmpl w:val="8EB2DB16"/>
    <w:lvl w:ilvl="0" w:tplc="04160001">
      <w:start w:val="1"/>
      <w:numFmt w:val="bullet"/>
      <w:lvlText w:val=""/>
      <w:lvlJc w:val="left"/>
      <w:pPr>
        <w:ind w:left="1571" w:hanging="360"/>
      </w:pPr>
      <w:rPr>
        <w:rFonts w:ascii="Symbol" w:hAnsi="Symbol" w:hint="default"/>
      </w:rPr>
    </w:lvl>
    <w:lvl w:ilvl="1" w:tplc="04160003">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31">
    <w:nsid w:val="39EC59B8"/>
    <w:multiLevelType w:val="hybridMultilevel"/>
    <w:tmpl w:val="5762B142"/>
    <w:lvl w:ilvl="0" w:tplc="1D3E4D48">
      <w:start w:val="1"/>
      <w:numFmt w:val="bullet"/>
      <w:lvlText w:val=""/>
      <w:lvlJc w:val="left"/>
      <w:pPr>
        <w:ind w:left="720" w:hanging="360"/>
      </w:pPr>
      <w:rPr>
        <w:rFonts w:ascii="Symbol" w:hAnsi="Symbol" w:hint="default"/>
      </w:rPr>
    </w:lvl>
    <w:lvl w:ilvl="1" w:tplc="481CEDD4" w:tentative="1">
      <w:start w:val="1"/>
      <w:numFmt w:val="bullet"/>
      <w:lvlText w:val="o"/>
      <w:lvlJc w:val="left"/>
      <w:pPr>
        <w:ind w:left="1440" w:hanging="360"/>
      </w:pPr>
      <w:rPr>
        <w:rFonts w:ascii="Courier New" w:hAnsi="Courier New" w:cs="Courier New" w:hint="default"/>
      </w:rPr>
    </w:lvl>
    <w:lvl w:ilvl="2" w:tplc="6D4C843C" w:tentative="1">
      <w:start w:val="1"/>
      <w:numFmt w:val="bullet"/>
      <w:lvlText w:val=""/>
      <w:lvlJc w:val="left"/>
      <w:pPr>
        <w:ind w:left="2160" w:hanging="360"/>
      </w:pPr>
      <w:rPr>
        <w:rFonts w:ascii="Wingdings" w:hAnsi="Wingdings" w:hint="default"/>
      </w:rPr>
    </w:lvl>
    <w:lvl w:ilvl="3" w:tplc="94A06012" w:tentative="1">
      <w:start w:val="1"/>
      <w:numFmt w:val="bullet"/>
      <w:lvlText w:val=""/>
      <w:lvlJc w:val="left"/>
      <w:pPr>
        <w:ind w:left="2880" w:hanging="360"/>
      </w:pPr>
      <w:rPr>
        <w:rFonts w:ascii="Symbol" w:hAnsi="Symbol" w:hint="default"/>
      </w:rPr>
    </w:lvl>
    <w:lvl w:ilvl="4" w:tplc="1FB6F9E2" w:tentative="1">
      <w:start w:val="1"/>
      <w:numFmt w:val="bullet"/>
      <w:lvlText w:val="o"/>
      <w:lvlJc w:val="left"/>
      <w:pPr>
        <w:ind w:left="3600" w:hanging="360"/>
      </w:pPr>
      <w:rPr>
        <w:rFonts w:ascii="Courier New" w:hAnsi="Courier New" w:cs="Courier New" w:hint="default"/>
      </w:rPr>
    </w:lvl>
    <w:lvl w:ilvl="5" w:tplc="F8765236" w:tentative="1">
      <w:start w:val="1"/>
      <w:numFmt w:val="bullet"/>
      <w:lvlText w:val=""/>
      <w:lvlJc w:val="left"/>
      <w:pPr>
        <w:ind w:left="4320" w:hanging="360"/>
      </w:pPr>
      <w:rPr>
        <w:rFonts w:ascii="Wingdings" w:hAnsi="Wingdings" w:hint="default"/>
      </w:rPr>
    </w:lvl>
    <w:lvl w:ilvl="6" w:tplc="5E6A7360" w:tentative="1">
      <w:start w:val="1"/>
      <w:numFmt w:val="bullet"/>
      <w:lvlText w:val=""/>
      <w:lvlJc w:val="left"/>
      <w:pPr>
        <w:ind w:left="5040" w:hanging="360"/>
      </w:pPr>
      <w:rPr>
        <w:rFonts w:ascii="Symbol" w:hAnsi="Symbol" w:hint="default"/>
      </w:rPr>
    </w:lvl>
    <w:lvl w:ilvl="7" w:tplc="CAEE8C2A" w:tentative="1">
      <w:start w:val="1"/>
      <w:numFmt w:val="bullet"/>
      <w:lvlText w:val="o"/>
      <w:lvlJc w:val="left"/>
      <w:pPr>
        <w:ind w:left="5760" w:hanging="360"/>
      </w:pPr>
      <w:rPr>
        <w:rFonts w:ascii="Courier New" w:hAnsi="Courier New" w:cs="Courier New" w:hint="default"/>
      </w:rPr>
    </w:lvl>
    <w:lvl w:ilvl="8" w:tplc="C37ACF4C" w:tentative="1">
      <w:start w:val="1"/>
      <w:numFmt w:val="bullet"/>
      <w:lvlText w:val=""/>
      <w:lvlJc w:val="left"/>
      <w:pPr>
        <w:ind w:left="6480" w:hanging="360"/>
      </w:pPr>
      <w:rPr>
        <w:rFonts w:ascii="Wingdings" w:hAnsi="Wingdings" w:hint="default"/>
      </w:rPr>
    </w:lvl>
  </w:abstractNum>
  <w:abstractNum w:abstractNumId="32">
    <w:nsid w:val="3A2C757E"/>
    <w:multiLevelType w:val="hybridMultilevel"/>
    <w:tmpl w:val="4C28237A"/>
    <w:lvl w:ilvl="0" w:tplc="D1DEED0A">
      <w:start w:val="1"/>
      <w:numFmt w:val="bullet"/>
      <w:lvlText w:val="-"/>
      <w:lvlJc w:val="left"/>
      <w:pPr>
        <w:ind w:left="720" w:hanging="360"/>
      </w:pPr>
      <w:rPr>
        <w:rFonts w:ascii="Agency FB" w:hAnsi="Agency FB"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3">
    <w:nsid w:val="3A934D69"/>
    <w:multiLevelType w:val="hybridMultilevel"/>
    <w:tmpl w:val="EB0CEB7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4">
    <w:nsid w:val="3E7B2E2A"/>
    <w:multiLevelType w:val="multilevel"/>
    <w:tmpl w:val="FFDC3E3E"/>
    <w:lvl w:ilvl="0">
      <w:start w:val="1"/>
      <w:numFmt w:val="decimal"/>
      <w:lvlText w:val="%1."/>
      <w:lvlJc w:val="left"/>
      <w:pPr>
        <w:ind w:left="360" w:hanging="360"/>
      </w:pPr>
    </w:lvl>
    <w:lvl w:ilvl="1">
      <w:start w:val="1"/>
      <w:numFmt w:val="decimal"/>
      <w:isLgl/>
      <w:lvlText w:val="%1.%2"/>
      <w:lvlJc w:val="left"/>
      <w:pPr>
        <w:ind w:left="765" w:hanging="360"/>
      </w:pPr>
      <w:rPr>
        <w:rFonts w:hint="default"/>
      </w:rPr>
    </w:lvl>
    <w:lvl w:ilvl="2">
      <w:start w:val="1"/>
      <w:numFmt w:val="decimal"/>
      <w:isLgl/>
      <w:lvlText w:val="%1.%2.%3"/>
      <w:lvlJc w:val="left"/>
      <w:pPr>
        <w:ind w:left="1125" w:hanging="720"/>
      </w:pPr>
      <w:rPr>
        <w:rFonts w:hint="default"/>
      </w:rPr>
    </w:lvl>
    <w:lvl w:ilvl="3">
      <w:start w:val="1"/>
      <w:numFmt w:val="decimal"/>
      <w:isLgl/>
      <w:lvlText w:val="%1.%2.%3.%4"/>
      <w:lvlJc w:val="left"/>
      <w:pPr>
        <w:ind w:left="1125" w:hanging="720"/>
      </w:pPr>
      <w:rPr>
        <w:rFonts w:hint="default"/>
      </w:rPr>
    </w:lvl>
    <w:lvl w:ilvl="4">
      <w:start w:val="1"/>
      <w:numFmt w:val="decimal"/>
      <w:isLgl/>
      <w:lvlText w:val="%1.%2.%3.%4.%5"/>
      <w:lvlJc w:val="left"/>
      <w:pPr>
        <w:ind w:left="1125" w:hanging="720"/>
      </w:pPr>
      <w:rPr>
        <w:rFonts w:hint="default"/>
      </w:rPr>
    </w:lvl>
    <w:lvl w:ilvl="5">
      <w:start w:val="1"/>
      <w:numFmt w:val="decimal"/>
      <w:isLgl/>
      <w:lvlText w:val="%1.%2.%3.%4.%5.%6"/>
      <w:lvlJc w:val="left"/>
      <w:pPr>
        <w:ind w:left="1485" w:hanging="1080"/>
      </w:pPr>
      <w:rPr>
        <w:rFonts w:hint="default"/>
      </w:rPr>
    </w:lvl>
    <w:lvl w:ilvl="6">
      <w:start w:val="1"/>
      <w:numFmt w:val="decimal"/>
      <w:isLgl/>
      <w:lvlText w:val="%1.%2.%3.%4.%5.%6.%7"/>
      <w:lvlJc w:val="left"/>
      <w:pPr>
        <w:ind w:left="1485" w:hanging="1080"/>
      </w:pPr>
      <w:rPr>
        <w:rFonts w:hint="default"/>
      </w:rPr>
    </w:lvl>
    <w:lvl w:ilvl="7">
      <w:start w:val="1"/>
      <w:numFmt w:val="decimal"/>
      <w:isLgl/>
      <w:lvlText w:val="%1.%2.%3.%4.%5.%6.%7.%8"/>
      <w:lvlJc w:val="left"/>
      <w:pPr>
        <w:ind w:left="1845" w:hanging="1440"/>
      </w:pPr>
      <w:rPr>
        <w:rFonts w:hint="default"/>
      </w:rPr>
    </w:lvl>
    <w:lvl w:ilvl="8">
      <w:start w:val="1"/>
      <w:numFmt w:val="decimal"/>
      <w:isLgl/>
      <w:lvlText w:val="%1.%2.%3.%4.%5.%6.%7.%8.%9"/>
      <w:lvlJc w:val="left"/>
      <w:pPr>
        <w:ind w:left="1845" w:hanging="1440"/>
      </w:pPr>
      <w:rPr>
        <w:rFonts w:hint="default"/>
      </w:rPr>
    </w:lvl>
  </w:abstractNum>
  <w:abstractNum w:abstractNumId="35">
    <w:nsid w:val="41BE517B"/>
    <w:multiLevelType w:val="hybridMultilevel"/>
    <w:tmpl w:val="BDDE68A0"/>
    <w:lvl w:ilvl="0" w:tplc="72883AA6">
      <w:start w:val="1"/>
      <w:numFmt w:val="decimal"/>
      <w:lvlText w:val="Objetivo %1."/>
      <w:lvlJc w:val="left"/>
      <w:pPr>
        <w:ind w:left="2190" w:hanging="360"/>
      </w:pPr>
      <w:rPr>
        <w:b/>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6">
    <w:nsid w:val="43F25433"/>
    <w:multiLevelType w:val="hybridMultilevel"/>
    <w:tmpl w:val="C8EC9FEA"/>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7">
    <w:nsid w:val="43FA0AA9"/>
    <w:multiLevelType w:val="hybridMultilevel"/>
    <w:tmpl w:val="5830A362"/>
    <w:lvl w:ilvl="0" w:tplc="0416000D">
      <w:start w:val="1"/>
      <w:numFmt w:val="bullet"/>
      <w:lvlText w:val=""/>
      <w:lvlJc w:val="left"/>
      <w:pPr>
        <w:ind w:left="1428" w:hanging="360"/>
      </w:pPr>
      <w:rPr>
        <w:rFonts w:ascii="Wingdings" w:hAnsi="Wingdings"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38">
    <w:nsid w:val="47B405A4"/>
    <w:multiLevelType w:val="hybridMultilevel"/>
    <w:tmpl w:val="12F809BE"/>
    <w:lvl w:ilvl="0" w:tplc="0416000D">
      <w:start w:val="1"/>
      <w:numFmt w:val="bullet"/>
      <w:lvlText w:val=""/>
      <w:lvlJc w:val="left"/>
      <w:pPr>
        <w:ind w:left="1713" w:hanging="360"/>
      </w:pPr>
      <w:rPr>
        <w:rFonts w:ascii="Wingdings" w:hAnsi="Wingdings" w:hint="default"/>
      </w:rPr>
    </w:lvl>
    <w:lvl w:ilvl="1" w:tplc="04160003" w:tentative="1">
      <w:start w:val="1"/>
      <w:numFmt w:val="bullet"/>
      <w:lvlText w:val="o"/>
      <w:lvlJc w:val="left"/>
      <w:pPr>
        <w:ind w:left="2433" w:hanging="360"/>
      </w:pPr>
      <w:rPr>
        <w:rFonts w:ascii="Courier New" w:hAnsi="Courier New" w:cs="Courier New" w:hint="default"/>
      </w:rPr>
    </w:lvl>
    <w:lvl w:ilvl="2" w:tplc="04160005" w:tentative="1">
      <w:start w:val="1"/>
      <w:numFmt w:val="bullet"/>
      <w:lvlText w:val=""/>
      <w:lvlJc w:val="left"/>
      <w:pPr>
        <w:ind w:left="3153" w:hanging="360"/>
      </w:pPr>
      <w:rPr>
        <w:rFonts w:ascii="Wingdings" w:hAnsi="Wingdings" w:hint="default"/>
      </w:rPr>
    </w:lvl>
    <w:lvl w:ilvl="3" w:tplc="04160001" w:tentative="1">
      <w:start w:val="1"/>
      <w:numFmt w:val="bullet"/>
      <w:lvlText w:val=""/>
      <w:lvlJc w:val="left"/>
      <w:pPr>
        <w:ind w:left="3873" w:hanging="360"/>
      </w:pPr>
      <w:rPr>
        <w:rFonts w:ascii="Symbol" w:hAnsi="Symbol" w:hint="default"/>
      </w:rPr>
    </w:lvl>
    <w:lvl w:ilvl="4" w:tplc="04160003" w:tentative="1">
      <w:start w:val="1"/>
      <w:numFmt w:val="bullet"/>
      <w:lvlText w:val="o"/>
      <w:lvlJc w:val="left"/>
      <w:pPr>
        <w:ind w:left="4593" w:hanging="360"/>
      </w:pPr>
      <w:rPr>
        <w:rFonts w:ascii="Courier New" w:hAnsi="Courier New" w:cs="Courier New" w:hint="default"/>
      </w:rPr>
    </w:lvl>
    <w:lvl w:ilvl="5" w:tplc="04160005" w:tentative="1">
      <w:start w:val="1"/>
      <w:numFmt w:val="bullet"/>
      <w:lvlText w:val=""/>
      <w:lvlJc w:val="left"/>
      <w:pPr>
        <w:ind w:left="5313" w:hanging="360"/>
      </w:pPr>
      <w:rPr>
        <w:rFonts w:ascii="Wingdings" w:hAnsi="Wingdings" w:hint="default"/>
      </w:rPr>
    </w:lvl>
    <w:lvl w:ilvl="6" w:tplc="04160001" w:tentative="1">
      <w:start w:val="1"/>
      <w:numFmt w:val="bullet"/>
      <w:lvlText w:val=""/>
      <w:lvlJc w:val="left"/>
      <w:pPr>
        <w:ind w:left="6033" w:hanging="360"/>
      </w:pPr>
      <w:rPr>
        <w:rFonts w:ascii="Symbol" w:hAnsi="Symbol" w:hint="default"/>
      </w:rPr>
    </w:lvl>
    <w:lvl w:ilvl="7" w:tplc="04160003" w:tentative="1">
      <w:start w:val="1"/>
      <w:numFmt w:val="bullet"/>
      <w:lvlText w:val="o"/>
      <w:lvlJc w:val="left"/>
      <w:pPr>
        <w:ind w:left="6753" w:hanging="360"/>
      </w:pPr>
      <w:rPr>
        <w:rFonts w:ascii="Courier New" w:hAnsi="Courier New" w:cs="Courier New" w:hint="default"/>
      </w:rPr>
    </w:lvl>
    <w:lvl w:ilvl="8" w:tplc="04160005" w:tentative="1">
      <w:start w:val="1"/>
      <w:numFmt w:val="bullet"/>
      <w:lvlText w:val=""/>
      <w:lvlJc w:val="left"/>
      <w:pPr>
        <w:ind w:left="7473" w:hanging="360"/>
      </w:pPr>
      <w:rPr>
        <w:rFonts w:ascii="Wingdings" w:hAnsi="Wingdings" w:hint="default"/>
      </w:rPr>
    </w:lvl>
  </w:abstractNum>
  <w:abstractNum w:abstractNumId="39">
    <w:nsid w:val="4A3402AE"/>
    <w:multiLevelType w:val="multilevel"/>
    <w:tmpl w:val="FFDC3E3E"/>
    <w:lvl w:ilvl="0">
      <w:start w:val="1"/>
      <w:numFmt w:val="decimal"/>
      <w:lvlText w:val="%1."/>
      <w:lvlJc w:val="left"/>
      <w:pPr>
        <w:ind w:left="765" w:hanging="360"/>
      </w:pPr>
    </w:lvl>
    <w:lvl w:ilvl="1">
      <w:start w:val="1"/>
      <w:numFmt w:val="decimal"/>
      <w:isLgl/>
      <w:lvlText w:val="%1.%2"/>
      <w:lvlJc w:val="left"/>
      <w:pPr>
        <w:ind w:left="765" w:hanging="360"/>
      </w:pPr>
      <w:rPr>
        <w:rFonts w:hint="default"/>
      </w:rPr>
    </w:lvl>
    <w:lvl w:ilvl="2">
      <w:start w:val="1"/>
      <w:numFmt w:val="decimal"/>
      <w:isLgl/>
      <w:lvlText w:val="%1.%2.%3"/>
      <w:lvlJc w:val="left"/>
      <w:pPr>
        <w:ind w:left="1125" w:hanging="720"/>
      </w:pPr>
      <w:rPr>
        <w:rFonts w:hint="default"/>
      </w:rPr>
    </w:lvl>
    <w:lvl w:ilvl="3">
      <w:start w:val="1"/>
      <w:numFmt w:val="decimal"/>
      <w:isLgl/>
      <w:lvlText w:val="%1.%2.%3.%4"/>
      <w:lvlJc w:val="left"/>
      <w:pPr>
        <w:ind w:left="1125" w:hanging="720"/>
      </w:pPr>
      <w:rPr>
        <w:rFonts w:hint="default"/>
      </w:rPr>
    </w:lvl>
    <w:lvl w:ilvl="4">
      <w:start w:val="1"/>
      <w:numFmt w:val="decimal"/>
      <w:isLgl/>
      <w:lvlText w:val="%1.%2.%3.%4.%5"/>
      <w:lvlJc w:val="left"/>
      <w:pPr>
        <w:ind w:left="1125" w:hanging="720"/>
      </w:pPr>
      <w:rPr>
        <w:rFonts w:hint="default"/>
      </w:rPr>
    </w:lvl>
    <w:lvl w:ilvl="5">
      <w:start w:val="1"/>
      <w:numFmt w:val="decimal"/>
      <w:isLgl/>
      <w:lvlText w:val="%1.%2.%3.%4.%5.%6"/>
      <w:lvlJc w:val="left"/>
      <w:pPr>
        <w:ind w:left="1485" w:hanging="1080"/>
      </w:pPr>
      <w:rPr>
        <w:rFonts w:hint="default"/>
      </w:rPr>
    </w:lvl>
    <w:lvl w:ilvl="6">
      <w:start w:val="1"/>
      <w:numFmt w:val="decimal"/>
      <w:isLgl/>
      <w:lvlText w:val="%1.%2.%3.%4.%5.%6.%7"/>
      <w:lvlJc w:val="left"/>
      <w:pPr>
        <w:ind w:left="1485" w:hanging="1080"/>
      </w:pPr>
      <w:rPr>
        <w:rFonts w:hint="default"/>
      </w:rPr>
    </w:lvl>
    <w:lvl w:ilvl="7">
      <w:start w:val="1"/>
      <w:numFmt w:val="decimal"/>
      <w:isLgl/>
      <w:lvlText w:val="%1.%2.%3.%4.%5.%6.%7.%8"/>
      <w:lvlJc w:val="left"/>
      <w:pPr>
        <w:ind w:left="1845" w:hanging="1440"/>
      </w:pPr>
      <w:rPr>
        <w:rFonts w:hint="default"/>
      </w:rPr>
    </w:lvl>
    <w:lvl w:ilvl="8">
      <w:start w:val="1"/>
      <w:numFmt w:val="decimal"/>
      <w:isLgl/>
      <w:lvlText w:val="%1.%2.%3.%4.%5.%6.%7.%8.%9"/>
      <w:lvlJc w:val="left"/>
      <w:pPr>
        <w:ind w:left="1845" w:hanging="1440"/>
      </w:pPr>
      <w:rPr>
        <w:rFonts w:hint="default"/>
      </w:rPr>
    </w:lvl>
  </w:abstractNum>
  <w:abstractNum w:abstractNumId="40">
    <w:nsid w:val="4B454DE3"/>
    <w:multiLevelType w:val="hybridMultilevel"/>
    <w:tmpl w:val="A0927C0A"/>
    <w:lvl w:ilvl="0" w:tplc="04160017">
      <w:start w:val="1"/>
      <w:numFmt w:val="lowerLetter"/>
      <w:lvlText w:val="%1)"/>
      <w:lvlJc w:val="left"/>
      <w:pPr>
        <w:ind w:left="720" w:hanging="360"/>
      </w:pPr>
    </w:lvl>
    <w:lvl w:ilvl="1" w:tplc="0416000D">
      <w:start w:val="1"/>
      <w:numFmt w:val="bullet"/>
      <w:lvlText w:val=""/>
      <w:lvlJc w:val="left"/>
      <w:pPr>
        <w:ind w:left="1440" w:hanging="360"/>
      </w:pPr>
      <w:rPr>
        <w:rFonts w:ascii="Wingdings" w:hAnsi="Wingding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1">
    <w:nsid w:val="4CF76F4A"/>
    <w:multiLevelType w:val="hybridMultilevel"/>
    <w:tmpl w:val="866C71D6"/>
    <w:lvl w:ilvl="0" w:tplc="0416000D">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42">
    <w:nsid w:val="4D142EFF"/>
    <w:multiLevelType w:val="hybridMultilevel"/>
    <w:tmpl w:val="40E63824"/>
    <w:lvl w:ilvl="0" w:tplc="0416000D">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43">
    <w:nsid w:val="4D5D2B81"/>
    <w:multiLevelType w:val="hybridMultilevel"/>
    <w:tmpl w:val="7DBC32CE"/>
    <w:lvl w:ilvl="0" w:tplc="0416000D">
      <w:start w:val="1"/>
      <w:numFmt w:val="bullet"/>
      <w:lvlText w:val=""/>
      <w:lvlJc w:val="left"/>
      <w:pPr>
        <w:ind w:left="1428" w:hanging="360"/>
      </w:pPr>
      <w:rPr>
        <w:rFonts w:ascii="Wingdings" w:hAnsi="Wingdings" w:hint="default"/>
      </w:rPr>
    </w:lvl>
    <w:lvl w:ilvl="1" w:tplc="04160003">
      <w:start w:val="1"/>
      <w:numFmt w:val="bullet"/>
      <w:lvlText w:val="o"/>
      <w:lvlJc w:val="left"/>
      <w:pPr>
        <w:ind w:left="2148" w:hanging="360"/>
      </w:pPr>
      <w:rPr>
        <w:rFonts w:ascii="Courier New" w:hAnsi="Courier New" w:cs="Courier New" w:hint="default"/>
      </w:rPr>
    </w:lvl>
    <w:lvl w:ilvl="2" w:tplc="04160005">
      <w:start w:val="1"/>
      <w:numFmt w:val="bullet"/>
      <w:lvlText w:val=""/>
      <w:lvlJc w:val="left"/>
      <w:pPr>
        <w:ind w:left="2868" w:hanging="360"/>
      </w:pPr>
      <w:rPr>
        <w:rFonts w:ascii="Wingdings" w:hAnsi="Wingdings" w:hint="default"/>
      </w:rPr>
    </w:lvl>
    <w:lvl w:ilvl="3" w:tplc="04160001">
      <w:start w:val="1"/>
      <w:numFmt w:val="bullet"/>
      <w:lvlText w:val=""/>
      <w:lvlJc w:val="left"/>
      <w:pPr>
        <w:ind w:left="3588" w:hanging="360"/>
      </w:pPr>
      <w:rPr>
        <w:rFonts w:ascii="Symbol" w:hAnsi="Symbol" w:hint="default"/>
      </w:rPr>
    </w:lvl>
    <w:lvl w:ilvl="4" w:tplc="04160003">
      <w:start w:val="1"/>
      <w:numFmt w:val="bullet"/>
      <w:lvlText w:val="o"/>
      <w:lvlJc w:val="left"/>
      <w:pPr>
        <w:ind w:left="4308" w:hanging="360"/>
      </w:pPr>
      <w:rPr>
        <w:rFonts w:ascii="Courier New" w:hAnsi="Courier New" w:cs="Courier New" w:hint="default"/>
      </w:rPr>
    </w:lvl>
    <w:lvl w:ilvl="5" w:tplc="04160005">
      <w:start w:val="1"/>
      <w:numFmt w:val="bullet"/>
      <w:lvlText w:val=""/>
      <w:lvlJc w:val="left"/>
      <w:pPr>
        <w:ind w:left="5028" w:hanging="360"/>
      </w:pPr>
      <w:rPr>
        <w:rFonts w:ascii="Wingdings" w:hAnsi="Wingdings" w:hint="default"/>
      </w:rPr>
    </w:lvl>
    <w:lvl w:ilvl="6" w:tplc="04160001">
      <w:start w:val="1"/>
      <w:numFmt w:val="bullet"/>
      <w:lvlText w:val=""/>
      <w:lvlJc w:val="left"/>
      <w:pPr>
        <w:ind w:left="5748" w:hanging="360"/>
      </w:pPr>
      <w:rPr>
        <w:rFonts w:ascii="Symbol" w:hAnsi="Symbol" w:hint="default"/>
      </w:rPr>
    </w:lvl>
    <w:lvl w:ilvl="7" w:tplc="04160003">
      <w:start w:val="1"/>
      <w:numFmt w:val="bullet"/>
      <w:lvlText w:val="o"/>
      <w:lvlJc w:val="left"/>
      <w:pPr>
        <w:ind w:left="6468" w:hanging="360"/>
      </w:pPr>
      <w:rPr>
        <w:rFonts w:ascii="Courier New" w:hAnsi="Courier New" w:cs="Courier New" w:hint="default"/>
      </w:rPr>
    </w:lvl>
    <w:lvl w:ilvl="8" w:tplc="04160005">
      <w:start w:val="1"/>
      <w:numFmt w:val="bullet"/>
      <w:lvlText w:val=""/>
      <w:lvlJc w:val="left"/>
      <w:pPr>
        <w:ind w:left="7188" w:hanging="360"/>
      </w:pPr>
      <w:rPr>
        <w:rFonts w:ascii="Wingdings" w:hAnsi="Wingdings" w:hint="default"/>
      </w:rPr>
    </w:lvl>
  </w:abstractNum>
  <w:abstractNum w:abstractNumId="44">
    <w:nsid w:val="4E4E4F0A"/>
    <w:multiLevelType w:val="hybridMultilevel"/>
    <w:tmpl w:val="EEC6A6FE"/>
    <w:lvl w:ilvl="0" w:tplc="04160009">
      <w:start w:val="1"/>
      <w:numFmt w:val="bullet"/>
      <w:lvlText w:val=""/>
      <w:lvlJc w:val="left"/>
      <w:pPr>
        <w:ind w:left="1353"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45">
    <w:nsid w:val="51185A6A"/>
    <w:multiLevelType w:val="multilevel"/>
    <w:tmpl w:val="FF145F6E"/>
    <w:lvl w:ilvl="0">
      <w:start w:val="1"/>
      <w:numFmt w:val="decimal"/>
      <w:pStyle w:val="SHS-Ttulo01"/>
      <w:lvlText w:val="%1."/>
      <w:lvlJc w:val="left"/>
      <w:pPr>
        <w:ind w:left="360" w:hanging="360"/>
      </w:pPr>
    </w:lvl>
    <w:lvl w:ilvl="1">
      <w:start w:val="1"/>
      <w:numFmt w:val="decimal"/>
      <w:pStyle w:val="SHS-Ttulo02"/>
      <w:lvlText w:val="%1.%2."/>
      <w:lvlJc w:val="left"/>
      <w:pPr>
        <w:ind w:left="792" w:hanging="432"/>
      </w:pPr>
    </w:lvl>
    <w:lvl w:ilvl="2">
      <w:start w:val="1"/>
      <w:numFmt w:val="decimal"/>
      <w:pStyle w:val="Ttulo3"/>
      <w:lvlText w:val="%1.%2.%3."/>
      <w:lvlJc w:val="left"/>
      <w:pPr>
        <w:ind w:left="1355" w:hanging="504"/>
      </w:pPr>
    </w:lvl>
    <w:lvl w:ilvl="3">
      <w:start w:val="1"/>
      <w:numFmt w:val="decimal"/>
      <w:pStyle w:val="Ttulo4"/>
      <w:lvlText w:val="%1.%2.%3.%4."/>
      <w:lvlJc w:val="left"/>
      <w:pPr>
        <w:ind w:left="1728" w:hanging="648"/>
      </w:pPr>
    </w:lvl>
    <w:lvl w:ilvl="4">
      <w:start w:val="1"/>
      <w:numFmt w:val="decimal"/>
      <w:pStyle w:val="Ttulo5"/>
      <w:lvlText w:val="%1.%2.%3.%4.%5."/>
      <w:lvlJc w:val="left"/>
      <w:pPr>
        <w:ind w:left="2352" w:hanging="792"/>
      </w:pPr>
    </w:lvl>
    <w:lvl w:ilvl="5">
      <w:start w:val="1"/>
      <w:numFmt w:val="decimal"/>
      <w:pStyle w:val="Ttulo6"/>
      <w:lvlText w:val="%1.%2.%3.%4.%5.%6."/>
      <w:lvlJc w:val="left"/>
      <w:pPr>
        <w:ind w:left="2921"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nsid w:val="563E6140"/>
    <w:multiLevelType w:val="multilevel"/>
    <w:tmpl w:val="51C681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nsid w:val="56413C8A"/>
    <w:multiLevelType w:val="hybridMultilevel"/>
    <w:tmpl w:val="D1623858"/>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48">
    <w:nsid w:val="57036003"/>
    <w:multiLevelType w:val="hybridMultilevel"/>
    <w:tmpl w:val="DEFAAAC0"/>
    <w:lvl w:ilvl="0" w:tplc="0416000F">
      <w:start w:val="1"/>
      <w:numFmt w:val="decimal"/>
      <w:lvlText w:val="%1."/>
      <w:lvlJc w:val="left"/>
      <w:pPr>
        <w:ind w:left="854" w:hanging="360"/>
      </w:pPr>
    </w:lvl>
    <w:lvl w:ilvl="1" w:tplc="04160019" w:tentative="1">
      <w:start w:val="1"/>
      <w:numFmt w:val="lowerLetter"/>
      <w:lvlText w:val="%2."/>
      <w:lvlJc w:val="left"/>
      <w:pPr>
        <w:ind w:left="1574" w:hanging="360"/>
      </w:pPr>
    </w:lvl>
    <w:lvl w:ilvl="2" w:tplc="0416001B" w:tentative="1">
      <w:start w:val="1"/>
      <w:numFmt w:val="lowerRoman"/>
      <w:lvlText w:val="%3."/>
      <w:lvlJc w:val="right"/>
      <w:pPr>
        <w:ind w:left="2294" w:hanging="180"/>
      </w:pPr>
    </w:lvl>
    <w:lvl w:ilvl="3" w:tplc="0416000F" w:tentative="1">
      <w:start w:val="1"/>
      <w:numFmt w:val="decimal"/>
      <w:lvlText w:val="%4."/>
      <w:lvlJc w:val="left"/>
      <w:pPr>
        <w:ind w:left="3014" w:hanging="360"/>
      </w:pPr>
    </w:lvl>
    <w:lvl w:ilvl="4" w:tplc="04160019" w:tentative="1">
      <w:start w:val="1"/>
      <w:numFmt w:val="lowerLetter"/>
      <w:lvlText w:val="%5."/>
      <w:lvlJc w:val="left"/>
      <w:pPr>
        <w:ind w:left="3734" w:hanging="360"/>
      </w:pPr>
    </w:lvl>
    <w:lvl w:ilvl="5" w:tplc="0416001B" w:tentative="1">
      <w:start w:val="1"/>
      <w:numFmt w:val="lowerRoman"/>
      <w:lvlText w:val="%6."/>
      <w:lvlJc w:val="right"/>
      <w:pPr>
        <w:ind w:left="4454" w:hanging="180"/>
      </w:pPr>
    </w:lvl>
    <w:lvl w:ilvl="6" w:tplc="0416000F" w:tentative="1">
      <w:start w:val="1"/>
      <w:numFmt w:val="decimal"/>
      <w:lvlText w:val="%7."/>
      <w:lvlJc w:val="left"/>
      <w:pPr>
        <w:ind w:left="5174" w:hanging="360"/>
      </w:pPr>
    </w:lvl>
    <w:lvl w:ilvl="7" w:tplc="04160019" w:tentative="1">
      <w:start w:val="1"/>
      <w:numFmt w:val="lowerLetter"/>
      <w:lvlText w:val="%8."/>
      <w:lvlJc w:val="left"/>
      <w:pPr>
        <w:ind w:left="5894" w:hanging="360"/>
      </w:pPr>
    </w:lvl>
    <w:lvl w:ilvl="8" w:tplc="0416001B" w:tentative="1">
      <w:start w:val="1"/>
      <w:numFmt w:val="lowerRoman"/>
      <w:lvlText w:val="%9."/>
      <w:lvlJc w:val="right"/>
      <w:pPr>
        <w:ind w:left="6614" w:hanging="180"/>
      </w:pPr>
    </w:lvl>
  </w:abstractNum>
  <w:abstractNum w:abstractNumId="49">
    <w:nsid w:val="5AEE2B22"/>
    <w:multiLevelType w:val="hybridMultilevel"/>
    <w:tmpl w:val="D9FACFAC"/>
    <w:lvl w:ilvl="0" w:tplc="096A6790">
      <w:start w:val="1"/>
      <w:numFmt w:val="bullet"/>
      <w:lvlText w:val=""/>
      <w:lvlJc w:val="left"/>
      <w:pPr>
        <w:ind w:left="720" w:hanging="360"/>
      </w:pPr>
      <w:rPr>
        <w:rFonts w:ascii="Symbol" w:hAnsi="Symbol" w:hint="default"/>
      </w:rPr>
    </w:lvl>
    <w:lvl w:ilvl="1" w:tplc="85B021A6">
      <w:start w:val="1"/>
      <w:numFmt w:val="bullet"/>
      <w:lvlText w:val="o"/>
      <w:lvlJc w:val="left"/>
      <w:pPr>
        <w:ind w:left="1440" w:hanging="360"/>
      </w:pPr>
      <w:rPr>
        <w:rFonts w:ascii="Courier New" w:hAnsi="Courier New" w:cs="Courier New" w:hint="default"/>
      </w:rPr>
    </w:lvl>
    <w:lvl w:ilvl="2" w:tplc="4888EF84" w:tentative="1">
      <w:start w:val="1"/>
      <w:numFmt w:val="bullet"/>
      <w:lvlText w:val=""/>
      <w:lvlJc w:val="left"/>
      <w:pPr>
        <w:ind w:left="2160" w:hanging="360"/>
      </w:pPr>
      <w:rPr>
        <w:rFonts w:ascii="Wingdings" w:hAnsi="Wingdings" w:hint="default"/>
      </w:rPr>
    </w:lvl>
    <w:lvl w:ilvl="3" w:tplc="45403540" w:tentative="1">
      <w:start w:val="1"/>
      <w:numFmt w:val="bullet"/>
      <w:lvlText w:val=""/>
      <w:lvlJc w:val="left"/>
      <w:pPr>
        <w:ind w:left="2880" w:hanging="360"/>
      </w:pPr>
      <w:rPr>
        <w:rFonts w:ascii="Symbol" w:hAnsi="Symbol" w:hint="default"/>
      </w:rPr>
    </w:lvl>
    <w:lvl w:ilvl="4" w:tplc="2F565C48" w:tentative="1">
      <w:start w:val="1"/>
      <w:numFmt w:val="bullet"/>
      <w:lvlText w:val="o"/>
      <w:lvlJc w:val="left"/>
      <w:pPr>
        <w:ind w:left="3600" w:hanging="360"/>
      </w:pPr>
      <w:rPr>
        <w:rFonts w:ascii="Courier New" w:hAnsi="Courier New" w:cs="Courier New" w:hint="default"/>
      </w:rPr>
    </w:lvl>
    <w:lvl w:ilvl="5" w:tplc="B986C628" w:tentative="1">
      <w:start w:val="1"/>
      <w:numFmt w:val="bullet"/>
      <w:lvlText w:val=""/>
      <w:lvlJc w:val="left"/>
      <w:pPr>
        <w:ind w:left="4320" w:hanging="360"/>
      </w:pPr>
      <w:rPr>
        <w:rFonts w:ascii="Wingdings" w:hAnsi="Wingdings" w:hint="default"/>
      </w:rPr>
    </w:lvl>
    <w:lvl w:ilvl="6" w:tplc="87345F32" w:tentative="1">
      <w:start w:val="1"/>
      <w:numFmt w:val="bullet"/>
      <w:lvlText w:val=""/>
      <w:lvlJc w:val="left"/>
      <w:pPr>
        <w:ind w:left="5040" w:hanging="360"/>
      </w:pPr>
      <w:rPr>
        <w:rFonts w:ascii="Symbol" w:hAnsi="Symbol" w:hint="default"/>
      </w:rPr>
    </w:lvl>
    <w:lvl w:ilvl="7" w:tplc="8DD485DA" w:tentative="1">
      <w:start w:val="1"/>
      <w:numFmt w:val="bullet"/>
      <w:lvlText w:val="o"/>
      <w:lvlJc w:val="left"/>
      <w:pPr>
        <w:ind w:left="5760" w:hanging="360"/>
      </w:pPr>
      <w:rPr>
        <w:rFonts w:ascii="Courier New" w:hAnsi="Courier New" w:cs="Courier New" w:hint="default"/>
      </w:rPr>
    </w:lvl>
    <w:lvl w:ilvl="8" w:tplc="61F0C4AA" w:tentative="1">
      <w:start w:val="1"/>
      <w:numFmt w:val="bullet"/>
      <w:lvlText w:val=""/>
      <w:lvlJc w:val="left"/>
      <w:pPr>
        <w:ind w:left="6480" w:hanging="360"/>
      </w:pPr>
      <w:rPr>
        <w:rFonts w:ascii="Wingdings" w:hAnsi="Wingdings" w:hint="default"/>
      </w:rPr>
    </w:lvl>
  </w:abstractNum>
  <w:abstractNum w:abstractNumId="50">
    <w:nsid w:val="5D251AA2"/>
    <w:multiLevelType w:val="hybridMultilevel"/>
    <w:tmpl w:val="17C672E0"/>
    <w:lvl w:ilvl="0" w:tplc="5C9C55D6">
      <w:start w:val="1"/>
      <w:numFmt w:val="upperLetter"/>
      <w:lvlText w:val="%1."/>
      <w:lvlJc w:val="left"/>
      <w:pPr>
        <w:ind w:left="1065" w:hanging="360"/>
      </w:pPr>
      <w:rPr>
        <w:rFonts w:hint="default"/>
        <w:b/>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51">
    <w:nsid w:val="5DAF41D7"/>
    <w:multiLevelType w:val="hybridMultilevel"/>
    <w:tmpl w:val="577482D4"/>
    <w:lvl w:ilvl="0" w:tplc="D480DBB2">
      <w:numFmt w:val="bullet"/>
      <w:lvlText w:val="•"/>
      <w:lvlJc w:val="left"/>
      <w:pPr>
        <w:ind w:left="2628" w:hanging="360"/>
      </w:pPr>
      <w:rPr>
        <w:rFonts w:ascii="Arial" w:eastAsia="Calibri" w:hAnsi="Arial" w:cs="Arial" w:hint="default"/>
      </w:rPr>
    </w:lvl>
    <w:lvl w:ilvl="1" w:tplc="04160003">
      <w:start w:val="1"/>
      <w:numFmt w:val="bullet"/>
      <w:lvlText w:val="o"/>
      <w:lvlJc w:val="left"/>
      <w:pPr>
        <w:ind w:left="3348" w:hanging="360"/>
      </w:pPr>
      <w:rPr>
        <w:rFonts w:ascii="Courier New" w:hAnsi="Courier New" w:cs="Courier New" w:hint="default"/>
      </w:rPr>
    </w:lvl>
    <w:lvl w:ilvl="2" w:tplc="04160005" w:tentative="1">
      <w:start w:val="1"/>
      <w:numFmt w:val="bullet"/>
      <w:lvlText w:val=""/>
      <w:lvlJc w:val="left"/>
      <w:pPr>
        <w:ind w:left="4068" w:hanging="360"/>
      </w:pPr>
      <w:rPr>
        <w:rFonts w:ascii="Wingdings" w:hAnsi="Wingdings" w:hint="default"/>
      </w:rPr>
    </w:lvl>
    <w:lvl w:ilvl="3" w:tplc="04160001" w:tentative="1">
      <w:start w:val="1"/>
      <w:numFmt w:val="bullet"/>
      <w:lvlText w:val=""/>
      <w:lvlJc w:val="left"/>
      <w:pPr>
        <w:ind w:left="4788" w:hanging="360"/>
      </w:pPr>
      <w:rPr>
        <w:rFonts w:ascii="Symbol" w:hAnsi="Symbol" w:hint="default"/>
      </w:rPr>
    </w:lvl>
    <w:lvl w:ilvl="4" w:tplc="04160003" w:tentative="1">
      <w:start w:val="1"/>
      <w:numFmt w:val="bullet"/>
      <w:lvlText w:val="o"/>
      <w:lvlJc w:val="left"/>
      <w:pPr>
        <w:ind w:left="5508" w:hanging="360"/>
      </w:pPr>
      <w:rPr>
        <w:rFonts w:ascii="Courier New" w:hAnsi="Courier New" w:cs="Courier New" w:hint="default"/>
      </w:rPr>
    </w:lvl>
    <w:lvl w:ilvl="5" w:tplc="04160005" w:tentative="1">
      <w:start w:val="1"/>
      <w:numFmt w:val="bullet"/>
      <w:lvlText w:val=""/>
      <w:lvlJc w:val="left"/>
      <w:pPr>
        <w:ind w:left="6228" w:hanging="360"/>
      </w:pPr>
      <w:rPr>
        <w:rFonts w:ascii="Wingdings" w:hAnsi="Wingdings" w:hint="default"/>
      </w:rPr>
    </w:lvl>
    <w:lvl w:ilvl="6" w:tplc="04160001" w:tentative="1">
      <w:start w:val="1"/>
      <w:numFmt w:val="bullet"/>
      <w:lvlText w:val=""/>
      <w:lvlJc w:val="left"/>
      <w:pPr>
        <w:ind w:left="6948" w:hanging="360"/>
      </w:pPr>
      <w:rPr>
        <w:rFonts w:ascii="Symbol" w:hAnsi="Symbol" w:hint="default"/>
      </w:rPr>
    </w:lvl>
    <w:lvl w:ilvl="7" w:tplc="04160003" w:tentative="1">
      <w:start w:val="1"/>
      <w:numFmt w:val="bullet"/>
      <w:lvlText w:val="o"/>
      <w:lvlJc w:val="left"/>
      <w:pPr>
        <w:ind w:left="7668" w:hanging="360"/>
      </w:pPr>
      <w:rPr>
        <w:rFonts w:ascii="Courier New" w:hAnsi="Courier New" w:cs="Courier New" w:hint="default"/>
      </w:rPr>
    </w:lvl>
    <w:lvl w:ilvl="8" w:tplc="04160005" w:tentative="1">
      <w:start w:val="1"/>
      <w:numFmt w:val="bullet"/>
      <w:lvlText w:val=""/>
      <w:lvlJc w:val="left"/>
      <w:pPr>
        <w:ind w:left="8388" w:hanging="360"/>
      </w:pPr>
      <w:rPr>
        <w:rFonts w:ascii="Wingdings" w:hAnsi="Wingdings" w:hint="default"/>
      </w:rPr>
    </w:lvl>
  </w:abstractNum>
  <w:abstractNum w:abstractNumId="52">
    <w:nsid w:val="5F8B2D5E"/>
    <w:multiLevelType w:val="hybridMultilevel"/>
    <w:tmpl w:val="5B6A729E"/>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53">
    <w:nsid w:val="602F3066"/>
    <w:multiLevelType w:val="hybridMultilevel"/>
    <w:tmpl w:val="593A5FD2"/>
    <w:lvl w:ilvl="0" w:tplc="0416000F">
      <w:start w:val="1"/>
      <w:numFmt w:val="decimal"/>
      <w:lvlText w:val="%1."/>
      <w:lvlJc w:val="left"/>
      <w:pPr>
        <w:ind w:left="2190" w:hanging="360"/>
      </w:pPr>
      <w:rPr>
        <w:b/>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54">
    <w:nsid w:val="610A16DF"/>
    <w:multiLevelType w:val="hybridMultilevel"/>
    <w:tmpl w:val="458C910A"/>
    <w:lvl w:ilvl="0" w:tplc="FFFFFFFF">
      <w:start w:val="1"/>
      <w:numFmt w:val="bullet"/>
      <w:lvlText w:val=""/>
      <w:lvlJc w:val="left"/>
      <w:pPr>
        <w:tabs>
          <w:tab w:val="num" w:pos="1287"/>
        </w:tabs>
        <w:ind w:left="1287" w:hanging="360"/>
      </w:pPr>
      <w:rPr>
        <w:rFonts w:ascii="Symbol" w:hAnsi="Symbol" w:hint="default"/>
      </w:rPr>
    </w:lvl>
    <w:lvl w:ilvl="1" w:tplc="FFFFFFFF" w:tentative="1">
      <w:start w:val="1"/>
      <w:numFmt w:val="bullet"/>
      <w:lvlText w:val="o"/>
      <w:lvlJc w:val="left"/>
      <w:pPr>
        <w:tabs>
          <w:tab w:val="num" w:pos="2007"/>
        </w:tabs>
        <w:ind w:left="2007" w:hanging="360"/>
      </w:pPr>
      <w:rPr>
        <w:rFonts w:ascii="Courier New" w:hAnsi="Courier New" w:cs="Courier New"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55">
    <w:nsid w:val="649D1FC1"/>
    <w:multiLevelType w:val="multilevel"/>
    <w:tmpl w:val="FFDC3E3E"/>
    <w:lvl w:ilvl="0">
      <w:start w:val="1"/>
      <w:numFmt w:val="decimal"/>
      <w:lvlText w:val="%1."/>
      <w:lvlJc w:val="left"/>
      <w:pPr>
        <w:ind w:left="765" w:hanging="360"/>
      </w:pPr>
    </w:lvl>
    <w:lvl w:ilvl="1">
      <w:start w:val="1"/>
      <w:numFmt w:val="decimal"/>
      <w:isLgl/>
      <w:lvlText w:val="%1.%2"/>
      <w:lvlJc w:val="left"/>
      <w:pPr>
        <w:ind w:left="765" w:hanging="360"/>
      </w:pPr>
      <w:rPr>
        <w:rFonts w:hint="default"/>
      </w:rPr>
    </w:lvl>
    <w:lvl w:ilvl="2">
      <w:start w:val="1"/>
      <w:numFmt w:val="decimal"/>
      <w:isLgl/>
      <w:lvlText w:val="%1.%2.%3"/>
      <w:lvlJc w:val="left"/>
      <w:pPr>
        <w:ind w:left="1125" w:hanging="720"/>
      </w:pPr>
      <w:rPr>
        <w:rFonts w:hint="default"/>
      </w:rPr>
    </w:lvl>
    <w:lvl w:ilvl="3">
      <w:start w:val="1"/>
      <w:numFmt w:val="decimal"/>
      <w:isLgl/>
      <w:lvlText w:val="%1.%2.%3.%4"/>
      <w:lvlJc w:val="left"/>
      <w:pPr>
        <w:ind w:left="1125" w:hanging="720"/>
      </w:pPr>
      <w:rPr>
        <w:rFonts w:hint="default"/>
      </w:rPr>
    </w:lvl>
    <w:lvl w:ilvl="4">
      <w:start w:val="1"/>
      <w:numFmt w:val="decimal"/>
      <w:isLgl/>
      <w:lvlText w:val="%1.%2.%3.%4.%5"/>
      <w:lvlJc w:val="left"/>
      <w:pPr>
        <w:ind w:left="1125" w:hanging="720"/>
      </w:pPr>
      <w:rPr>
        <w:rFonts w:hint="default"/>
      </w:rPr>
    </w:lvl>
    <w:lvl w:ilvl="5">
      <w:start w:val="1"/>
      <w:numFmt w:val="decimal"/>
      <w:isLgl/>
      <w:lvlText w:val="%1.%2.%3.%4.%5.%6"/>
      <w:lvlJc w:val="left"/>
      <w:pPr>
        <w:ind w:left="1485" w:hanging="1080"/>
      </w:pPr>
      <w:rPr>
        <w:rFonts w:hint="default"/>
      </w:rPr>
    </w:lvl>
    <w:lvl w:ilvl="6">
      <w:start w:val="1"/>
      <w:numFmt w:val="decimal"/>
      <w:isLgl/>
      <w:lvlText w:val="%1.%2.%3.%4.%5.%6.%7"/>
      <w:lvlJc w:val="left"/>
      <w:pPr>
        <w:ind w:left="1485" w:hanging="1080"/>
      </w:pPr>
      <w:rPr>
        <w:rFonts w:hint="default"/>
      </w:rPr>
    </w:lvl>
    <w:lvl w:ilvl="7">
      <w:start w:val="1"/>
      <w:numFmt w:val="decimal"/>
      <w:isLgl/>
      <w:lvlText w:val="%1.%2.%3.%4.%5.%6.%7.%8"/>
      <w:lvlJc w:val="left"/>
      <w:pPr>
        <w:ind w:left="1845" w:hanging="1440"/>
      </w:pPr>
      <w:rPr>
        <w:rFonts w:hint="default"/>
      </w:rPr>
    </w:lvl>
    <w:lvl w:ilvl="8">
      <w:start w:val="1"/>
      <w:numFmt w:val="decimal"/>
      <w:isLgl/>
      <w:lvlText w:val="%1.%2.%3.%4.%5.%6.%7.%8.%9"/>
      <w:lvlJc w:val="left"/>
      <w:pPr>
        <w:ind w:left="1845" w:hanging="1440"/>
      </w:pPr>
      <w:rPr>
        <w:rFonts w:hint="default"/>
      </w:rPr>
    </w:lvl>
  </w:abstractNum>
  <w:abstractNum w:abstractNumId="56">
    <w:nsid w:val="65AE2083"/>
    <w:multiLevelType w:val="hybridMultilevel"/>
    <w:tmpl w:val="CD223220"/>
    <w:lvl w:ilvl="0" w:tplc="04160001">
      <w:start w:val="1"/>
      <w:numFmt w:val="bullet"/>
      <w:lvlText w:val=""/>
      <w:lvlJc w:val="left"/>
      <w:pPr>
        <w:ind w:left="1428" w:hanging="360"/>
      </w:pPr>
      <w:rPr>
        <w:rFonts w:ascii="Symbol" w:hAnsi="Symbol" w:cs="Symbol" w:hint="default"/>
      </w:rPr>
    </w:lvl>
    <w:lvl w:ilvl="1" w:tplc="04160003">
      <w:start w:val="1"/>
      <w:numFmt w:val="bullet"/>
      <w:lvlText w:val="o"/>
      <w:lvlJc w:val="left"/>
      <w:pPr>
        <w:ind w:left="2148" w:hanging="360"/>
      </w:pPr>
      <w:rPr>
        <w:rFonts w:ascii="Courier New" w:hAnsi="Courier New" w:cs="Courier New" w:hint="default"/>
      </w:rPr>
    </w:lvl>
    <w:lvl w:ilvl="2" w:tplc="04160005">
      <w:start w:val="1"/>
      <w:numFmt w:val="bullet"/>
      <w:lvlText w:val=""/>
      <w:lvlJc w:val="left"/>
      <w:pPr>
        <w:ind w:left="2868" w:hanging="360"/>
      </w:pPr>
      <w:rPr>
        <w:rFonts w:ascii="Wingdings" w:hAnsi="Wingdings" w:cs="Wingdings" w:hint="default"/>
      </w:rPr>
    </w:lvl>
    <w:lvl w:ilvl="3" w:tplc="04160001">
      <w:start w:val="1"/>
      <w:numFmt w:val="bullet"/>
      <w:lvlText w:val=""/>
      <w:lvlJc w:val="left"/>
      <w:pPr>
        <w:ind w:left="3588" w:hanging="360"/>
      </w:pPr>
      <w:rPr>
        <w:rFonts w:ascii="Symbol" w:hAnsi="Symbol" w:cs="Symbol" w:hint="default"/>
      </w:rPr>
    </w:lvl>
    <w:lvl w:ilvl="4" w:tplc="04160003">
      <w:start w:val="1"/>
      <w:numFmt w:val="bullet"/>
      <w:lvlText w:val="o"/>
      <w:lvlJc w:val="left"/>
      <w:pPr>
        <w:ind w:left="4308" w:hanging="360"/>
      </w:pPr>
      <w:rPr>
        <w:rFonts w:ascii="Courier New" w:hAnsi="Courier New" w:cs="Courier New" w:hint="default"/>
      </w:rPr>
    </w:lvl>
    <w:lvl w:ilvl="5" w:tplc="04160005">
      <w:start w:val="1"/>
      <w:numFmt w:val="bullet"/>
      <w:lvlText w:val=""/>
      <w:lvlJc w:val="left"/>
      <w:pPr>
        <w:ind w:left="5028" w:hanging="360"/>
      </w:pPr>
      <w:rPr>
        <w:rFonts w:ascii="Wingdings" w:hAnsi="Wingdings" w:cs="Wingdings" w:hint="default"/>
      </w:rPr>
    </w:lvl>
    <w:lvl w:ilvl="6" w:tplc="04160001">
      <w:start w:val="1"/>
      <w:numFmt w:val="bullet"/>
      <w:lvlText w:val=""/>
      <w:lvlJc w:val="left"/>
      <w:pPr>
        <w:ind w:left="5748" w:hanging="360"/>
      </w:pPr>
      <w:rPr>
        <w:rFonts w:ascii="Symbol" w:hAnsi="Symbol" w:cs="Symbol" w:hint="default"/>
      </w:rPr>
    </w:lvl>
    <w:lvl w:ilvl="7" w:tplc="04160003">
      <w:start w:val="1"/>
      <w:numFmt w:val="bullet"/>
      <w:lvlText w:val="o"/>
      <w:lvlJc w:val="left"/>
      <w:pPr>
        <w:ind w:left="6468" w:hanging="360"/>
      </w:pPr>
      <w:rPr>
        <w:rFonts w:ascii="Courier New" w:hAnsi="Courier New" w:cs="Courier New" w:hint="default"/>
      </w:rPr>
    </w:lvl>
    <w:lvl w:ilvl="8" w:tplc="04160005">
      <w:start w:val="1"/>
      <w:numFmt w:val="bullet"/>
      <w:lvlText w:val=""/>
      <w:lvlJc w:val="left"/>
      <w:pPr>
        <w:ind w:left="7188" w:hanging="360"/>
      </w:pPr>
      <w:rPr>
        <w:rFonts w:ascii="Wingdings" w:hAnsi="Wingdings" w:cs="Wingdings" w:hint="default"/>
      </w:rPr>
    </w:lvl>
  </w:abstractNum>
  <w:abstractNum w:abstractNumId="57">
    <w:nsid w:val="65B65396"/>
    <w:multiLevelType w:val="hybridMultilevel"/>
    <w:tmpl w:val="83A0061C"/>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8">
    <w:nsid w:val="67405C2A"/>
    <w:multiLevelType w:val="hybridMultilevel"/>
    <w:tmpl w:val="26388F2A"/>
    <w:lvl w:ilvl="0" w:tplc="04160009">
      <w:start w:val="1"/>
      <w:numFmt w:val="bullet"/>
      <w:lvlText w:val=""/>
      <w:lvlJc w:val="left"/>
      <w:pPr>
        <w:ind w:left="1428" w:hanging="360"/>
      </w:pPr>
      <w:rPr>
        <w:rFonts w:ascii="Wingdings" w:hAnsi="Wingdings"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59">
    <w:nsid w:val="677666E9"/>
    <w:multiLevelType w:val="hybridMultilevel"/>
    <w:tmpl w:val="8ADA69E4"/>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60">
    <w:nsid w:val="6CA845EB"/>
    <w:multiLevelType w:val="hybridMultilevel"/>
    <w:tmpl w:val="6D5E4C2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1">
    <w:nsid w:val="6CC35258"/>
    <w:multiLevelType w:val="hybridMultilevel"/>
    <w:tmpl w:val="64E880C0"/>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2">
    <w:nsid w:val="6CD876F8"/>
    <w:multiLevelType w:val="hybridMultilevel"/>
    <w:tmpl w:val="CC1E47FC"/>
    <w:lvl w:ilvl="0" w:tplc="D1DEED0A">
      <w:start w:val="1"/>
      <w:numFmt w:val="bullet"/>
      <w:lvlText w:val="-"/>
      <w:lvlJc w:val="left"/>
      <w:pPr>
        <w:ind w:left="1211" w:hanging="360"/>
      </w:pPr>
      <w:rPr>
        <w:rFonts w:ascii="Agency FB" w:hAnsi="Agency FB"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63">
    <w:nsid w:val="6DB33B94"/>
    <w:multiLevelType w:val="hybridMultilevel"/>
    <w:tmpl w:val="C0AC0C32"/>
    <w:lvl w:ilvl="0" w:tplc="D1DEED0A">
      <w:start w:val="1"/>
      <w:numFmt w:val="bullet"/>
      <w:lvlText w:val="-"/>
      <w:lvlJc w:val="left"/>
      <w:pPr>
        <w:ind w:left="1429" w:hanging="360"/>
      </w:pPr>
      <w:rPr>
        <w:rFonts w:ascii="Agency FB" w:hAnsi="Agency FB" w:hint="default"/>
      </w:rPr>
    </w:lvl>
    <w:lvl w:ilvl="1" w:tplc="04160003">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64">
    <w:nsid w:val="6F5616DD"/>
    <w:multiLevelType w:val="hybridMultilevel"/>
    <w:tmpl w:val="A0429B96"/>
    <w:lvl w:ilvl="0" w:tplc="26DAC294">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65">
    <w:nsid w:val="73FD0D01"/>
    <w:multiLevelType w:val="hybridMultilevel"/>
    <w:tmpl w:val="46FA51F0"/>
    <w:lvl w:ilvl="0" w:tplc="0416001B">
      <w:start w:val="1"/>
      <w:numFmt w:val="lowerRoman"/>
      <w:lvlText w:val="%1."/>
      <w:lvlJc w:val="right"/>
      <w:pPr>
        <w:ind w:left="1428" w:hanging="360"/>
      </w:pPr>
    </w:lvl>
    <w:lvl w:ilvl="1" w:tplc="04160019">
      <w:start w:val="1"/>
      <w:numFmt w:val="lowerLetter"/>
      <w:lvlText w:val="%2."/>
      <w:lvlJc w:val="left"/>
      <w:pPr>
        <w:ind w:left="2148" w:hanging="360"/>
      </w:pPr>
    </w:lvl>
    <w:lvl w:ilvl="2" w:tplc="0416001B">
      <w:start w:val="1"/>
      <w:numFmt w:val="lowerRoman"/>
      <w:lvlText w:val="%3."/>
      <w:lvlJc w:val="right"/>
      <w:pPr>
        <w:ind w:left="2868" w:hanging="180"/>
      </w:pPr>
    </w:lvl>
    <w:lvl w:ilvl="3" w:tplc="0416000F">
      <w:start w:val="1"/>
      <w:numFmt w:val="decimal"/>
      <w:lvlText w:val="%4."/>
      <w:lvlJc w:val="left"/>
      <w:pPr>
        <w:ind w:left="3588" w:hanging="360"/>
      </w:pPr>
    </w:lvl>
    <w:lvl w:ilvl="4" w:tplc="04160019">
      <w:start w:val="1"/>
      <w:numFmt w:val="lowerLetter"/>
      <w:lvlText w:val="%5."/>
      <w:lvlJc w:val="left"/>
      <w:pPr>
        <w:ind w:left="4308" w:hanging="360"/>
      </w:pPr>
    </w:lvl>
    <w:lvl w:ilvl="5" w:tplc="0416001B">
      <w:start w:val="1"/>
      <w:numFmt w:val="lowerRoman"/>
      <w:lvlText w:val="%6."/>
      <w:lvlJc w:val="right"/>
      <w:pPr>
        <w:ind w:left="5028" w:hanging="180"/>
      </w:pPr>
    </w:lvl>
    <w:lvl w:ilvl="6" w:tplc="0416000F">
      <w:start w:val="1"/>
      <w:numFmt w:val="decimal"/>
      <w:lvlText w:val="%7."/>
      <w:lvlJc w:val="left"/>
      <w:pPr>
        <w:ind w:left="5748" w:hanging="360"/>
      </w:pPr>
    </w:lvl>
    <w:lvl w:ilvl="7" w:tplc="04160019">
      <w:start w:val="1"/>
      <w:numFmt w:val="lowerLetter"/>
      <w:lvlText w:val="%8."/>
      <w:lvlJc w:val="left"/>
      <w:pPr>
        <w:ind w:left="6468" w:hanging="360"/>
      </w:pPr>
    </w:lvl>
    <w:lvl w:ilvl="8" w:tplc="0416001B">
      <w:start w:val="1"/>
      <w:numFmt w:val="lowerRoman"/>
      <w:lvlText w:val="%9."/>
      <w:lvlJc w:val="right"/>
      <w:pPr>
        <w:ind w:left="7188" w:hanging="180"/>
      </w:pPr>
    </w:lvl>
  </w:abstractNum>
  <w:abstractNum w:abstractNumId="66">
    <w:nsid w:val="74DA1239"/>
    <w:multiLevelType w:val="hybridMultilevel"/>
    <w:tmpl w:val="0F5CB3D8"/>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67">
    <w:nsid w:val="773278CD"/>
    <w:multiLevelType w:val="hybridMultilevel"/>
    <w:tmpl w:val="BD18D52A"/>
    <w:lvl w:ilvl="0" w:tplc="04160001">
      <w:start w:val="1"/>
      <w:numFmt w:val="bullet"/>
      <w:lvlText w:val=""/>
      <w:lvlJc w:val="left"/>
      <w:pPr>
        <w:ind w:left="720" w:hanging="360"/>
      </w:pPr>
      <w:rPr>
        <w:rFonts w:ascii="Symbol" w:hAnsi="Symbol" w:cs="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cs="Wingdings" w:hint="default"/>
      </w:rPr>
    </w:lvl>
    <w:lvl w:ilvl="3" w:tplc="04160001">
      <w:start w:val="1"/>
      <w:numFmt w:val="bullet"/>
      <w:lvlText w:val=""/>
      <w:lvlJc w:val="left"/>
      <w:pPr>
        <w:ind w:left="2880" w:hanging="360"/>
      </w:pPr>
      <w:rPr>
        <w:rFonts w:ascii="Symbol" w:hAnsi="Symbol" w:cs="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cs="Wingdings" w:hint="default"/>
      </w:rPr>
    </w:lvl>
    <w:lvl w:ilvl="6" w:tplc="04160001">
      <w:start w:val="1"/>
      <w:numFmt w:val="bullet"/>
      <w:lvlText w:val=""/>
      <w:lvlJc w:val="left"/>
      <w:pPr>
        <w:ind w:left="5040" w:hanging="360"/>
      </w:pPr>
      <w:rPr>
        <w:rFonts w:ascii="Symbol" w:hAnsi="Symbol" w:cs="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cs="Wingdings" w:hint="default"/>
      </w:rPr>
    </w:lvl>
  </w:abstractNum>
  <w:abstractNum w:abstractNumId="68">
    <w:nsid w:val="7AB36D11"/>
    <w:multiLevelType w:val="hybridMultilevel"/>
    <w:tmpl w:val="9CACEC98"/>
    <w:lvl w:ilvl="0" w:tplc="04160003">
      <w:start w:val="1"/>
      <w:numFmt w:val="bullet"/>
      <w:lvlText w:val="o"/>
      <w:lvlJc w:val="left"/>
      <w:pPr>
        <w:ind w:left="720" w:hanging="360"/>
      </w:pPr>
      <w:rPr>
        <w:rFonts w:ascii="Courier New" w:hAnsi="Courier New" w:cs="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9">
    <w:nsid w:val="7C9C48A3"/>
    <w:multiLevelType w:val="hybridMultilevel"/>
    <w:tmpl w:val="925C496C"/>
    <w:lvl w:ilvl="0" w:tplc="0416000D">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num w:numId="1">
    <w:abstractNumId w:val="45"/>
  </w:num>
  <w:num w:numId="2">
    <w:abstractNumId w:val="45"/>
  </w:num>
  <w:num w:numId="3">
    <w:abstractNumId w:val="9"/>
  </w:num>
  <w:num w:numId="4">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43"/>
  </w:num>
  <w:num w:numId="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0"/>
  </w:num>
  <w:num w:numId="8">
    <w:abstractNumId w:val="47"/>
  </w:num>
  <w:num w:numId="9">
    <w:abstractNumId w:val="59"/>
  </w:num>
  <w:num w:numId="10">
    <w:abstractNumId w:val="64"/>
  </w:num>
  <w:num w:numId="11">
    <w:abstractNumId w:val="18"/>
  </w:num>
  <w:num w:numId="12">
    <w:abstractNumId w:val="68"/>
  </w:num>
  <w:num w:numId="13">
    <w:abstractNumId w:val="23"/>
  </w:num>
  <w:num w:numId="14">
    <w:abstractNumId w:val="32"/>
  </w:num>
  <w:num w:numId="15">
    <w:abstractNumId w:val="69"/>
  </w:num>
  <w:num w:numId="16">
    <w:abstractNumId w:val="14"/>
  </w:num>
  <w:num w:numId="17">
    <w:abstractNumId w:val="42"/>
  </w:num>
  <w:num w:numId="18">
    <w:abstractNumId w:val="41"/>
  </w:num>
  <w:num w:numId="19">
    <w:abstractNumId w:val="62"/>
  </w:num>
  <w:num w:numId="20">
    <w:abstractNumId w:val="6"/>
  </w:num>
  <w:num w:numId="21">
    <w:abstractNumId w:val="29"/>
  </w:num>
  <w:num w:numId="22">
    <w:abstractNumId w:val="12"/>
  </w:num>
  <w:num w:numId="23">
    <w:abstractNumId w:val="60"/>
  </w:num>
  <w:num w:numId="24">
    <w:abstractNumId w:val="57"/>
  </w:num>
  <w:num w:numId="25">
    <w:abstractNumId w:val="16"/>
  </w:num>
  <w:num w:numId="26">
    <w:abstractNumId w:val="39"/>
  </w:num>
  <w:num w:numId="27">
    <w:abstractNumId w:val="21"/>
  </w:num>
  <w:num w:numId="28">
    <w:abstractNumId w:val="35"/>
  </w:num>
  <w:num w:numId="29">
    <w:abstractNumId w:val="5"/>
  </w:num>
  <w:num w:numId="30">
    <w:abstractNumId w:val="34"/>
  </w:num>
  <w:num w:numId="31">
    <w:abstractNumId w:val="11"/>
  </w:num>
  <w:num w:numId="32">
    <w:abstractNumId w:val="55"/>
  </w:num>
  <w:num w:numId="33">
    <w:abstractNumId w:val="53"/>
  </w:num>
  <w:num w:numId="34">
    <w:abstractNumId w:val="2"/>
  </w:num>
  <w:num w:numId="35">
    <w:abstractNumId w:val="49"/>
  </w:num>
  <w:num w:numId="36">
    <w:abstractNumId w:val="63"/>
  </w:num>
  <w:num w:numId="37">
    <w:abstractNumId w:val="51"/>
  </w:num>
  <w:num w:numId="38">
    <w:abstractNumId w:val="15"/>
  </w:num>
  <w:num w:numId="39">
    <w:abstractNumId w:val="19"/>
  </w:num>
  <w:num w:numId="40">
    <w:abstractNumId w:val="33"/>
  </w:num>
  <w:num w:numId="41">
    <w:abstractNumId w:val="52"/>
  </w:num>
  <w:num w:numId="42">
    <w:abstractNumId w:val="26"/>
  </w:num>
  <w:num w:numId="43">
    <w:abstractNumId w:val="22"/>
  </w:num>
  <w:num w:numId="44">
    <w:abstractNumId w:val="58"/>
  </w:num>
  <w:num w:numId="45">
    <w:abstractNumId w:val="30"/>
  </w:num>
  <w:num w:numId="46">
    <w:abstractNumId w:val="61"/>
  </w:num>
  <w:num w:numId="47">
    <w:abstractNumId w:val="48"/>
  </w:num>
  <w:num w:numId="48">
    <w:abstractNumId w:val="24"/>
  </w:num>
  <w:num w:numId="49">
    <w:abstractNumId w:val="25"/>
  </w:num>
  <w:num w:numId="50">
    <w:abstractNumId w:val="67"/>
  </w:num>
  <w:num w:numId="51">
    <w:abstractNumId w:val="56"/>
  </w:num>
  <w:num w:numId="52">
    <w:abstractNumId w:val="54"/>
  </w:num>
  <w:num w:numId="53">
    <w:abstractNumId w:val="8"/>
  </w:num>
  <w:num w:numId="54">
    <w:abstractNumId w:val="36"/>
  </w:num>
  <w:num w:numId="55">
    <w:abstractNumId w:val="31"/>
  </w:num>
  <w:num w:numId="56">
    <w:abstractNumId w:val="10"/>
  </w:num>
  <w:num w:numId="57">
    <w:abstractNumId w:val="28"/>
  </w:num>
  <w:num w:numId="58">
    <w:abstractNumId w:val="66"/>
  </w:num>
  <w:num w:numId="59">
    <w:abstractNumId w:val="46"/>
  </w:num>
  <w:num w:numId="60">
    <w:abstractNumId w:val="38"/>
  </w:num>
  <w:num w:numId="61">
    <w:abstractNumId w:val="44"/>
  </w:num>
  <w:num w:numId="62">
    <w:abstractNumId w:val="1"/>
  </w:num>
  <w:num w:numId="63">
    <w:abstractNumId w:val="13"/>
  </w:num>
  <w:num w:numId="64">
    <w:abstractNumId w:val="7"/>
  </w:num>
  <w:num w:numId="65">
    <w:abstractNumId w:val="4"/>
  </w:num>
  <w:num w:numId="66">
    <w:abstractNumId w:val="37"/>
  </w:num>
  <w:num w:numId="67">
    <w:abstractNumId w:val="3"/>
  </w:num>
  <w:num w:numId="68">
    <w:abstractNumId w:val="0"/>
  </w:num>
  <w:num w:numId="69">
    <w:abstractNumId w:val="27"/>
  </w:num>
  <w:num w:numId="70">
    <w:abstractNumId w:val="40"/>
  </w:num>
  <w:num w:numId="71">
    <w:abstractNumId w:val="50"/>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attachedTemplate r:id="rId1"/>
  <w:defaultTabStop w:val="708"/>
  <w:hyphenationZone w:val="425"/>
  <w:characterSpacingControl w:val="doNotCompress"/>
  <w:hdrShapeDefaults>
    <o:shapedefaults v:ext="edit" spidmax="23961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57ADC"/>
    <w:rsid w:val="00001B03"/>
    <w:rsid w:val="00001C8F"/>
    <w:rsid w:val="00002439"/>
    <w:rsid w:val="00003798"/>
    <w:rsid w:val="00004BCB"/>
    <w:rsid w:val="00005D07"/>
    <w:rsid w:val="00010125"/>
    <w:rsid w:val="000101AA"/>
    <w:rsid w:val="0001158E"/>
    <w:rsid w:val="00011FCB"/>
    <w:rsid w:val="00012021"/>
    <w:rsid w:val="00013565"/>
    <w:rsid w:val="00013B5C"/>
    <w:rsid w:val="00014D00"/>
    <w:rsid w:val="00015860"/>
    <w:rsid w:val="00015A04"/>
    <w:rsid w:val="000209E8"/>
    <w:rsid w:val="00020D63"/>
    <w:rsid w:val="00021E9C"/>
    <w:rsid w:val="00022394"/>
    <w:rsid w:val="0002300E"/>
    <w:rsid w:val="000232EC"/>
    <w:rsid w:val="000235C0"/>
    <w:rsid w:val="00023F5B"/>
    <w:rsid w:val="000248C8"/>
    <w:rsid w:val="000258BF"/>
    <w:rsid w:val="00030456"/>
    <w:rsid w:val="00030862"/>
    <w:rsid w:val="00031523"/>
    <w:rsid w:val="000320B8"/>
    <w:rsid w:val="00032724"/>
    <w:rsid w:val="0003319B"/>
    <w:rsid w:val="00033DFF"/>
    <w:rsid w:val="000341EF"/>
    <w:rsid w:val="00034517"/>
    <w:rsid w:val="0003654C"/>
    <w:rsid w:val="00036A13"/>
    <w:rsid w:val="00037781"/>
    <w:rsid w:val="00037909"/>
    <w:rsid w:val="000379F6"/>
    <w:rsid w:val="00041116"/>
    <w:rsid w:val="000418CF"/>
    <w:rsid w:val="00043DB1"/>
    <w:rsid w:val="000456FF"/>
    <w:rsid w:val="00045811"/>
    <w:rsid w:val="000458DE"/>
    <w:rsid w:val="00046608"/>
    <w:rsid w:val="00046818"/>
    <w:rsid w:val="00046A1E"/>
    <w:rsid w:val="00046B39"/>
    <w:rsid w:val="0004762D"/>
    <w:rsid w:val="0005149C"/>
    <w:rsid w:val="00051B31"/>
    <w:rsid w:val="00051FD6"/>
    <w:rsid w:val="00052504"/>
    <w:rsid w:val="000533E9"/>
    <w:rsid w:val="00053959"/>
    <w:rsid w:val="00053B73"/>
    <w:rsid w:val="00053FEC"/>
    <w:rsid w:val="000549E9"/>
    <w:rsid w:val="000555F1"/>
    <w:rsid w:val="00055A4A"/>
    <w:rsid w:val="00061865"/>
    <w:rsid w:val="00061A4F"/>
    <w:rsid w:val="00062159"/>
    <w:rsid w:val="00062F1F"/>
    <w:rsid w:val="00063FDE"/>
    <w:rsid w:val="00065AB0"/>
    <w:rsid w:val="00065C0D"/>
    <w:rsid w:val="00065E26"/>
    <w:rsid w:val="00067220"/>
    <w:rsid w:val="00067B44"/>
    <w:rsid w:val="00070D95"/>
    <w:rsid w:val="00072443"/>
    <w:rsid w:val="000727DA"/>
    <w:rsid w:val="00074C4A"/>
    <w:rsid w:val="00075A5F"/>
    <w:rsid w:val="000760FE"/>
    <w:rsid w:val="00076305"/>
    <w:rsid w:val="00076413"/>
    <w:rsid w:val="00076FC5"/>
    <w:rsid w:val="00080CD9"/>
    <w:rsid w:val="000811DA"/>
    <w:rsid w:val="00081C9C"/>
    <w:rsid w:val="00081E08"/>
    <w:rsid w:val="0008322E"/>
    <w:rsid w:val="00083579"/>
    <w:rsid w:val="00083870"/>
    <w:rsid w:val="000847F5"/>
    <w:rsid w:val="00086356"/>
    <w:rsid w:val="000864FD"/>
    <w:rsid w:val="0008661E"/>
    <w:rsid w:val="00086723"/>
    <w:rsid w:val="00086A29"/>
    <w:rsid w:val="00087381"/>
    <w:rsid w:val="00090B98"/>
    <w:rsid w:val="00093A83"/>
    <w:rsid w:val="0009477B"/>
    <w:rsid w:val="00094ACC"/>
    <w:rsid w:val="00095090"/>
    <w:rsid w:val="000952B4"/>
    <w:rsid w:val="00095A96"/>
    <w:rsid w:val="00095E06"/>
    <w:rsid w:val="00096CED"/>
    <w:rsid w:val="000973E4"/>
    <w:rsid w:val="000A0014"/>
    <w:rsid w:val="000A0123"/>
    <w:rsid w:val="000A03F7"/>
    <w:rsid w:val="000A0514"/>
    <w:rsid w:val="000A1032"/>
    <w:rsid w:val="000A7E63"/>
    <w:rsid w:val="000B0573"/>
    <w:rsid w:val="000B51F2"/>
    <w:rsid w:val="000B5230"/>
    <w:rsid w:val="000B571F"/>
    <w:rsid w:val="000C04A5"/>
    <w:rsid w:val="000C0C8F"/>
    <w:rsid w:val="000C105F"/>
    <w:rsid w:val="000C1C29"/>
    <w:rsid w:val="000C1E90"/>
    <w:rsid w:val="000C4710"/>
    <w:rsid w:val="000C668F"/>
    <w:rsid w:val="000C6E2F"/>
    <w:rsid w:val="000C6F7D"/>
    <w:rsid w:val="000C7F17"/>
    <w:rsid w:val="000D097B"/>
    <w:rsid w:val="000D1DC6"/>
    <w:rsid w:val="000D4115"/>
    <w:rsid w:val="000D573B"/>
    <w:rsid w:val="000E09B3"/>
    <w:rsid w:val="000E1FE9"/>
    <w:rsid w:val="000E391F"/>
    <w:rsid w:val="000E42D6"/>
    <w:rsid w:val="000E5745"/>
    <w:rsid w:val="000E65F9"/>
    <w:rsid w:val="000E7604"/>
    <w:rsid w:val="000F02E9"/>
    <w:rsid w:val="000F1111"/>
    <w:rsid w:val="000F5590"/>
    <w:rsid w:val="000F6648"/>
    <w:rsid w:val="000F72D6"/>
    <w:rsid w:val="000F7DAD"/>
    <w:rsid w:val="00100B5B"/>
    <w:rsid w:val="00100BB4"/>
    <w:rsid w:val="00101AC9"/>
    <w:rsid w:val="0010245F"/>
    <w:rsid w:val="00104D8B"/>
    <w:rsid w:val="0010555A"/>
    <w:rsid w:val="00105EFC"/>
    <w:rsid w:val="00106A03"/>
    <w:rsid w:val="00106CB4"/>
    <w:rsid w:val="001072FD"/>
    <w:rsid w:val="00107663"/>
    <w:rsid w:val="00111207"/>
    <w:rsid w:val="001116F0"/>
    <w:rsid w:val="00112B75"/>
    <w:rsid w:val="0011339A"/>
    <w:rsid w:val="00115420"/>
    <w:rsid w:val="00115856"/>
    <w:rsid w:val="00115A7B"/>
    <w:rsid w:val="001160C4"/>
    <w:rsid w:val="00116B76"/>
    <w:rsid w:val="00117CD6"/>
    <w:rsid w:val="00123B17"/>
    <w:rsid w:val="00124747"/>
    <w:rsid w:val="00125A06"/>
    <w:rsid w:val="001314AF"/>
    <w:rsid w:val="00131510"/>
    <w:rsid w:val="00131EA7"/>
    <w:rsid w:val="00132677"/>
    <w:rsid w:val="001333C5"/>
    <w:rsid w:val="0013428D"/>
    <w:rsid w:val="001357C4"/>
    <w:rsid w:val="00135871"/>
    <w:rsid w:val="00135AAF"/>
    <w:rsid w:val="001362FC"/>
    <w:rsid w:val="00137F75"/>
    <w:rsid w:val="00140570"/>
    <w:rsid w:val="001417A3"/>
    <w:rsid w:val="00142477"/>
    <w:rsid w:val="00144283"/>
    <w:rsid w:val="00144447"/>
    <w:rsid w:val="00144C4C"/>
    <w:rsid w:val="0014616A"/>
    <w:rsid w:val="001470B6"/>
    <w:rsid w:val="0014754C"/>
    <w:rsid w:val="00147F5C"/>
    <w:rsid w:val="0015012D"/>
    <w:rsid w:val="00150589"/>
    <w:rsid w:val="001519F4"/>
    <w:rsid w:val="00151F0D"/>
    <w:rsid w:val="001528E9"/>
    <w:rsid w:val="00153752"/>
    <w:rsid w:val="00153B25"/>
    <w:rsid w:val="00153F20"/>
    <w:rsid w:val="001541E2"/>
    <w:rsid w:val="00154363"/>
    <w:rsid w:val="00154815"/>
    <w:rsid w:val="00156B29"/>
    <w:rsid w:val="00157183"/>
    <w:rsid w:val="00157A34"/>
    <w:rsid w:val="00157E6B"/>
    <w:rsid w:val="00164303"/>
    <w:rsid w:val="00164D1F"/>
    <w:rsid w:val="0017086D"/>
    <w:rsid w:val="00172C62"/>
    <w:rsid w:val="0017356B"/>
    <w:rsid w:val="00173EF4"/>
    <w:rsid w:val="001748F0"/>
    <w:rsid w:val="00175C3B"/>
    <w:rsid w:val="001764F8"/>
    <w:rsid w:val="0018115F"/>
    <w:rsid w:val="00181987"/>
    <w:rsid w:val="00181BD0"/>
    <w:rsid w:val="0018319A"/>
    <w:rsid w:val="00183E1E"/>
    <w:rsid w:val="001848F4"/>
    <w:rsid w:val="00184B3D"/>
    <w:rsid w:val="00184E33"/>
    <w:rsid w:val="0018592B"/>
    <w:rsid w:val="001864D3"/>
    <w:rsid w:val="00186845"/>
    <w:rsid w:val="0018686D"/>
    <w:rsid w:val="0018693B"/>
    <w:rsid w:val="0018722E"/>
    <w:rsid w:val="001873A4"/>
    <w:rsid w:val="001876D9"/>
    <w:rsid w:val="00187C37"/>
    <w:rsid w:val="00190395"/>
    <w:rsid w:val="0019137B"/>
    <w:rsid w:val="0019177C"/>
    <w:rsid w:val="00192382"/>
    <w:rsid w:val="00192B00"/>
    <w:rsid w:val="00193B74"/>
    <w:rsid w:val="00194D34"/>
    <w:rsid w:val="00195069"/>
    <w:rsid w:val="0019525C"/>
    <w:rsid w:val="00196026"/>
    <w:rsid w:val="00196F3C"/>
    <w:rsid w:val="00196F58"/>
    <w:rsid w:val="001A2A29"/>
    <w:rsid w:val="001A2D49"/>
    <w:rsid w:val="001A4BC0"/>
    <w:rsid w:val="001A5DD2"/>
    <w:rsid w:val="001A63C7"/>
    <w:rsid w:val="001B0B13"/>
    <w:rsid w:val="001B1BD9"/>
    <w:rsid w:val="001B2E69"/>
    <w:rsid w:val="001B333E"/>
    <w:rsid w:val="001B3E96"/>
    <w:rsid w:val="001B67C3"/>
    <w:rsid w:val="001C0164"/>
    <w:rsid w:val="001C132E"/>
    <w:rsid w:val="001C1521"/>
    <w:rsid w:val="001C2AD6"/>
    <w:rsid w:val="001C39BE"/>
    <w:rsid w:val="001C5031"/>
    <w:rsid w:val="001C582E"/>
    <w:rsid w:val="001C5E9D"/>
    <w:rsid w:val="001C61E6"/>
    <w:rsid w:val="001D0AF9"/>
    <w:rsid w:val="001D18AA"/>
    <w:rsid w:val="001D22BB"/>
    <w:rsid w:val="001D2449"/>
    <w:rsid w:val="001D28B0"/>
    <w:rsid w:val="001D4150"/>
    <w:rsid w:val="001D467E"/>
    <w:rsid w:val="001D55E6"/>
    <w:rsid w:val="001D5A65"/>
    <w:rsid w:val="001D5E0B"/>
    <w:rsid w:val="001D6489"/>
    <w:rsid w:val="001D6C34"/>
    <w:rsid w:val="001E030C"/>
    <w:rsid w:val="001E09E8"/>
    <w:rsid w:val="001E1202"/>
    <w:rsid w:val="001E2E3C"/>
    <w:rsid w:val="001E357A"/>
    <w:rsid w:val="001E3C19"/>
    <w:rsid w:val="001E3D86"/>
    <w:rsid w:val="001E3F56"/>
    <w:rsid w:val="001E4339"/>
    <w:rsid w:val="001E4C66"/>
    <w:rsid w:val="001E6556"/>
    <w:rsid w:val="001F129C"/>
    <w:rsid w:val="001F1B4B"/>
    <w:rsid w:val="001F2B19"/>
    <w:rsid w:val="001F2E68"/>
    <w:rsid w:val="001F2EBC"/>
    <w:rsid w:val="001F3335"/>
    <w:rsid w:val="001F3C20"/>
    <w:rsid w:val="001F4C6C"/>
    <w:rsid w:val="001F5CE0"/>
    <w:rsid w:val="001F6072"/>
    <w:rsid w:val="001F6DAF"/>
    <w:rsid w:val="001F714D"/>
    <w:rsid w:val="001F7197"/>
    <w:rsid w:val="001F7B2D"/>
    <w:rsid w:val="00202354"/>
    <w:rsid w:val="00203936"/>
    <w:rsid w:val="00203A5D"/>
    <w:rsid w:val="00207964"/>
    <w:rsid w:val="00207F65"/>
    <w:rsid w:val="0021285A"/>
    <w:rsid w:val="00212A2E"/>
    <w:rsid w:val="00213956"/>
    <w:rsid w:val="00213C74"/>
    <w:rsid w:val="00214E51"/>
    <w:rsid w:val="002152D7"/>
    <w:rsid w:val="00215401"/>
    <w:rsid w:val="00220EF6"/>
    <w:rsid w:val="002212DE"/>
    <w:rsid w:val="0022394F"/>
    <w:rsid w:val="00223C77"/>
    <w:rsid w:val="0022414F"/>
    <w:rsid w:val="0022440B"/>
    <w:rsid w:val="00224EB3"/>
    <w:rsid w:val="002256EA"/>
    <w:rsid w:val="002257FC"/>
    <w:rsid w:val="00226252"/>
    <w:rsid w:val="002266CF"/>
    <w:rsid w:val="00226A02"/>
    <w:rsid w:val="00226EE1"/>
    <w:rsid w:val="00230355"/>
    <w:rsid w:val="00232B70"/>
    <w:rsid w:val="00236E04"/>
    <w:rsid w:val="00236EF3"/>
    <w:rsid w:val="002374A3"/>
    <w:rsid w:val="002408EE"/>
    <w:rsid w:val="00240C4C"/>
    <w:rsid w:val="0024341E"/>
    <w:rsid w:val="00245727"/>
    <w:rsid w:val="00245775"/>
    <w:rsid w:val="002478F9"/>
    <w:rsid w:val="00250DE9"/>
    <w:rsid w:val="00250E4D"/>
    <w:rsid w:val="0025227A"/>
    <w:rsid w:val="00253429"/>
    <w:rsid w:val="002538D7"/>
    <w:rsid w:val="00253926"/>
    <w:rsid w:val="002620FC"/>
    <w:rsid w:val="00262424"/>
    <w:rsid w:val="002632EE"/>
    <w:rsid w:val="00263493"/>
    <w:rsid w:val="002641F5"/>
    <w:rsid w:val="00264316"/>
    <w:rsid w:val="00264330"/>
    <w:rsid w:val="00264F42"/>
    <w:rsid w:val="0026515D"/>
    <w:rsid w:val="00265199"/>
    <w:rsid w:val="00266AE1"/>
    <w:rsid w:val="00267EE2"/>
    <w:rsid w:val="0027083E"/>
    <w:rsid w:val="00272275"/>
    <w:rsid w:val="00273000"/>
    <w:rsid w:val="00274270"/>
    <w:rsid w:val="00275168"/>
    <w:rsid w:val="002757EF"/>
    <w:rsid w:val="00275E98"/>
    <w:rsid w:val="002828C8"/>
    <w:rsid w:val="00282F2E"/>
    <w:rsid w:val="00283652"/>
    <w:rsid w:val="00283724"/>
    <w:rsid w:val="002851C4"/>
    <w:rsid w:val="00285869"/>
    <w:rsid w:val="00285BF6"/>
    <w:rsid w:val="00285EE8"/>
    <w:rsid w:val="00287291"/>
    <w:rsid w:val="00287AC4"/>
    <w:rsid w:val="002919BF"/>
    <w:rsid w:val="002919D9"/>
    <w:rsid w:val="00291B52"/>
    <w:rsid w:val="00292933"/>
    <w:rsid w:val="00292F4E"/>
    <w:rsid w:val="00293E20"/>
    <w:rsid w:val="00294574"/>
    <w:rsid w:val="00294941"/>
    <w:rsid w:val="00295779"/>
    <w:rsid w:val="002A59AA"/>
    <w:rsid w:val="002A5AEB"/>
    <w:rsid w:val="002A7628"/>
    <w:rsid w:val="002B04BC"/>
    <w:rsid w:val="002B1DAF"/>
    <w:rsid w:val="002B2063"/>
    <w:rsid w:val="002B5AAE"/>
    <w:rsid w:val="002B5C2F"/>
    <w:rsid w:val="002B5ED1"/>
    <w:rsid w:val="002B6DA8"/>
    <w:rsid w:val="002B6FDE"/>
    <w:rsid w:val="002B7406"/>
    <w:rsid w:val="002B7AA7"/>
    <w:rsid w:val="002C0910"/>
    <w:rsid w:val="002C1360"/>
    <w:rsid w:val="002C1395"/>
    <w:rsid w:val="002C1E72"/>
    <w:rsid w:val="002C3B16"/>
    <w:rsid w:val="002C4437"/>
    <w:rsid w:val="002C4876"/>
    <w:rsid w:val="002C52B5"/>
    <w:rsid w:val="002C52C6"/>
    <w:rsid w:val="002C66B0"/>
    <w:rsid w:val="002D0AB2"/>
    <w:rsid w:val="002D1D1C"/>
    <w:rsid w:val="002D4355"/>
    <w:rsid w:val="002D4E83"/>
    <w:rsid w:val="002D5AB6"/>
    <w:rsid w:val="002E078C"/>
    <w:rsid w:val="002E3422"/>
    <w:rsid w:val="002E3788"/>
    <w:rsid w:val="002E4058"/>
    <w:rsid w:val="002E47D1"/>
    <w:rsid w:val="002E56FB"/>
    <w:rsid w:val="002E57C6"/>
    <w:rsid w:val="002F0142"/>
    <w:rsid w:val="002F0441"/>
    <w:rsid w:val="002F182F"/>
    <w:rsid w:val="002F3D61"/>
    <w:rsid w:val="002F59DD"/>
    <w:rsid w:val="002F5CED"/>
    <w:rsid w:val="002F5DE3"/>
    <w:rsid w:val="0030058D"/>
    <w:rsid w:val="00302C87"/>
    <w:rsid w:val="003047AB"/>
    <w:rsid w:val="00304AFD"/>
    <w:rsid w:val="00304BBD"/>
    <w:rsid w:val="00305126"/>
    <w:rsid w:val="00305EE6"/>
    <w:rsid w:val="003076CC"/>
    <w:rsid w:val="00310D77"/>
    <w:rsid w:val="00312C0D"/>
    <w:rsid w:val="003132C5"/>
    <w:rsid w:val="00313CD9"/>
    <w:rsid w:val="00313D91"/>
    <w:rsid w:val="00314454"/>
    <w:rsid w:val="003146EF"/>
    <w:rsid w:val="00314B54"/>
    <w:rsid w:val="0032336A"/>
    <w:rsid w:val="0032350C"/>
    <w:rsid w:val="003255AF"/>
    <w:rsid w:val="0032595B"/>
    <w:rsid w:val="00327006"/>
    <w:rsid w:val="00327800"/>
    <w:rsid w:val="003310F7"/>
    <w:rsid w:val="003314E4"/>
    <w:rsid w:val="00331849"/>
    <w:rsid w:val="00332E83"/>
    <w:rsid w:val="0033302C"/>
    <w:rsid w:val="003348F9"/>
    <w:rsid w:val="00335183"/>
    <w:rsid w:val="00335398"/>
    <w:rsid w:val="0033603A"/>
    <w:rsid w:val="003414E2"/>
    <w:rsid w:val="00342CA4"/>
    <w:rsid w:val="00343333"/>
    <w:rsid w:val="00343576"/>
    <w:rsid w:val="00343FA2"/>
    <w:rsid w:val="00344250"/>
    <w:rsid w:val="00344811"/>
    <w:rsid w:val="003456D6"/>
    <w:rsid w:val="003458A0"/>
    <w:rsid w:val="003466A9"/>
    <w:rsid w:val="003503AA"/>
    <w:rsid w:val="00352458"/>
    <w:rsid w:val="00352A4C"/>
    <w:rsid w:val="00353663"/>
    <w:rsid w:val="003550F0"/>
    <w:rsid w:val="00355DE1"/>
    <w:rsid w:val="0035656B"/>
    <w:rsid w:val="00356DB5"/>
    <w:rsid w:val="00360886"/>
    <w:rsid w:val="003612C7"/>
    <w:rsid w:val="00361A52"/>
    <w:rsid w:val="00362A71"/>
    <w:rsid w:val="00363C60"/>
    <w:rsid w:val="003671AD"/>
    <w:rsid w:val="003711F4"/>
    <w:rsid w:val="00371645"/>
    <w:rsid w:val="00371C6B"/>
    <w:rsid w:val="00372AE6"/>
    <w:rsid w:val="00373C5B"/>
    <w:rsid w:val="00373FFC"/>
    <w:rsid w:val="00374594"/>
    <w:rsid w:val="00380F90"/>
    <w:rsid w:val="00381C59"/>
    <w:rsid w:val="00381E32"/>
    <w:rsid w:val="00382CEE"/>
    <w:rsid w:val="00384A0F"/>
    <w:rsid w:val="003856EB"/>
    <w:rsid w:val="00386A89"/>
    <w:rsid w:val="00390AEC"/>
    <w:rsid w:val="0039120F"/>
    <w:rsid w:val="003920EA"/>
    <w:rsid w:val="003928AB"/>
    <w:rsid w:val="00393025"/>
    <w:rsid w:val="0039309E"/>
    <w:rsid w:val="00394361"/>
    <w:rsid w:val="00395AA3"/>
    <w:rsid w:val="00395F4F"/>
    <w:rsid w:val="00396AE9"/>
    <w:rsid w:val="0039772E"/>
    <w:rsid w:val="003A015C"/>
    <w:rsid w:val="003A0D17"/>
    <w:rsid w:val="003A0E51"/>
    <w:rsid w:val="003A1186"/>
    <w:rsid w:val="003A11A3"/>
    <w:rsid w:val="003A1639"/>
    <w:rsid w:val="003A1D2D"/>
    <w:rsid w:val="003A2D00"/>
    <w:rsid w:val="003A4870"/>
    <w:rsid w:val="003A48F1"/>
    <w:rsid w:val="003A6F7C"/>
    <w:rsid w:val="003A7F41"/>
    <w:rsid w:val="003B32B9"/>
    <w:rsid w:val="003B37C2"/>
    <w:rsid w:val="003B38AE"/>
    <w:rsid w:val="003B4595"/>
    <w:rsid w:val="003B4D14"/>
    <w:rsid w:val="003B4DD1"/>
    <w:rsid w:val="003B59E9"/>
    <w:rsid w:val="003B5AB0"/>
    <w:rsid w:val="003B6C54"/>
    <w:rsid w:val="003B7F15"/>
    <w:rsid w:val="003C0CF6"/>
    <w:rsid w:val="003C1DCB"/>
    <w:rsid w:val="003C21D0"/>
    <w:rsid w:val="003C39A4"/>
    <w:rsid w:val="003C4233"/>
    <w:rsid w:val="003C4D60"/>
    <w:rsid w:val="003C4F7A"/>
    <w:rsid w:val="003C53E1"/>
    <w:rsid w:val="003C56C9"/>
    <w:rsid w:val="003C5713"/>
    <w:rsid w:val="003C7205"/>
    <w:rsid w:val="003C73D9"/>
    <w:rsid w:val="003C7DC5"/>
    <w:rsid w:val="003D08FC"/>
    <w:rsid w:val="003D45B8"/>
    <w:rsid w:val="003D525E"/>
    <w:rsid w:val="003D5A44"/>
    <w:rsid w:val="003D6586"/>
    <w:rsid w:val="003D6C57"/>
    <w:rsid w:val="003D6CAE"/>
    <w:rsid w:val="003D7600"/>
    <w:rsid w:val="003E0A04"/>
    <w:rsid w:val="003E16A6"/>
    <w:rsid w:val="003E2477"/>
    <w:rsid w:val="003E2FFC"/>
    <w:rsid w:val="003E38E7"/>
    <w:rsid w:val="003F0812"/>
    <w:rsid w:val="003F2A2D"/>
    <w:rsid w:val="003F2C23"/>
    <w:rsid w:val="003F31AD"/>
    <w:rsid w:val="003F63EA"/>
    <w:rsid w:val="003F6DDA"/>
    <w:rsid w:val="003F759B"/>
    <w:rsid w:val="003F7C48"/>
    <w:rsid w:val="00401D4F"/>
    <w:rsid w:val="004027DC"/>
    <w:rsid w:val="0040293E"/>
    <w:rsid w:val="00403659"/>
    <w:rsid w:val="00403BA1"/>
    <w:rsid w:val="00403FF1"/>
    <w:rsid w:val="00405408"/>
    <w:rsid w:val="0040542D"/>
    <w:rsid w:val="00407593"/>
    <w:rsid w:val="00407902"/>
    <w:rsid w:val="004103DC"/>
    <w:rsid w:val="00410776"/>
    <w:rsid w:val="004107C9"/>
    <w:rsid w:val="00410E4D"/>
    <w:rsid w:val="00412CE8"/>
    <w:rsid w:val="00413F28"/>
    <w:rsid w:val="00414F4A"/>
    <w:rsid w:val="00415BD0"/>
    <w:rsid w:val="00415BF2"/>
    <w:rsid w:val="00415C17"/>
    <w:rsid w:val="0041628A"/>
    <w:rsid w:val="004163B9"/>
    <w:rsid w:val="0041736F"/>
    <w:rsid w:val="004176CD"/>
    <w:rsid w:val="00417ED8"/>
    <w:rsid w:val="00422699"/>
    <w:rsid w:val="004226AE"/>
    <w:rsid w:val="00422A47"/>
    <w:rsid w:val="00424A30"/>
    <w:rsid w:val="00424C68"/>
    <w:rsid w:val="00426C69"/>
    <w:rsid w:val="00426FB1"/>
    <w:rsid w:val="00430148"/>
    <w:rsid w:val="004301D0"/>
    <w:rsid w:val="0043085C"/>
    <w:rsid w:val="00431211"/>
    <w:rsid w:val="0043199C"/>
    <w:rsid w:val="00431A07"/>
    <w:rsid w:val="004322F4"/>
    <w:rsid w:val="00432B39"/>
    <w:rsid w:val="00433F35"/>
    <w:rsid w:val="00434D73"/>
    <w:rsid w:val="004368C6"/>
    <w:rsid w:val="00437479"/>
    <w:rsid w:val="00437947"/>
    <w:rsid w:val="00440572"/>
    <w:rsid w:val="00440D83"/>
    <w:rsid w:val="00440F74"/>
    <w:rsid w:val="00441A6F"/>
    <w:rsid w:val="0044247F"/>
    <w:rsid w:val="00443883"/>
    <w:rsid w:val="00443F2C"/>
    <w:rsid w:val="004466E3"/>
    <w:rsid w:val="00446D05"/>
    <w:rsid w:val="0044757F"/>
    <w:rsid w:val="004478AE"/>
    <w:rsid w:val="004513FF"/>
    <w:rsid w:val="00453FC8"/>
    <w:rsid w:val="00453FE7"/>
    <w:rsid w:val="00454533"/>
    <w:rsid w:val="00454C27"/>
    <w:rsid w:val="00454F99"/>
    <w:rsid w:val="00455DE5"/>
    <w:rsid w:val="00456708"/>
    <w:rsid w:val="00456E88"/>
    <w:rsid w:val="00462B2A"/>
    <w:rsid w:val="0046408B"/>
    <w:rsid w:val="0046677D"/>
    <w:rsid w:val="00467ADD"/>
    <w:rsid w:val="00470157"/>
    <w:rsid w:val="0047154F"/>
    <w:rsid w:val="00474CF6"/>
    <w:rsid w:val="00475030"/>
    <w:rsid w:val="00475D91"/>
    <w:rsid w:val="004773EB"/>
    <w:rsid w:val="00477BFA"/>
    <w:rsid w:val="00477D58"/>
    <w:rsid w:val="00480066"/>
    <w:rsid w:val="00480177"/>
    <w:rsid w:val="0048195C"/>
    <w:rsid w:val="00481F35"/>
    <w:rsid w:val="00482E32"/>
    <w:rsid w:val="004852BB"/>
    <w:rsid w:val="0049056C"/>
    <w:rsid w:val="00491EC1"/>
    <w:rsid w:val="00492AC6"/>
    <w:rsid w:val="004939D6"/>
    <w:rsid w:val="00494D0E"/>
    <w:rsid w:val="00495782"/>
    <w:rsid w:val="0049738B"/>
    <w:rsid w:val="004A04BD"/>
    <w:rsid w:val="004A0B6C"/>
    <w:rsid w:val="004A1F7E"/>
    <w:rsid w:val="004A245E"/>
    <w:rsid w:val="004A319E"/>
    <w:rsid w:val="004A3D65"/>
    <w:rsid w:val="004A509D"/>
    <w:rsid w:val="004A5CCC"/>
    <w:rsid w:val="004A6F1C"/>
    <w:rsid w:val="004A7504"/>
    <w:rsid w:val="004A787C"/>
    <w:rsid w:val="004A7DCA"/>
    <w:rsid w:val="004A7E32"/>
    <w:rsid w:val="004B0300"/>
    <w:rsid w:val="004B0822"/>
    <w:rsid w:val="004B0B60"/>
    <w:rsid w:val="004B1126"/>
    <w:rsid w:val="004B1EB0"/>
    <w:rsid w:val="004B257D"/>
    <w:rsid w:val="004B2AC5"/>
    <w:rsid w:val="004B55EF"/>
    <w:rsid w:val="004B616E"/>
    <w:rsid w:val="004B64B6"/>
    <w:rsid w:val="004B6777"/>
    <w:rsid w:val="004B7081"/>
    <w:rsid w:val="004B7129"/>
    <w:rsid w:val="004B71C1"/>
    <w:rsid w:val="004C0142"/>
    <w:rsid w:val="004C06C2"/>
    <w:rsid w:val="004C0BF6"/>
    <w:rsid w:val="004C1FDB"/>
    <w:rsid w:val="004C2810"/>
    <w:rsid w:val="004C37C5"/>
    <w:rsid w:val="004C4F12"/>
    <w:rsid w:val="004C7F20"/>
    <w:rsid w:val="004D0D07"/>
    <w:rsid w:val="004D1D76"/>
    <w:rsid w:val="004D2FAD"/>
    <w:rsid w:val="004D5981"/>
    <w:rsid w:val="004E0702"/>
    <w:rsid w:val="004E14A6"/>
    <w:rsid w:val="004E3C31"/>
    <w:rsid w:val="004E3E23"/>
    <w:rsid w:val="004E457D"/>
    <w:rsid w:val="004E4CA5"/>
    <w:rsid w:val="004E5CDE"/>
    <w:rsid w:val="004E73A3"/>
    <w:rsid w:val="004F014F"/>
    <w:rsid w:val="004F057C"/>
    <w:rsid w:val="004F077D"/>
    <w:rsid w:val="004F0C29"/>
    <w:rsid w:val="004F15C0"/>
    <w:rsid w:val="004F20CE"/>
    <w:rsid w:val="004F36A5"/>
    <w:rsid w:val="004F38DC"/>
    <w:rsid w:val="004F45F7"/>
    <w:rsid w:val="004F5AE2"/>
    <w:rsid w:val="004F74B7"/>
    <w:rsid w:val="004F7675"/>
    <w:rsid w:val="00500D48"/>
    <w:rsid w:val="00501269"/>
    <w:rsid w:val="00503018"/>
    <w:rsid w:val="00504944"/>
    <w:rsid w:val="005053C3"/>
    <w:rsid w:val="00505AEA"/>
    <w:rsid w:val="00506DA6"/>
    <w:rsid w:val="00510959"/>
    <w:rsid w:val="00510A21"/>
    <w:rsid w:val="00510FF9"/>
    <w:rsid w:val="00511DF5"/>
    <w:rsid w:val="005123C3"/>
    <w:rsid w:val="00512595"/>
    <w:rsid w:val="00512EC0"/>
    <w:rsid w:val="0051310C"/>
    <w:rsid w:val="00513405"/>
    <w:rsid w:val="005138D4"/>
    <w:rsid w:val="00513DA9"/>
    <w:rsid w:val="00514A2A"/>
    <w:rsid w:val="00514F82"/>
    <w:rsid w:val="0051555E"/>
    <w:rsid w:val="00516214"/>
    <w:rsid w:val="00522CC3"/>
    <w:rsid w:val="00522F19"/>
    <w:rsid w:val="00523B5D"/>
    <w:rsid w:val="0052652E"/>
    <w:rsid w:val="0052705B"/>
    <w:rsid w:val="005309F9"/>
    <w:rsid w:val="00531640"/>
    <w:rsid w:val="00532226"/>
    <w:rsid w:val="00532771"/>
    <w:rsid w:val="0053308A"/>
    <w:rsid w:val="00535143"/>
    <w:rsid w:val="005362AD"/>
    <w:rsid w:val="00536971"/>
    <w:rsid w:val="00542C3A"/>
    <w:rsid w:val="00543AB7"/>
    <w:rsid w:val="00543D5E"/>
    <w:rsid w:val="005441E6"/>
    <w:rsid w:val="00544CD2"/>
    <w:rsid w:val="00544EF1"/>
    <w:rsid w:val="0054570C"/>
    <w:rsid w:val="00547056"/>
    <w:rsid w:val="00550295"/>
    <w:rsid w:val="00552A8A"/>
    <w:rsid w:val="00552EC3"/>
    <w:rsid w:val="005548B1"/>
    <w:rsid w:val="00554A5A"/>
    <w:rsid w:val="005560A3"/>
    <w:rsid w:val="0056228B"/>
    <w:rsid w:val="00563564"/>
    <w:rsid w:val="00563C54"/>
    <w:rsid w:val="005644B9"/>
    <w:rsid w:val="00565501"/>
    <w:rsid w:val="0056608E"/>
    <w:rsid w:val="0056636B"/>
    <w:rsid w:val="005667D1"/>
    <w:rsid w:val="005668C7"/>
    <w:rsid w:val="005721C1"/>
    <w:rsid w:val="0057292F"/>
    <w:rsid w:val="005752A7"/>
    <w:rsid w:val="0057678A"/>
    <w:rsid w:val="005772B8"/>
    <w:rsid w:val="005815BD"/>
    <w:rsid w:val="00582943"/>
    <w:rsid w:val="00585116"/>
    <w:rsid w:val="00585707"/>
    <w:rsid w:val="005857AF"/>
    <w:rsid w:val="00585B19"/>
    <w:rsid w:val="00587D3B"/>
    <w:rsid w:val="00592C37"/>
    <w:rsid w:val="005935D0"/>
    <w:rsid w:val="00594157"/>
    <w:rsid w:val="00594DC3"/>
    <w:rsid w:val="0059509B"/>
    <w:rsid w:val="0059532E"/>
    <w:rsid w:val="00597F43"/>
    <w:rsid w:val="005A01D1"/>
    <w:rsid w:val="005A0D0E"/>
    <w:rsid w:val="005A1880"/>
    <w:rsid w:val="005A22F6"/>
    <w:rsid w:val="005A2378"/>
    <w:rsid w:val="005A2D0D"/>
    <w:rsid w:val="005A32F8"/>
    <w:rsid w:val="005A361B"/>
    <w:rsid w:val="005A5FC8"/>
    <w:rsid w:val="005A6C3E"/>
    <w:rsid w:val="005A7975"/>
    <w:rsid w:val="005A7A9D"/>
    <w:rsid w:val="005A7AE1"/>
    <w:rsid w:val="005B2195"/>
    <w:rsid w:val="005B295F"/>
    <w:rsid w:val="005B34D6"/>
    <w:rsid w:val="005B354F"/>
    <w:rsid w:val="005B6B01"/>
    <w:rsid w:val="005C062D"/>
    <w:rsid w:val="005C0D6C"/>
    <w:rsid w:val="005C0DCE"/>
    <w:rsid w:val="005C111E"/>
    <w:rsid w:val="005C279F"/>
    <w:rsid w:val="005C3E77"/>
    <w:rsid w:val="005C47D7"/>
    <w:rsid w:val="005C655A"/>
    <w:rsid w:val="005C6D5C"/>
    <w:rsid w:val="005D0E97"/>
    <w:rsid w:val="005D10EA"/>
    <w:rsid w:val="005D44A6"/>
    <w:rsid w:val="005D4720"/>
    <w:rsid w:val="005D58F6"/>
    <w:rsid w:val="005D73F6"/>
    <w:rsid w:val="005D76A1"/>
    <w:rsid w:val="005D7C2B"/>
    <w:rsid w:val="005E050A"/>
    <w:rsid w:val="005E0E58"/>
    <w:rsid w:val="005E2B50"/>
    <w:rsid w:val="005E5331"/>
    <w:rsid w:val="005E59C8"/>
    <w:rsid w:val="005E5E6F"/>
    <w:rsid w:val="005E6272"/>
    <w:rsid w:val="005E6759"/>
    <w:rsid w:val="005F1712"/>
    <w:rsid w:val="005F48AA"/>
    <w:rsid w:val="005F5252"/>
    <w:rsid w:val="005F5E12"/>
    <w:rsid w:val="005F747F"/>
    <w:rsid w:val="006000DB"/>
    <w:rsid w:val="006009F5"/>
    <w:rsid w:val="00601046"/>
    <w:rsid w:val="00601752"/>
    <w:rsid w:val="0060300F"/>
    <w:rsid w:val="00604A84"/>
    <w:rsid w:val="00604A8B"/>
    <w:rsid w:val="00604FC1"/>
    <w:rsid w:val="006061FC"/>
    <w:rsid w:val="006076B3"/>
    <w:rsid w:val="006103BE"/>
    <w:rsid w:val="0061098F"/>
    <w:rsid w:val="0061361A"/>
    <w:rsid w:val="00614D61"/>
    <w:rsid w:val="00615F8C"/>
    <w:rsid w:val="006169EA"/>
    <w:rsid w:val="00616F71"/>
    <w:rsid w:val="00617426"/>
    <w:rsid w:val="00620908"/>
    <w:rsid w:val="00620FE4"/>
    <w:rsid w:val="006224B4"/>
    <w:rsid w:val="0062726E"/>
    <w:rsid w:val="00627760"/>
    <w:rsid w:val="006279B1"/>
    <w:rsid w:val="00627BA6"/>
    <w:rsid w:val="0063452F"/>
    <w:rsid w:val="006346A1"/>
    <w:rsid w:val="00634A19"/>
    <w:rsid w:val="00634A36"/>
    <w:rsid w:val="00635096"/>
    <w:rsid w:val="00635DFA"/>
    <w:rsid w:val="00637B50"/>
    <w:rsid w:val="00640619"/>
    <w:rsid w:val="00641B08"/>
    <w:rsid w:val="00641D33"/>
    <w:rsid w:val="0064205C"/>
    <w:rsid w:val="00642595"/>
    <w:rsid w:val="00642BC2"/>
    <w:rsid w:val="0064386A"/>
    <w:rsid w:val="00646530"/>
    <w:rsid w:val="00646545"/>
    <w:rsid w:val="00652508"/>
    <w:rsid w:val="0065274B"/>
    <w:rsid w:val="00652A6F"/>
    <w:rsid w:val="00654B1E"/>
    <w:rsid w:val="00656928"/>
    <w:rsid w:val="006572F5"/>
    <w:rsid w:val="00657715"/>
    <w:rsid w:val="0066151E"/>
    <w:rsid w:val="00662396"/>
    <w:rsid w:val="00663536"/>
    <w:rsid w:val="00663CE5"/>
    <w:rsid w:val="00664777"/>
    <w:rsid w:val="00664ECE"/>
    <w:rsid w:val="0066526D"/>
    <w:rsid w:val="00665BBB"/>
    <w:rsid w:val="00665D01"/>
    <w:rsid w:val="0066676A"/>
    <w:rsid w:val="00666E48"/>
    <w:rsid w:val="0067021C"/>
    <w:rsid w:val="00670AF2"/>
    <w:rsid w:val="00676C34"/>
    <w:rsid w:val="00681010"/>
    <w:rsid w:val="00682C24"/>
    <w:rsid w:val="00683B73"/>
    <w:rsid w:val="00684E08"/>
    <w:rsid w:val="00685949"/>
    <w:rsid w:val="0068600A"/>
    <w:rsid w:val="0068733F"/>
    <w:rsid w:val="0068763A"/>
    <w:rsid w:val="00693CCC"/>
    <w:rsid w:val="00694FAA"/>
    <w:rsid w:val="0069603A"/>
    <w:rsid w:val="006A0526"/>
    <w:rsid w:val="006A2554"/>
    <w:rsid w:val="006A2D7B"/>
    <w:rsid w:val="006A2F86"/>
    <w:rsid w:val="006A3A98"/>
    <w:rsid w:val="006A47F4"/>
    <w:rsid w:val="006A4BC8"/>
    <w:rsid w:val="006A4DF5"/>
    <w:rsid w:val="006A576A"/>
    <w:rsid w:val="006A65B8"/>
    <w:rsid w:val="006A6C9B"/>
    <w:rsid w:val="006A6EAF"/>
    <w:rsid w:val="006A7242"/>
    <w:rsid w:val="006A72E7"/>
    <w:rsid w:val="006B0CBB"/>
    <w:rsid w:val="006B1659"/>
    <w:rsid w:val="006B52CF"/>
    <w:rsid w:val="006B7E06"/>
    <w:rsid w:val="006C3454"/>
    <w:rsid w:val="006C3A93"/>
    <w:rsid w:val="006C46CC"/>
    <w:rsid w:val="006C5668"/>
    <w:rsid w:val="006C571A"/>
    <w:rsid w:val="006C5FAC"/>
    <w:rsid w:val="006C65F1"/>
    <w:rsid w:val="006C672F"/>
    <w:rsid w:val="006D0142"/>
    <w:rsid w:val="006D242D"/>
    <w:rsid w:val="006D535D"/>
    <w:rsid w:val="006D6294"/>
    <w:rsid w:val="006D6BFF"/>
    <w:rsid w:val="006D728F"/>
    <w:rsid w:val="006E1896"/>
    <w:rsid w:val="006E1DFB"/>
    <w:rsid w:val="006E3C83"/>
    <w:rsid w:val="006E58BD"/>
    <w:rsid w:val="006E5C37"/>
    <w:rsid w:val="006E79C3"/>
    <w:rsid w:val="006F019E"/>
    <w:rsid w:val="006F0803"/>
    <w:rsid w:val="006F1372"/>
    <w:rsid w:val="006F2D88"/>
    <w:rsid w:val="006F2E52"/>
    <w:rsid w:val="006F36F4"/>
    <w:rsid w:val="006F3CBC"/>
    <w:rsid w:val="006F44DD"/>
    <w:rsid w:val="006F54D1"/>
    <w:rsid w:val="006F57E0"/>
    <w:rsid w:val="006F59AF"/>
    <w:rsid w:val="006F5C65"/>
    <w:rsid w:val="006F6ABA"/>
    <w:rsid w:val="006F6CA2"/>
    <w:rsid w:val="0070082A"/>
    <w:rsid w:val="00701F59"/>
    <w:rsid w:val="0070277D"/>
    <w:rsid w:val="00702BE0"/>
    <w:rsid w:val="00703079"/>
    <w:rsid w:val="007046C2"/>
    <w:rsid w:val="007063C0"/>
    <w:rsid w:val="007075C9"/>
    <w:rsid w:val="00710284"/>
    <w:rsid w:val="00710E60"/>
    <w:rsid w:val="00711103"/>
    <w:rsid w:val="00711FA5"/>
    <w:rsid w:val="00713967"/>
    <w:rsid w:val="0071397F"/>
    <w:rsid w:val="00714741"/>
    <w:rsid w:val="007153C5"/>
    <w:rsid w:val="00715DE3"/>
    <w:rsid w:val="00720D0A"/>
    <w:rsid w:val="007214F2"/>
    <w:rsid w:val="007233C1"/>
    <w:rsid w:val="00723922"/>
    <w:rsid w:val="00725082"/>
    <w:rsid w:val="007251D4"/>
    <w:rsid w:val="00727F55"/>
    <w:rsid w:val="007326B0"/>
    <w:rsid w:val="0073271D"/>
    <w:rsid w:val="00733C1C"/>
    <w:rsid w:val="00733EBA"/>
    <w:rsid w:val="00733EFA"/>
    <w:rsid w:val="00736186"/>
    <w:rsid w:val="0073654A"/>
    <w:rsid w:val="0073723C"/>
    <w:rsid w:val="00737893"/>
    <w:rsid w:val="00740311"/>
    <w:rsid w:val="00740439"/>
    <w:rsid w:val="00741BB9"/>
    <w:rsid w:val="00743B8D"/>
    <w:rsid w:val="00743C53"/>
    <w:rsid w:val="00743CCF"/>
    <w:rsid w:val="00744532"/>
    <w:rsid w:val="007445E1"/>
    <w:rsid w:val="0074525A"/>
    <w:rsid w:val="00747E58"/>
    <w:rsid w:val="00750A9A"/>
    <w:rsid w:val="007525B2"/>
    <w:rsid w:val="0075359C"/>
    <w:rsid w:val="00753FF5"/>
    <w:rsid w:val="007549C3"/>
    <w:rsid w:val="00754E8A"/>
    <w:rsid w:val="0075654F"/>
    <w:rsid w:val="00760267"/>
    <w:rsid w:val="00762530"/>
    <w:rsid w:val="00762846"/>
    <w:rsid w:val="00762A98"/>
    <w:rsid w:val="00762ED7"/>
    <w:rsid w:val="007634A4"/>
    <w:rsid w:val="00764E6E"/>
    <w:rsid w:val="007657EE"/>
    <w:rsid w:val="0076606A"/>
    <w:rsid w:val="00766581"/>
    <w:rsid w:val="00771573"/>
    <w:rsid w:val="00773390"/>
    <w:rsid w:val="00774840"/>
    <w:rsid w:val="00775379"/>
    <w:rsid w:val="007759A5"/>
    <w:rsid w:val="0077621B"/>
    <w:rsid w:val="00776492"/>
    <w:rsid w:val="00776926"/>
    <w:rsid w:val="00777126"/>
    <w:rsid w:val="007819AC"/>
    <w:rsid w:val="00781DCE"/>
    <w:rsid w:val="0078224E"/>
    <w:rsid w:val="0078286E"/>
    <w:rsid w:val="00784E2B"/>
    <w:rsid w:val="0078579C"/>
    <w:rsid w:val="00786014"/>
    <w:rsid w:val="0078651C"/>
    <w:rsid w:val="0078745D"/>
    <w:rsid w:val="007913C2"/>
    <w:rsid w:val="0079342A"/>
    <w:rsid w:val="00794238"/>
    <w:rsid w:val="0079425A"/>
    <w:rsid w:val="00795361"/>
    <w:rsid w:val="00795F78"/>
    <w:rsid w:val="00796478"/>
    <w:rsid w:val="00796D32"/>
    <w:rsid w:val="007A0F1D"/>
    <w:rsid w:val="007A247E"/>
    <w:rsid w:val="007A25DB"/>
    <w:rsid w:val="007A2A83"/>
    <w:rsid w:val="007A2B6D"/>
    <w:rsid w:val="007A4586"/>
    <w:rsid w:val="007A4924"/>
    <w:rsid w:val="007A56AD"/>
    <w:rsid w:val="007A7931"/>
    <w:rsid w:val="007A7B56"/>
    <w:rsid w:val="007A7BDA"/>
    <w:rsid w:val="007B00D9"/>
    <w:rsid w:val="007B0292"/>
    <w:rsid w:val="007B13C5"/>
    <w:rsid w:val="007B1D6F"/>
    <w:rsid w:val="007B1F27"/>
    <w:rsid w:val="007B38AC"/>
    <w:rsid w:val="007B4A2B"/>
    <w:rsid w:val="007B5714"/>
    <w:rsid w:val="007B60BE"/>
    <w:rsid w:val="007B7115"/>
    <w:rsid w:val="007B7163"/>
    <w:rsid w:val="007B7670"/>
    <w:rsid w:val="007C0C9B"/>
    <w:rsid w:val="007C134E"/>
    <w:rsid w:val="007C2470"/>
    <w:rsid w:val="007C2BD6"/>
    <w:rsid w:val="007C2E37"/>
    <w:rsid w:val="007C3A0E"/>
    <w:rsid w:val="007C56D0"/>
    <w:rsid w:val="007C625B"/>
    <w:rsid w:val="007C718C"/>
    <w:rsid w:val="007C7292"/>
    <w:rsid w:val="007C7E36"/>
    <w:rsid w:val="007D1305"/>
    <w:rsid w:val="007D1A91"/>
    <w:rsid w:val="007D2B6C"/>
    <w:rsid w:val="007D34F7"/>
    <w:rsid w:val="007D3E63"/>
    <w:rsid w:val="007D5DE9"/>
    <w:rsid w:val="007D648B"/>
    <w:rsid w:val="007D65C7"/>
    <w:rsid w:val="007D68CC"/>
    <w:rsid w:val="007D6A3F"/>
    <w:rsid w:val="007D6FAA"/>
    <w:rsid w:val="007D734E"/>
    <w:rsid w:val="007E00CB"/>
    <w:rsid w:val="007E15C8"/>
    <w:rsid w:val="007E16E2"/>
    <w:rsid w:val="007E2DF0"/>
    <w:rsid w:val="007E3573"/>
    <w:rsid w:val="007E35DC"/>
    <w:rsid w:val="007E3811"/>
    <w:rsid w:val="007E3AF9"/>
    <w:rsid w:val="007E4552"/>
    <w:rsid w:val="007E45D6"/>
    <w:rsid w:val="007E4712"/>
    <w:rsid w:val="007E5218"/>
    <w:rsid w:val="007E52B3"/>
    <w:rsid w:val="007E534A"/>
    <w:rsid w:val="007E5626"/>
    <w:rsid w:val="007E60ED"/>
    <w:rsid w:val="007E6915"/>
    <w:rsid w:val="007F1764"/>
    <w:rsid w:val="007F2828"/>
    <w:rsid w:val="007F31C6"/>
    <w:rsid w:val="007F3892"/>
    <w:rsid w:val="007F6084"/>
    <w:rsid w:val="007F611B"/>
    <w:rsid w:val="007F6C72"/>
    <w:rsid w:val="00801BAD"/>
    <w:rsid w:val="00801EE0"/>
    <w:rsid w:val="008024EF"/>
    <w:rsid w:val="00802B67"/>
    <w:rsid w:val="008030A3"/>
    <w:rsid w:val="00803933"/>
    <w:rsid w:val="008044FA"/>
    <w:rsid w:val="008052A3"/>
    <w:rsid w:val="008057B5"/>
    <w:rsid w:val="00807902"/>
    <w:rsid w:val="00807E8B"/>
    <w:rsid w:val="00810852"/>
    <w:rsid w:val="00811481"/>
    <w:rsid w:val="008118B3"/>
    <w:rsid w:val="0081207B"/>
    <w:rsid w:val="008121E1"/>
    <w:rsid w:val="008139A0"/>
    <w:rsid w:val="00814FDB"/>
    <w:rsid w:val="00815515"/>
    <w:rsid w:val="00815692"/>
    <w:rsid w:val="008156F3"/>
    <w:rsid w:val="00815C71"/>
    <w:rsid w:val="00817B09"/>
    <w:rsid w:val="00820ABF"/>
    <w:rsid w:val="00820C94"/>
    <w:rsid w:val="008219AC"/>
    <w:rsid w:val="00822AD3"/>
    <w:rsid w:val="00822F3B"/>
    <w:rsid w:val="00824B98"/>
    <w:rsid w:val="00825078"/>
    <w:rsid w:val="00832DED"/>
    <w:rsid w:val="0083345F"/>
    <w:rsid w:val="008342B4"/>
    <w:rsid w:val="00834BD8"/>
    <w:rsid w:val="008358BA"/>
    <w:rsid w:val="00836E9E"/>
    <w:rsid w:val="00840DAB"/>
    <w:rsid w:val="00841721"/>
    <w:rsid w:val="00842602"/>
    <w:rsid w:val="00842C59"/>
    <w:rsid w:val="00847B4D"/>
    <w:rsid w:val="00852088"/>
    <w:rsid w:val="008521B7"/>
    <w:rsid w:val="008527BC"/>
    <w:rsid w:val="0085290C"/>
    <w:rsid w:val="00854160"/>
    <w:rsid w:val="0085630D"/>
    <w:rsid w:val="008571E0"/>
    <w:rsid w:val="00857666"/>
    <w:rsid w:val="00861382"/>
    <w:rsid w:val="00861A5B"/>
    <w:rsid w:val="0086252F"/>
    <w:rsid w:val="00862D5A"/>
    <w:rsid w:val="008640CC"/>
    <w:rsid w:val="0086476C"/>
    <w:rsid w:val="00864B81"/>
    <w:rsid w:val="0086518C"/>
    <w:rsid w:val="00865567"/>
    <w:rsid w:val="00866E91"/>
    <w:rsid w:val="00870285"/>
    <w:rsid w:val="00871BCC"/>
    <w:rsid w:val="00871D3B"/>
    <w:rsid w:val="00872721"/>
    <w:rsid w:val="00873627"/>
    <w:rsid w:val="00875103"/>
    <w:rsid w:val="008752BA"/>
    <w:rsid w:val="00875870"/>
    <w:rsid w:val="00875CFE"/>
    <w:rsid w:val="00876A18"/>
    <w:rsid w:val="00877037"/>
    <w:rsid w:val="0087740B"/>
    <w:rsid w:val="00881B6B"/>
    <w:rsid w:val="00882496"/>
    <w:rsid w:val="00882714"/>
    <w:rsid w:val="0088283C"/>
    <w:rsid w:val="00885682"/>
    <w:rsid w:val="008911C5"/>
    <w:rsid w:val="00891830"/>
    <w:rsid w:val="00891E08"/>
    <w:rsid w:val="00892C98"/>
    <w:rsid w:val="00893558"/>
    <w:rsid w:val="008939FC"/>
    <w:rsid w:val="00894F91"/>
    <w:rsid w:val="0089644B"/>
    <w:rsid w:val="008A0328"/>
    <w:rsid w:val="008A058D"/>
    <w:rsid w:val="008A1117"/>
    <w:rsid w:val="008A4ECF"/>
    <w:rsid w:val="008A5C88"/>
    <w:rsid w:val="008A5CE3"/>
    <w:rsid w:val="008A6195"/>
    <w:rsid w:val="008A6BD3"/>
    <w:rsid w:val="008A6E35"/>
    <w:rsid w:val="008B0ACD"/>
    <w:rsid w:val="008B13ED"/>
    <w:rsid w:val="008B1F7E"/>
    <w:rsid w:val="008B207A"/>
    <w:rsid w:val="008B37B0"/>
    <w:rsid w:val="008B3B2F"/>
    <w:rsid w:val="008B4746"/>
    <w:rsid w:val="008B66A0"/>
    <w:rsid w:val="008B76C8"/>
    <w:rsid w:val="008B7D29"/>
    <w:rsid w:val="008C298E"/>
    <w:rsid w:val="008C29A7"/>
    <w:rsid w:val="008C2C00"/>
    <w:rsid w:val="008C37E3"/>
    <w:rsid w:val="008C3950"/>
    <w:rsid w:val="008C5508"/>
    <w:rsid w:val="008C7741"/>
    <w:rsid w:val="008C7F03"/>
    <w:rsid w:val="008D06B2"/>
    <w:rsid w:val="008D3992"/>
    <w:rsid w:val="008D5369"/>
    <w:rsid w:val="008D7559"/>
    <w:rsid w:val="008E01EF"/>
    <w:rsid w:val="008E1945"/>
    <w:rsid w:val="008E27AE"/>
    <w:rsid w:val="008E3D7F"/>
    <w:rsid w:val="008E4542"/>
    <w:rsid w:val="008E6204"/>
    <w:rsid w:val="008E6406"/>
    <w:rsid w:val="008E6CF3"/>
    <w:rsid w:val="008E7E05"/>
    <w:rsid w:val="008F0339"/>
    <w:rsid w:val="008F056A"/>
    <w:rsid w:val="008F0FB7"/>
    <w:rsid w:val="008F1ED5"/>
    <w:rsid w:val="008F220D"/>
    <w:rsid w:val="008F25C4"/>
    <w:rsid w:val="008F2F65"/>
    <w:rsid w:val="008F3022"/>
    <w:rsid w:val="008F3953"/>
    <w:rsid w:val="008F3BFC"/>
    <w:rsid w:val="008F3C03"/>
    <w:rsid w:val="008F5429"/>
    <w:rsid w:val="008F56D8"/>
    <w:rsid w:val="008F5894"/>
    <w:rsid w:val="008F5FB0"/>
    <w:rsid w:val="008F66C6"/>
    <w:rsid w:val="008F70C1"/>
    <w:rsid w:val="008F7895"/>
    <w:rsid w:val="00901547"/>
    <w:rsid w:val="00902713"/>
    <w:rsid w:val="009034B3"/>
    <w:rsid w:val="00903C8B"/>
    <w:rsid w:val="00904360"/>
    <w:rsid w:val="00904DD0"/>
    <w:rsid w:val="009053B4"/>
    <w:rsid w:val="0090577F"/>
    <w:rsid w:val="0090608A"/>
    <w:rsid w:val="00906C12"/>
    <w:rsid w:val="0091009C"/>
    <w:rsid w:val="00910EC8"/>
    <w:rsid w:val="00911ADF"/>
    <w:rsid w:val="009145A3"/>
    <w:rsid w:val="009150F6"/>
    <w:rsid w:val="00916059"/>
    <w:rsid w:val="00916761"/>
    <w:rsid w:val="00916DF5"/>
    <w:rsid w:val="0091724F"/>
    <w:rsid w:val="00917DFD"/>
    <w:rsid w:val="00917F72"/>
    <w:rsid w:val="00920093"/>
    <w:rsid w:val="0092050F"/>
    <w:rsid w:val="0092116D"/>
    <w:rsid w:val="00922AB2"/>
    <w:rsid w:val="00923C78"/>
    <w:rsid w:val="00924293"/>
    <w:rsid w:val="0092438C"/>
    <w:rsid w:val="0092682F"/>
    <w:rsid w:val="009304B3"/>
    <w:rsid w:val="00930F3F"/>
    <w:rsid w:val="00931C53"/>
    <w:rsid w:val="00931D12"/>
    <w:rsid w:val="00931FC2"/>
    <w:rsid w:val="00933090"/>
    <w:rsid w:val="00935486"/>
    <w:rsid w:val="00935F46"/>
    <w:rsid w:val="00937A2D"/>
    <w:rsid w:val="00940526"/>
    <w:rsid w:val="00946CA7"/>
    <w:rsid w:val="009508BD"/>
    <w:rsid w:val="00952065"/>
    <w:rsid w:val="00953F90"/>
    <w:rsid w:val="0095518D"/>
    <w:rsid w:val="00955777"/>
    <w:rsid w:val="009563A3"/>
    <w:rsid w:val="00956738"/>
    <w:rsid w:val="009570BE"/>
    <w:rsid w:val="00957DF4"/>
    <w:rsid w:val="0096105B"/>
    <w:rsid w:val="0096175B"/>
    <w:rsid w:val="00961772"/>
    <w:rsid w:val="009634CA"/>
    <w:rsid w:val="009708D4"/>
    <w:rsid w:val="0097361E"/>
    <w:rsid w:val="00974676"/>
    <w:rsid w:val="00974CD4"/>
    <w:rsid w:val="00975813"/>
    <w:rsid w:val="009758F5"/>
    <w:rsid w:val="00975942"/>
    <w:rsid w:val="00975C69"/>
    <w:rsid w:val="00977E99"/>
    <w:rsid w:val="00981354"/>
    <w:rsid w:val="009817AB"/>
    <w:rsid w:val="0098231C"/>
    <w:rsid w:val="00983E19"/>
    <w:rsid w:val="00984457"/>
    <w:rsid w:val="00985846"/>
    <w:rsid w:val="00985B03"/>
    <w:rsid w:val="00985C07"/>
    <w:rsid w:val="009914D4"/>
    <w:rsid w:val="00992BD5"/>
    <w:rsid w:val="00992D55"/>
    <w:rsid w:val="009947A0"/>
    <w:rsid w:val="00994B60"/>
    <w:rsid w:val="00996080"/>
    <w:rsid w:val="00996D02"/>
    <w:rsid w:val="009A092E"/>
    <w:rsid w:val="009A11EF"/>
    <w:rsid w:val="009A2D17"/>
    <w:rsid w:val="009A4342"/>
    <w:rsid w:val="009A4E70"/>
    <w:rsid w:val="009A629C"/>
    <w:rsid w:val="009B025A"/>
    <w:rsid w:val="009B0393"/>
    <w:rsid w:val="009B471A"/>
    <w:rsid w:val="009B59E9"/>
    <w:rsid w:val="009B5D54"/>
    <w:rsid w:val="009C04A6"/>
    <w:rsid w:val="009C148C"/>
    <w:rsid w:val="009C1563"/>
    <w:rsid w:val="009C177E"/>
    <w:rsid w:val="009C1C4F"/>
    <w:rsid w:val="009C2025"/>
    <w:rsid w:val="009C2B3B"/>
    <w:rsid w:val="009C2DD5"/>
    <w:rsid w:val="009C395E"/>
    <w:rsid w:val="009C4513"/>
    <w:rsid w:val="009C4B19"/>
    <w:rsid w:val="009C4B45"/>
    <w:rsid w:val="009C5BF2"/>
    <w:rsid w:val="009C734F"/>
    <w:rsid w:val="009C7CA6"/>
    <w:rsid w:val="009D08B6"/>
    <w:rsid w:val="009D1239"/>
    <w:rsid w:val="009D264A"/>
    <w:rsid w:val="009D2908"/>
    <w:rsid w:val="009D341A"/>
    <w:rsid w:val="009D418C"/>
    <w:rsid w:val="009D4397"/>
    <w:rsid w:val="009D4D7B"/>
    <w:rsid w:val="009D5042"/>
    <w:rsid w:val="009D5468"/>
    <w:rsid w:val="009D6303"/>
    <w:rsid w:val="009D63FC"/>
    <w:rsid w:val="009D6CEE"/>
    <w:rsid w:val="009E0EDA"/>
    <w:rsid w:val="009E0FE6"/>
    <w:rsid w:val="009E26F3"/>
    <w:rsid w:val="009E2BA4"/>
    <w:rsid w:val="009E3373"/>
    <w:rsid w:val="009E3D41"/>
    <w:rsid w:val="009E4C42"/>
    <w:rsid w:val="009E63C9"/>
    <w:rsid w:val="009E69E6"/>
    <w:rsid w:val="009E71EE"/>
    <w:rsid w:val="009F00D7"/>
    <w:rsid w:val="009F16FC"/>
    <w:rsid w:val="009F2310"/>
    <w:rsid w:val="009F51B4"/>
    <w:rsid w:val="009F6273"/>
    <w:rsid w:val="00A0108B"/>
    <w:rsid w:val="00A0172B"/>
    <w:rsid w:val="00A028FF"/>
    <w:rsid w:val="00A03B5F"/>
    <w:rsid w:val="00A044E2"/>
    <w:rsid w:val="00A05B26"/>
    <w:rsid w:val="00A06E85"/>
    <w:rsid w:val="00A07FE8"/>
    <w:rsid w:val="00A12F34"/>
    <w:rsid w:val="00A1344F"/>
    <w:rsid w:val="00A13F63"/>
    <w:rsid w:val="00A16AFF"/>
    <w:rsid w:val="00A20649"/>
    <w:rsid w:val="00A226C2"/>
    <w:rsid w:val="00A23C96"/>
    <w:rsid w:val="00A2485E"/>
    <w:rsid w:val="00A25B52"/>
    <w:rsid w:val="00A26F76"/>
    <w:rsid w:val="00A27A24"/>
    <w:rsid w:val="00A314A6"/>
    <w:rsid w:val="00A32946"/>
    <w:rsid w:val="00A33402"/>
    <w:rsid w:val="00A33755"/>
    <w:rsid w:val="00A340F2"/>
    <w:rsid w:val="00A34599"/>
    <w:rsid w:val="00A348E9"/>
    <w:rsid w:val="00A35EB6"/>
    <w:rsid w:val="00A35FFA"/>
    <w:rsid w:val="00A3746E"/>
    <w:rsid w:val="00A375C7"/>
    <w:rsid w:val="00A37E81"/>
    <w:rsid w:val="00A37FDC"/>
    <w:rsid w:val="00A400B6"/>
    <w:rsid w:val="00A41168"/>
    <w:rsid w:val="00A425C8"/>
    <w:rsid w:val="00A427B8"/>
    <w:rsid w:val="00A43741"/>
    <w:rsid w:val="00A4429B"/>
    <w:rsid w:val="00A46723"/>
    <w:rsid w:val="00A477D3"/>
    <w:rsid w:val="00A5086E"/>
    <w:rsid w:val="00A5443E"/>
    <w:rsid w:val="00A559CE"/>
    <w:rsid w:val="00A55B3E"/>
    <w:rsid w:val="00A5670A"/>
    <w:rsid w:val="00A56D44"/>
    <w:rsid w:val="00A6043D"/>
    <w:rsid w:val="00A60A18"/>
    <w:rsid w:val="00A6265C"/>
    <w:rsid w:val="00A657CC"/>
    <w:rsid w:val="00A65897"/>
    <w:rsid w:val="00A65C7F"/>
    <w:rsid w:val="00A65FA9"/>
    <w:rsid w:val="00A66D28"/>
    <w:rsid w:val="00A66E29"/>
    <w:rsid w:val="00A66E8A"/>
    <w:rsid w:val="00A70202"/>
    <w:rsid w:val="00A7156C"/>
    <w:rsid w:val="00A72232"/>
    <w:rsid w:val="00A72B90"/>
    <w:rsid w:val="00A732FC"/>
    <w:rsid w:val="00A73899"/>
    <w:rsid w:val="00A75D0A"/>
    <w:rsid w:val="00A76C9D"/>
    <w:rsid w:val="00A7791D"/>
    <w:rsid w:val="00A77A68"/>
    <w:rsid w:val="00A80324"/>
    <w:rsid w:val="00A80B45"/>
    <w:rsid w:val="00A80F07"/>
    <w:rsid w:val="00A82680"/>
    <w:rsid w:val="00A82B6B"/>
    <w:rsid w:val="00A83FA7"/>
    <w:rsid w:val="00A855DE"/>
    <w:rsid w:val="00A8632E"/>
    <w:rsid w:val="00A86395"/>
    <w:rsid w:val="00A87269"/>
    <w:rsid w:val="00A90214"/>
    <w:rsid w:val="00A90D36"/>
    <w:rsid w:val="00A91A08"/>
    <w:rsid w:val="00A9202B"/>
    <w:rsid w:val="00A9207A"/>
    <w:rsid w:val="00A92ED0"/>
    <w:rsid w:val="00A9334F"/>
    <w:rsid w:val="00A93D2E"/>
    <w:rsid w:val="00A943A7"/>
    <w:rsid w:val="00A943BF"/>
    <w:rsid w:val="00A9506C"/>
    <w:rsid w:val="00A951A9"/>
    <w:rsid w:val="00A95BD6"/>
    <w:rsid w:val="00A96271"/>
    <w:rsid w:val="00A96329"/>
    <w:rsid w:val="00A968F1"/>
    <w:rsid w:val="00A97C5B"/>
    <w:rsid w:val="00AA28F4"/>
    <w:rsid w:val="00AA2AA1"/>
    <w:rsid w:val="00AA4BB1"/>
    <w:rsid w:val="00AA6058"/>
    <w:rsid w:val="00AA677A"/>
    <w:rsid w:val="00AA6E39"/>
    <w:rsid w:val="00AA7799"/>
    <w:rsid w:val="00AA7A47"/>
    <w:rsid w:val="00AA7AFF"/>
    <w:rsid w:val="00AB0289"/>
    <w:rsid w:val="00AB0292"/>
    <w:rsid w:val="00AB0DF5"/>
    <w:rsid w:val="00AB3A37"/>
    <w:rsid w:val="00AB3C6D"/>
    <w:rsid w:val="00AB46EA"/>
    <w:rsid w:val="00AB5AD4"/>
    <w:rsid w:val="00AB5B41"/>
    <w:rsid w:val="00AB61E3"/>
    <w:rsid w:val="00AB6706"/>
    <w:rsid w:val="00AC2088"/>
    <w:rsid w:val="00AC415A"/>
    <w:rsid w:val="00AC5471"/>
    <w:rsid w:val="00AC54F2"/>
    <w:rsid w:val="00AC5A07"/>
    <w:rsid w:val="00AC728F"/>
    <w:rsid w:val="00AC7CBF"/>
    <w:rsid w:val="00AD0E3A"/>
    <w:rsid w:val="00AD2E69"/>
    <w:rsid w:val="00AD3759"/>
    <w:rsid w:val="00AD3A52"/>
    <w:rsid w:val="00AD522F"/>
    <w:rsid w:val="00AD54AA"/>
    <w:rsid w:val="00AD5574"/>
    <w:rsid w:val="00AD5D71"/>
    <w:rsid w:val="00AD6708"/>
    <w:rsid w:val="00AD681C"/>
    <w:rsid w:val="00AD70FF"/>
    <w:rsid w:val="00AE256F"/>
    <w:rsid w:val="00AE2764"/>
    <w:rsid w:val="00AE348A"/>
    <w:rsid w:val="00AE3622"/>
    <w:rsid w:val="00AE4BE0"/>
    <w:rsid w:val="00AE5172"/>
    <w:rsid w:val="00AE5AA6"/>
    <w:rsid w:val="00AE5C73"/>
    <w:rsid w:val="00AE631C"/>
    <w:rsid w:val="00AE6766"/>
    <w:rsid w:val="00AE6FF2"/>
    <w:rsid w:val="00AE7073"/>
    <w:rsid w:val="00AF158C"/>
    <w:rsid w:val="00AF1663"/>
    <w:rsid w:val="00AF194B"/>
    <w:rsid w:val="00AF1CD1"/>
    <w:rsid w:val="00AF20C1"/>
    <w:rsid w:val="00AF2A84"/>
    <w:rsid w:val="00AF52FF"/>
    <w:rsid w:val="00AF6EB9"/>
    <w:rsid w:val="00AF7BA3"/>
    <w:rsid w:val="00B001C3"/>
    <w:rsid w:val="00B02E76"/>
    <w:rsid w:val="00B0346F"/>
    <w:rsid w:val="00B039FE"/>
    <w:rsid w:val="00B03CCD"/>
    <w:rsid w:val="00B03E5F"/>
    <w:rsid w:val="00B04A91"/>
    <w:rsid w:val="00B04BF6"/>
    <w:rsid w:val="00B05A29"/>
    <w:rsid w:val="00B06698"/>
    <w:rsid w:val="00B0797C"/>
    <w:rsid w:val="00B07C0D"/>
    <w:rsid w:val="00B10A0B"/>
    <w:rsid w:val="00B10E2A"/>
    <w:rsid w:val="00B1191D"/>
    <w:rsid w:val="00B11950"/>
    <w:rsid w:val="00B1309F"/>
    <w:rsid w:val="00B131D6"/>
    <w:rsid w:val="00B14CD6"/>
    <w:rsid w:val="00B14E94"/>
    <w:rsid w:val="00B14F3D"/>
    <w:rsid w:val="00B179A6"/>
    <w:rsid w:val="00B20973"/>
    <w:rsid w:val="00B21D40"/>
    <w:rsid w:val="00B226A3"/>
    <w:rsid w:val="00B233C8"/>
    <w:rsid w:val="00B242DF"/>
    <w:rsid w:val="00B2573A"/>
    <w:rsid w:val="00B264C9"/>
    <w:rsid w:val="00B26CB5"/>
    <w:rsid w:val="00B318C8"/>
    <w:rsid w:val="00B32924"/>
    <w:rsid w:val="00B345F6"/>
    <w:rsid w:val="00B35099"/>
    <w:rsid w:val="00B3651F"/>
    <w:rsid w:val="00B3680D"/>
    <w:rsid w:val="00B36C1F"/>
    <w:rsid w:val="00B37FA0"/>
    <w:rsid w:val="00B4031F"/>
    <w:rsid w:val="00B4042B"/>
    <w:rsid w:val="00B40770"/>
    <w:rsid w:val="00B42523"/>
    <w:rsid w:val="00B42DA2"/>
    <w:rsid w:val="00B43461"/>
    <w:rsid w:val="00B449BB"/>
    <w:rsid w:val="00B44A50"/>
    <w:rsid w:val="00B450A1"/>
    <w:rsid w:val="00B450D7"/>
    <w:rsid w:val="00B47D3C"/>
    <w:rsid w:val="00B51A90"/>
    <w:rsid w:val="00B51EDA"/>
    <w:rsid w:val="00B51F48"/>
    <w:rsid w:val="00B52D29"/>
    <w:rsid w:val="00B52E3F"/>
    <w:rsid w:val="00B5385D"/>
    <w:rsid w:val="00B55D97"/>
    <w:rsid w:val="00B56AA7"/>
    <w:rsid w:val="00B575F4"/>
    <w:rsid w:val="00B57602"/>
    <w:rsid w:val="00B61204"/>
    <w:rsid w:val="00B619E8"/>
    <w:rsid w:val="00B62009"/>
    <w:rsid w:val="00B6204B"/>
    <w:rsid w:val="00B62678"/>
    <w:rsid w:val="00B62A20"/>
    <w:rsid w:val="00B63954"/>
    <w:rsid w:val="00B63A5C"/>
    <w:rsid w:val="00B65BD9"/>
    <w:rsid w:val="00B66045"/>
    <w:rsid w:val="00B66E7A"/>
    <w:rsid w:val="00B70133"/>
    <w:rsid w:val="00B707C4"/>
    <w:rsid w:val="00B71559"/>
    <w:rsid w:val="00B7206B"/>
    <w:rsid w:val="00B73582"/>
    <w:rsid w:val="00B755B9"/>
    <w:rsid w:val="00B75A9F"/>
    <w:rsid w:val="00B76852"/>
    <w:rsid w:val="00B76C3B"/>
    <w:rsid w:val="00B810F9"/>
    <w:rsid w:val="00B8391C"/>
    <w:rsid w:val="00B83BCF"/>
    <w:rsid w:val="00B84AC5"/>
    <w:rsid w:val="00B84C49"/>
    <w:rsid w:val="00B8670B"/>
    <w:rsid w:val="00B86CFF"/>
    <w:rsid w:val="00B874FB"/>
    <w:rsid w:val="00B912ED"/>
    <w:rsid w:val="00B91EF1"/>
    <w:rsid w:val="00B92B8D"/>
    <w:rsid w:val="00B930FE"/>
    <w:rsid w:val="00B93EE7"/>
    <w:rsid w:val="00B93FFA"/>
    <w:rsid w:val="00B9422A"/>
    <w:rsid w:val="00B94761"/>
    <w:rsid w:val="00B94A15"/>
    <w:rsid w:val="00B95B55"/>
    <w:rsid w:val="00B97EB4"/>
    <w:rsid w:val="00BA03BF"/>
    <w:rsid w:val="00BA1CB1"/>
    <w:rsid w:val="00BA394B"/>
    <w:rsid w:val="00BA4956"/>
    <w:rsid w:val="00BA697D"/>
    <w:rsid w:val="00BB1700"/>
    <w:rsid w:val="00BB1DB9"/>
    <w:rsid w:val="00BB2686"/>
    <w:rsid w:val="00BB3C0A"/>
    <w:rsid w:val="00BB6D40"/>
    <w:rsid w:val="00BB7065"/>
    <w:rsid w:val="00BC07A3"/>
    <w:rsid w:val="00BC40B2"/>
    <w:rsid w:val="00BC748B"/>
    <w:rsid w:val="00BC7F7F"/>
    <w:rsid w:val="00BD00BE"/>
    <w:rsid w:val="00BD064F"/>
    <w:rsid w:val="00BD1263"/>
    <w:rsid w:val="00BD13A0"/>
    <w:rsid w:val="00BD2023"/>
    <w:rsid w:val="00BD21BB"/>
    <w:rsid w:val="00BD2FB1"/>
    <w:rsid w:val="00BD438A"/>
    <w:rsid w:val="00BD5881"/>
    <w:rsid w:val="00BD65F4"/>
    <w:rsid w:val="00BD73BC"/>
    <w:rsid w:val="00BE07C6"/>
    <w:rsid w:val="00BE13A9"/>
    <w:rsid w:val="00BE2396"/>
    <w:rsid w:val="00BE398C"/>
    <w:rsid w:val="00BE48F8"/>
    <w:rsid w:val="00BE4CF0"/>
    <w:rsid w:val="00BE507C"/>
    <w:rsid w:val="00BE5735"/>
    <w:rsid w:val="00BE5E59"/>
    <w:rsid w:val="00BE620B"/>
    <w:rsid w:val="00BE6EC7"/>
    <w:rsid w:val="00BE7109"/>
    <w:rsid w:val="00BE7261"/>
    <w:rsid w:val="00BE73AB"/>
    <w:rsid w:val="00BE7E97"/>
    <w:rsid w:val="00BF0401"/>
    <w:rsid w:val="00BF152C"/>
    <w:rsid w:val="00BF390D"/>
    <w:rsid w:val="00BF39E3"/>
    <w:rsid w:val="00BF4177"/>
    <w:rsid w:val="00BF6372"/>
    <w:rsid w:val="00BF6F7B"/>
    <w:rsid w:val="00BF7446"/>
    <w:rsid w:val="00C02754"/>
    <w:rsid w:val="00C0288E"/>
    <w:rsid w:val="00C0364E"/>
    <w:rsid w:val="00C05000"/>
    <w:rsid w:val="00C058B7"/>
    <w:rsid w:val="00C05A93"/>
    <w:rsid w:val="00C06B23"/>
    <w:rsid w:val="00C1248D"/>
    <w:rsid w:val="00C13360"/>
    <w:rsid w:val="00C1381F"/>
    <w:rsid w:val="00C13D76"/>
    <w:rsid w:val="00C14396"/>
    <w:rsid w:val="00C14E0E"/>
    <w:rsid w:val="00C155A4"/>
    <w:rsid w:val="00C1690B"/>
    <w:rsid w:val="00C17C0F"/>
    <w:rsid w:val="00C224B8"/>
    <w:rsid w:val="00C226B8"/>
    <w:rsid w:val="00C2299A"/>
    <w:rsid w:val="00C2597F"/>
    <w:rsid w:val="00C26C3C"/>
    <w:rsid w:val="00C26C82"/>
    <w:rsid w:val="00C27FAF"/>
    <w:rsid w:val="00C30521"/>
    <w:rsid w:val="00C31CEF"/>
    <w:rsid w:val="00C32C45"/>
    <w:rsid w:val="00C33623"/>
    <w:rsid w:val="00C34D0D"/>
    <w:rsid w:val="00C35784"/>
    <w:rsid w:val="00C35CC8"/>
    <w:rsid w:val="00C3613D"/>
    <w:rsid w:val="00C36300"/>
    <w:rsid w:val="00C36455"/>
    <w:rsid w:val="00C3753D"/>
    <w:rsid w:val="00C37F8B"/>
    <w:rsid w:val="00C4054F"/>
    <w:rsid w:val="00C40AE2"/>
    <w:rsid w:val="00C4106F"/>
    <w:rsid w:val="00C41151"/>
    <w:rsid w:val="00C41ACE"/>
    <w:rsid w:val="00C43889"/>
    <w:rsid w:val="00C44D69"/>
    <w:rsid w:val="00C4589B"/>
    <w:rsid w:val="00C46CC4"/>
    <w:rsid w:val="00C46D66"/>
    <w:rsid w:val="00C475F7"/>
    <w:rsid w:val="00C508AB"/>
    <w:rsid w:val="00C512B5"/>
    <w:rsid w:val="00C535D4"/>
    <w:rsid w:val="00C553B0"/>
    <w:rsid w:val="00C558F8"/>
    <w:rsid w:val="00C56B64"/>
    <w:rsid w:val="00C57ADC"/>
    <w:rsid w:val="00C600EF"/>
    <w:rsid w:val="00C64547"/>
    <w:rsid w:val="00C64CEC"/>
    <w:rsid w:val="00C64D35"/>
    <w:rsid w:val="00C64EF5"/>
    <w:rsid w:val="00C64EF7"/>
    <w:rsid w:val="00C66732"/>
    <w:rsid w:val="00C66A72"/>
    <w:rsid w:val="00C66C18"/>
    <w:rsid w:val="00C66FD5"/>
    <w:rsid w:val="00C6750E"/>
    <w:rsid w:val="00C67C3E"/>
    <w:rsid w:val="00C67DEA"/>
    <w:rsid w:val="00C67E11"/>
    <w:rsid w:val="00C703B8"/>
    <w:rsid w:val="00C7259D"/>
    <w:rsid w:val="00C72CED"/>
    <w:rsid w:val="00C7352B"/>
    <w:rsid w:val="00C7407E"/>
    <w:rsid w:val="00C7428F"/>
    <w:rsid w:val="00C74F87"/>
    <w:rsid w:val="00C75BBA"/>
    <w:rsid w:val="00C76B92"/>
    <w:rsid w:val="00C77970"/>
    <w:rsid w:val="00C80F72"/>
    <w:rsid w:val="00C8258C"/>
    <w:rsid w:val="00C82C3F"/>
    <w:rsid w:val="00C83F68"/>
    <w:rsid w:val="00C84093"/>
    <w:rsid w:val="00C84C4E"/>
    <w:rsid w:val="00C84DE2"/>
    <w:rsid w:val="00C87AB7"/>
    <w:rsid w:val="00C90D49"/>
    <w:rsid w:val="00C9187A"/>
    <w:rsid w:val="00C94056"/>
    <w:rsid w:val="00C944AF"/>
    <w:rsid w:val="00C95B02"/>
    <w:rsid w:val="00C96774"/>
    <w:rsid w:val="00CA0E72"/>
    <w:rsid w:val="00CA1274"/>
    <w:rsid w:val="00CA1441"/>
    <w:rsid w:val="00CA21BE"/>
    <w:rsid w:val="00CA46CE"/>
    <w:rsid w:val="00CA71AF"/>
    <w:rsid w:val="00CA7268"/>
    <w:rsid w:val="00CA7B3D"/>
    <w:rsid w:val="00CB1266"/>
    <w:rsid w:val="00CB1BEC"/>
    <w:rsid w:val="00CB222D"/>
    <w:rsid w:val="00CB437A"/>
    <w:rsid w:val="00CB4A75"/>
    <w:rsid w:val="00CB5172"/>
    <w:rsid w:val="00CB5249"/>
    <w:rsid w:val="00CB56BD"/>
    <w:rsid w:val="00CB5F57"/>
    <w:rsid w:val="00CB6ED2"/>
    <w:rsid w:val="00CB6FA9"/>
    <w:rsid w:val="00CB7DC9"/>
    <w:rsid w:val="00CC1456"/>
    <w:rsid w:val="00CC2229"/>
    <w:rsid w:val="00CC2EA0"/>
    <w:rsid w:val="00CC56F0"/>
    <w:rsid w:val="00CC6515"/>
    <w:rsid w:val="00CC65CC"/>
    <w:rsid w:val="00CC6FD1"/>
    <w:rsid w:val="00CC71F6"/>
    <w:rsid w:val="00CD2C29"/>
    <w:rsid w:val="00CD3213"/>
    <w:rsid w:val="00CD3864"/>
    <w:rsid w:val="00CD3CCD"/>
    <w:rsid w:val="00CD4277"/>
    <w:rsid w:val="00CD6779"/>
    <w:rsid w:val="00CD73ED"/>
    <w:rsid w:val="00CD74D8"/>
    <w:rsid w:val="00CE0D96"/>
    <w:rsid w:val="00CE1CFD"/>
    <w:rsid w:val="00CE1FBC"/>
    <w:rsid w:val="00CE3DA9"/>
    <w:rsid w:val="00CE45E0"/>
    <w:rsid w:val="00CE4605"/>
    <w:rsid w:val="00CE58C8"/>
    <w:rsid w:val="00CE6A49"/>
    <w:rsid w:val="00CE7189"/>
    <w:rsid w:val="00CE7448"/>
    <w:rsid w:val="00CF0C39"/>
    <w:rsid w:val="00CF0CE1"/>
    <w:rsid w:val="00CF242B"/>
    <w:rsid w:val="00CF28AB"/>
    <w:rsid w:val="00CF2A22"/>
    <w:rsid w:val="00CF35C3"/>
    <w:rsid w:val="00CF3BBD"/>
    <w:rsid w:val="00CF405E"/>
    <w:rsid w:val="00CF451D"/>
    <w:rsid w:val="00CF50A1"/>
    <w:rsid w:val="00CF5B39"/>
    <w:rsid w:val="00CF6601"/>
    <w:rsid w:val="00CF68CC"/>
    <w:rsid w:val="00D0122C"/>
    <w:rsid w:val="00D01FA4"/>
    <w:rsid w:val="00D02074"/>
    <w:rsid w:val="00D02B0D"/>
    <w:rsid w:val="00D03848"/>
    <w:rsid w:val="00D03AF3"/>
    <w:rsid w:val="00D04375"/>
    <w:rsid w:val="00D04630"/>
    <w:rsid w:val="00D04CCB"/>
    <w:rsid w:val="00D050BE"/>
    <w:rsid w:val="00D06609"/>
    <w:rsid w:val="00D11843"/>
    <w:rsid w:val="00D11A49"/>
    <w:rsid w:val="00D122FA"/>
    <w:rsid w:val="00D132D0"/>
    <w:rsid w:val="00D13953"/>
    <w:rsid w:val="00D14229"/>
    <w:rsid w:val="00D20CA2"/>
    <w:rsid w:val="00D22B37"/>
    <w:rsid w:val="00D23AD4"/>
    <w:rsid w:val="00D23C8E"/>
    <w:rsid w:val="00D25441"/>
    <w:rsid w:val="00D25A9A"/>
    <w:rsid w:val="00D33F47"/>
    <w:rsid w:val="00D34815"/>
    <w:rsid w:val="00D34F3A"/>
    <w:rsid w:val="00D3693E"/>
    <w:rsid w:val="00D4056E"/>
    <w:rsid w:val="00D4094F"/>
    <w:rsid w:val="00D416C4"/>
    <w:rsid w:val="00D45ACE"/>
    <w:rsid w:val="00D45D9B"/>
    <w:rsid w:val="00D47CDF"/>
    <w:rsid w:val="00D47F6B"/>
    <w:rsid w:val="00D5020F"/>
    <w:rsid w:val="00D514D9"/>
    <w:rsid w:val="00D51923"/>
    <w:rsid w:val="00D52F9F"/>
    <w:rsid w:val="00D53D33"/>
    <w:rsid w:val="00D5483D"/>
    <w:rsid w:val="00D54CD6"/>
    <w:rsid w:val="00D62FE7"/>
    <w:rsid w:val="00D66229"/>
    <w:rsid w:val="00D66713"/>
    <w:rsid w:val="00D66E84"/>
    <w:rsid w:val="00D672FB"/>
    <w:rsid w:val="00D67370"/>
    <w:rsid w:val="00D67D5E"/>
    <w:rsid w:val="00D71C43"/>
    <w:rsid w:val="00D7271F"/>
    <w:rsid w:val="00D72DEA"/>
    <w:rsid w:val="00D73D78"/>
    <w:rsid w:val="00D747EC"/>
    <w:rsid w:val="00D76A55"/>
    <w:rsid w:val="00D774E9"/>
    <w:rsid w:val="00D833C4"/>
    <w:rsid w:val="00D838E8"/>
    <w:rsid w:val="00D83919"/>
    <w:rsid w:val="00D86902"/>
    <w:rsid w:val="00D86A1A"/>
    <w:rsid w:val="00D86C51"/>
    <w:rsid w:val="00D86E39"/>
    <w:rsid w:val="00D90CB6"/>
    <w:rsid w:val="00D93233"/>
    <w:rsid w:val="00D9479F"/>
    <w:rsid w:val="00D94E1A"/>
    <w:rsid w:val="00D96A59"/>
    <w:rsid w:val="00D977AD"/>
    <w:rsid w:val="00D97C85"/>
    <w:rsid w:val="00DA276A"/>
    <w:rsid w:val="00DA2E93"/>
    <w:rsid w:val="00DA2F54"/>
    <w:rsid w:val="00DA31FB"/>
    <w:rsid w:val="00DA41E5"/>
    <w:rsid w:val="00DA4819"/>
    <w:rsid w:val="00DA5151"/>
    <w:rsid w:val="00DA524B"/>
    <w:rsid w:val="00DA6A77"/>
    <w:rsid w:val="00DA7041"/>
    <w:rsid w:val="00DB0030"/>
    <w:rsid w:val="00DB02CF"/>
    <w:rsid w:val="00DB132C"/>
    <w:rsid w:val="00DB1366"/>
    <w:rsid w:val="00DB1391"/>
    <w:rsid w:val="00DB2758"/>
    <w:rsid w:val="00DB29D6"/>
    <w:rsid w:val="00DB31B3"/>
    <w:rsid w:val="00DB4713"/>
    <w:rsid w:val="00DB4E41"/>
    <w:rsid w:val="00DC1053"/>
    <w:rsid w:val="00DC1062"/>
    <w:rsid w:val="00DC20B9"/>
    <w:rsid w:val="00DC29A7"/>
    <w:rsid w:val="00DC302E"/>
    <w:rsid w:val="00DC3742"/>
    <w:rsid w:val="00DC3A04"/>
    <w:rsid w:val="00DC3CB9"/>
    <w:rsid w:val="00DC4877"/>
    <w:rsid w:val="00DC4BB4"/>
    <w:rsid w:val="00DC4E0B"/>
    <w:rsid w:val="00DC4F36"/>
    <w:rsid w:val="00DC5400"/>
    <w:rsid w:val="00DC65F3"/>
    <w:rsid w:val="00DC6A6F"/>
    <w:rsid w:val="00DC7E35"/>
    <w:rsid w:val="00DD0AEC"/>
    <w:rsid w:val="00DD273B"/>
    <w:rsid w:val="00DD32E5"/>
    <w:rsid w:val="00DD332D"/>
    <w:rsid w:val="00DD4088"/>
    <w:rsid w:val="00DD41EA"/>
    <w:rsid w:val="00DD4487"/>
    <w:rsid w:val="00DD4851"/>
    <w:rsid w:val="00DD4F81"/>
    <w:rsid w:val="00DE022C"/>
    <w:rsid w:val="00DE11FA"/>
    <w:rsid w:val="00DE245F"/>
    <w:rsid w:val="00DE43A3"/>
    <w:rsid w:val="00DE44EC"/>
    <w:rsid w:val="00DE645E"/>
    <w:rsid w:val="00DE6BE9"/>
    <w:rsid w:val="00DE7416"/>
    <w:rsid w:val="00DF03D1"/>
    <w:rsid w:val="00DF0474"/>
    <w:rsid w:val="00DF078F"/>
    <w:rsid w:val="00DF1BE4"/>
    <w:rsid w:val="00DF42AB"/>
    <w:rsid w:val="00DF4A2F"/>
    <w:rsid w:val="00DF60C4"/>
    <w:rsid w:val="00DF6D09"/>
    <w:rsid w:val="00DF7649"/>
    <w:rsid w:val="00DF7668"/>
    <w:rsid w:val="00DF7DC2"/>
    <w:rsid w:val="00E001BE"/>
    <w:rsid w:val="00E00FA0"/>
    <w:rsid w:val="00E01DAA"/>
    <w:rsid w:val="00E0266C"/>
    <w:rsid w:val="00E02ACB"/>
    <w:rsid w:val="00E02B57"/>
    <w:rsid w:val="00E0523A"/>
    <w:rsid w:val="00E0562F"/>
    <w:rsid w:val="00E07DA4"/>
    <w:rsid w:val="00E07F79"/>
    <w:rsid w:val="00E10614"/>
    <w:rsid w:val="00E10713"/>
    <w:rsid w:val="00E11DCE"/>
    <w:rsid w:val="00E15DE6"/>
    <w:rsid w:val="00E1650D"/>
    <w:rsid w:val="00E20CD6"/>
    <w:rsid w:val="00E22276"/>
    <w:rsid w:val="00E22875"/>
    <w:rsid w:val="00E23148"/>
    <w:rsid w:val="00E233EA"/>
    <w:rsid w:val="00E23E7C"/>
    <w:rsid w:val="00E24607"/>
    <w:rsid w:val="00E25037"/>
    <w:rsid w:val="00E25201"/>
    <w:rsid w:val="00E25FB7"/>
    <w:rsid w:val="00E278A7"/>
    <w:rsid w:val="00E27E21"/>
    <w:rsid w:val="00E304D2"/>
    <w:rsid w:val="00E30BAA"/>
    <w:rsid w:val="00E310A3"/>
    <w:rsid w:val="00E31F38"/>
    <w:rsid w:val="00E33ADB"/>
    <w:rsid w:val="00E3539A"/>
    <w:rsid w:val="00E358D9"/>
    <w:rsid w:val="00E3650D"/>
    <w:rsid w:val="00E3660A"/>
    <w:rsid w:val="00E37245"/>
    <w:rsid w:val="00E3725B"/>
    <w:rsid w:val="00E4063A"/>
    <w:rsid w:val="00E42A28"/>
    <w:rsid w:val="00E4330A"/>
    <w:rsid w:val="00E5030F"/>
    <w:rsid w:val="00E5206E"/>
    <w:rsid w:val="00E52F2E"/>
    <w:rsid w:val="00E5346C"/>
    <w:rsid w:val="00E53EAA"/>
    <w:rsid w:val="00E53FA2"/>
    <w:rsid w:val="00E54C53"/>
    <w:rsid w:val="00E54CA7"/>
    <w:rsid w:val="00E54D88"/>
    <w:rsid w:val="00E54E78"/>
    <w:rsid w:val="00E557A8"/>
    <w:rsid w:val="00E569F9"/>
    <w:rsid w:val="00E57131"/>
    <w:rsid w:val="00E60B84"/>
    <w:rsid w:val="00E60C7F"/>
    <w:rsid w:val="00E612F9"/>
    <w:rsid w:val="00E61639"/>
    <w:rsid w:val="00E61708"/>
    <w:rsid w:val="00E62BFF"/>
    <w:rsid w:val="00E62C90"/>
    <w:rsid w:val="00E649FA"/>
    <w:rsid w:val="00E66155"/>
    <w:rsid w:val="00E6699F"/>
    <w:rsid w:val="00E670F2"/>
    <w:rsid w:val="00E67CF9"/>
    <w:rsid w:val="00E71B29"/>
    <w:rsid w:val="00E73405"/>
    <w:rsid w:val="00E759F4"/>
    <w:rsid w:val="00E760A2"/>
    <w:rsid w:val="00E7622B"/>
    <w:rsid w:val="00E772A0"/>
    <w:rsid w:val="00E77BB5"/>
    <w:rsid w:val="00E80F7E"/>
    <w:rsid w:val="00E8265D"/>
    <w:rsid w:val="00E829EA"/>
    <w:rsid w:val="00E82A77"/>
    <w:rsid w:val="00E82DE6"/>
    <w:rsid w:val="00E834AD"/>
    <w:rsid w:val="00E83705"/>
    <w:rsid w:val="00E87D95"/>
    <w:rsid w:val="00E87FDE"/>
    <w:rsid w:val="00E90125"/>
    <w:rsid w:val="00E9044C"/>
    <w:rsid w:val="00E90571"/>
    <w:rsid w:val="00E9280E"/>
    <w:rsid w:val="00E93201"/>
    <w:rsid w:val="00E957E7"/>
    <w:rsid w:val="00E95FE4"/>
    <w:rsid w:val="00E96DE8"/>
    <w:rsid w:val="00E972F5"/>
    <w:rsid w:val="00E978F1"/>
    <w:rsid w:val="00EA00A9"/>
    <w:rsid w:val="00EA2D38"/>
    <w:rsid w:val="00EA3650"/>
    <w:rsid w:val="00EA58B8"/>
    <w:rsid w:val="00EB07BD"/>
    <w:rsid w:val="00EB1227"/>
    <w:rsid w:val="00EB2486"/>
    <w:rsid w:val="00EB29E8"/>
    <w:rsid w:val="00EB2F15"/>
    <w:rsid w:val="00EB4CA8"/>
    <w:rsid w:val="00EB4D7A"/>
    <w:rsid w:val="00EC0358"/>
    <w:rsid w:val="00EC092E"/>
    <w:rsid w:val="00EC4193"/>
    <w:rsid w:val="00EC45C1"/>
    <w:rsid w:val="00EC4A57"/>
    <w:rsid w:val="00EC4CA6"/>
    <w:rsid w:val="00EC4F64"/>
    <w:rsid w:val="00EC5903"/>
    <w:rsid w:val="00EC5B25"/>
    <w:rsid w:val="00EC5C92"/>
    <w:rsid w:val="00EC73DA"/>
    <w:rsid w:val="00EC764F"/>
    <w:rsid w:val="00EC779C"/>
    <w:rsid w:val="00EC79A0"/>
    <w:rsid w:val="00ED0454"/>
    <w:rsid w:val="00ED2307"/>
    <w:rsid w:val="00ED29A1"/>
    <w:rsid w:val="00ED3B12"/>
    <w:rsid w:val="00ED4680"/>
    <w:rsid w:val="00ED535F"/>
    <w:rsid w:val="00ED7514"/>
    <w:rsid w:val="00EE19F1"/>
    <w:rsid w:val="00EE1E9A"/>
    <w:rsid w:val="00EE44F4"/>
    <w:rsid w:val="00EE5887"/>
    <w:rsid w:val="00EE5F47"/>
    <w:rsid w:val="00EE63ED"/>
    <w:rsid w:val="00EE6913"/>
    <w:rsid w:val="00EF09EF"/>
    <w:rsid w:val="00EF206C"/>
    <w:rsid w:val="00EF2750"/>
    <w:rsid w:val="00EF2951"/>
    <w:rsid w:val="00EF2E14"/>
    <w:rsid w:val="00EF491C"/>
    <w:rsid w:val="00EF52F2"/>
    <w:rsid w:val="00EF5B88"/>
    <w:rsid w:val="00EF6B66"/>
    <w:rsid w:val="00EF6DD4"/>
    <w:rsid w:val="00EF6E94"/>
    <w:rsid w:val="00F0029E"/>
    <w:rsid w:val="00F004D2"/>
    <w:rsid w:val="00F00DCE"/>
    <w:rsid w:val="00F00E20"/>
    <w:rsid w:val="00F0498D"/>
    <w:rsid w:val="00F04D59"/>
    <w:rsid w:val="00F051A4"/>
    <w:rsid w:val="00F0548A"/>
    <w:rsid w:val="00F05574"/>
    <w:rsid w:val="00F05B02"/>
    <w:rsid w:val="00F0670A"/>
    <w:rsid w:val="00F078CC"/>
    <w:rsid w:val="00F12710"/>
    <w:rsid w:val="00F12CFA"/>
    <w:rsid w:val="00F13068"/>
    <w:rsid w:val="00F13109"/>
    <w:rsid w:val="00F137E3"/>
    <w:rsid w:val="00F13BDA"/>
    <w:rsid w:val="00F16452"/>
    <w:rsid w:val="00F165F3"/>
    <w:rsid w:val="00F175A4"/>
    <w:rsid w:val="00F202E3"/>
    <w:rsid w:val="00F21216"/>
    <w:rsid w:val="00F23CCA"/>
    <w:rsid w:val="00F2489E"/>
    <w:rsid w:val="00F264EB"/>
    <w:rsid w:val="00F3141D"/>
    <w:rsid w:val="00F335CB"/>
    <w:rsid w:val="00F35428"/>
    <w:rsid w:val="00F36ADB"/>
    <w:rsid w:val="00F402FC"/>
    <w:rsid w:val="00F409F0"/>
    <w:rsid w:val="00F40C58"/>
    <w:rsid w:val="00F41A72"/>
    <w:rsid w:val="00F4511E"/>
    <w:rsid w:val="00F461AE"/>
    <w:rsid w:val="00F461FD"/>
    <w:rsid w:val="00F4794D"/>
    <w:rsid w:val="00F4798C"/>
    <w:rsid w:val="00F5019F"/>
    <w:rsid w:val="00F52A95"/>
    <w:rsid w:val="00F533E2"/>
    <w:rsid w:val="00F55532"/>
    <w:rsid w:val="00F55A02"/>
    <w:rsid w:val="00F57FF3"/>
    <w:rsid w:val="00F62EFE"/>
    <w:rsid w:val="00F653E7"/>
    <w:rsid w:val="00F65B37"/>
    <w:rsid w:val="00F664BD"/>
    <w:rsid w:val="00F67F59"/>
    <w:rsid w:val="00F706ED"/>
    <w:rsid w:val="00F70BCC"/>
    <w:rsid w:val="00F70EE2"/>
    <w:rsid w:val="00F71D26"/>
    <w:rsid w:val="00F7420F"/>
    <w:rsid w:val="00F74ABB"/>
    <w:rsid w:val="00F762D6"/>
    <w:rsid w:val="00F76F2D"/>
    <w:rsid w:val="00F77BA3"/>
    <w:rsid w:val="00F801C0"/>
    <w:rsid w:val="00F80564"/>
    <w:rsid w:val="00F827F9"/>
    <w:rsid w:val="00F83706"/>
    <w:rsid w:val="00F83801"/>
    <w:rsid w:val="00F83CFA"/>
    <w:rsid w:val="00F854BC"/>
    <w:rsid w:val="00F86282"/>
    <w:rsid w:val="00F907FB"/>
    <w:rsid w:val="00F93D81"/>
    <w:rsid w:val="00F94A69"/>
    <w:rsid w:val="00F958CA"/>
    <w:rsid w:val="00F95FBA"/>
    <w:rsid w:val="00F96F3A"/>
    <w:rsid w:val="00F979D1"/>
    <w:rsid w:val="00FA0E52"/>
    <w:rsid w:val="00FA29BB"/>
    <w:rsid w:val="00FA3307"/>
    <w:rsid w:val="00FA36E2"/>
    <w:rsid w:val="00FA3C06"/>
    <w:rsid w:val="00FA4218"/>
    <w:rsid w:val="00FA43DC"/>
    <w:rsid w:val="00FA5D6D"/>
    <w:rsid w:val="00FA7B23"/>
    <w:rsid w:val="00FB0547"/>
    <w:rsid w:val="00FB07E0"/>
    <w:rsid w:val="00FB1C49"/>
    <w:rsid w:val="00FB27BA"/>
    <w:rsid w:val="00FB3913"/>
    <w:rsid w:val="00FB5580"/>
    <w:rsid w:val="00FB7376"/>
    <w:rsid w:val="00FC1CAA"/>
    <w:rsid w:val="00FC2596"/>
    <w:rsid w:val="00FC28B4"/>
    <w:rsid w:val="00FC2D65"/>
    <w:rsid w:val="00FC3DB3"/>
    <w:rsid w:val="00FC5355"/>
    <w:rsid w:val="00FC5A74"/>
    <w:rsid w:val="00FC6077"/>
    <w:rsid w:val="00FC6A3B"/>
    <w:rsid w:val="00FC6B73"/>
    <w:rsid w:val="00FC7DB4"/>
    <w:rsid w:val="00FD00A1"/>
    <w:rsid w:val="00FD08D7"/>
    <w:rsid w:val="00FD131B"/>
    <w:rsid w:val="00FD57AA"/>
    <w:rsid w:val="00FD69AE"/>
    <w:rsid w:val="00FD6CB5"/>
    <w:rsid w:val="00FD7DE4"/>
    <w:rsid w:val="00FD7ECC"/>
    <w:rsid w:val="00FE00F2"/>
    <w:rsid w:val="00FE18E4"/>
    <w:rsid w:val="00FE1A54"/>
    <w:rsid w:val="00FE422C"/>
    <w:rsid w:val="00FE68C4"/>
    <w:rsid w:val="00FF2033"/>
    <w:rsid w:val="00FF429F"/>
    <w:rsid w:val="00FF544E"/>
    <w:rsid w:val="00FF5577"/>
    <w:rsid w:val="00FF777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3961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57ADC"/>
    <w:pPr>
      <w:spacing w:line="360" w:lineRule="auto"/>
      <w:jc w:val="both"/>
    </w:pPr>
    <w:rPr>
      <w:rFonts w:ascii="Arial" w:hAnsi="Arial"/>
      <w:sz w:val="24"/>
      <w:szCs w:val="22"/>
      <w:lang w:eastAsia="en-US"/>
    </w:rPr>
  </w:style>
  <w:style w:type="paragraph" w:styleId="Ttulo1">
    <w:name w:val="heading 1"/>
    <w:aliases w:val="Título 2_novo,Título 1 - SHS,Títuloy numerado"/>
    <w:basedOn w:val="Normal"/>
    <w:next w:val="Normal"/>
    <w:link w:val="Ttulo1Char"/>
    <w:autoRedefine/>
    <w:uiPriority w:val="9"/>
    <w:qFormat/>
    <w:rsid w:val="001E1202"/>
    <w:pPr>
      <w:keepNext/>
      <w:keepLines/>
      <w:spacing w:before="240" w:after="240"/>
      <w:jc w:val="center"/>
      <w:outlineLvl w:val="0"/>
    </w:pPr>
    <w:rPr>
      <w:rFonts w:eastAsia="Times New Roman" w:cs="Arial"/>
      <w:b/>
      <w:bCs/>
      <w:sz w:val="28"/>
      <w:szCs w:val="28"/>
      <w:lang w:eastAsia="x-none"/>
    </w:rPr>
  </w:style>
  <w:style w:type="paragraph" w:styleId="Ttulo2">
    <w:name w:val="heading 2"/>
    <w:aliases w:val="Título 2 NUMERADO"/>
    <w:basedOn w:val="Normal"/>
    <w:next w:val="Normal"/>
    <w:link w:val="Ttulo2Char"/>
    <w:autoRedefine/>
    <w:uiPriority w:val="9"/>
    <w:unhideWhenUsed/>
    <w:qFormat/>
    <w:rsid w:val="001E1202"/>
    <w:pPr>
      <w:keepNext/>
      <w:keepLines/>
      <w:tabs>
        <w:tab w:val="left" w:pos="567"/>
        <w:tab w:val="left" w:pos="709"/>
        <w:tab w:val="left" w:pos="993"/>
      </w:tabs>
      <w:spacing w:before="240" w:after="240"/>
      <w:outlineLvl w:val="1"/>
    </w:pPr>
    <w:rPr>
      <w:rFonts w:eastAsia="Times New Roman" w:cs="Arial"/>
      <w:b/>
      <w:bCs/>
      <w:szCs w:val="24"/>
      <w:lang w:eastAsia="x-none"/>
    </w:rPr>
  </w:style>
  <w:style w:type="paragraph" w:styleId="Ttulo3">
    <w:name w:val="heading 3"/>
    <w:aliases w:val="Título 3 SHS"/>
    <w:basedOn w:val="SHS-Ttulo02"/>
    <w:next w:val="Normal"/>
    <w:link w:val="Ttulo3Char"/>
    <w:autoRedefine/>
    <w:uiPriority w:val="9"/>
    <w:unhideWhenUsed/>
    <w:qFormat/>
    <w:rsid w:val="002828C8"/>
    <w:pPr>
      <w:numPr>
        <w:ilvl w:val="2"/>
      </w:numPr>
      <w:spacing w:before="120" w:after="120"/>
      <w:ind w:left="851" w:hanging="851"/>
      <w:contextualSpacing/>
      <w:outlineLvl w:val="2"/>
    </w:pPr>
    <w:rPr>
      <w:i/>
    </w:rPr>
  </w:style>
  <w:style w:type="paragraph" w:styleId="Ttulo4">
    <w:name w:val="heading 4"/>
    <w:basedOn w:val="Ttulo3"/>
    <w:next w:val="Normal"/>
    <w:link w:val="Ttulo4Char"/>
    <w:autoRedefine/>
    <w:unhideWhenUsed/>
    <w:qFormat/>
    <w:rsid w:val="00DD0AEC"/>
    <w:pPr>
      <w:numPr>
        <w:ilvl w:val="3"/>
      </w:numPr>
      <w:ind w:left="1134" w:hanging="1134"/>
      <w:outlineLvl w:val="3"/>
    </w:pPr>
    <w:rPr>
      <w:i w:val="0"/>
      <w:sz w:val="22"/>
      <w:szCs w:val="22"/>
    </w:rPr>
  </w:style>
  <w:style w:type="paragraph" w:styleId="Ttulo5">
    <w:name w:val="heading 5"/>
    <w:basedOn w:val="Ttulo4"/>
    <w:next w:val="Normal"/>
    <w:link w:val="Ttulo5Char"/>
    <w:autoRedefine/>
    <w:qFormat/>
    <w:rsid w:val="00D774E9"/>
    <w:pPr>
      <w:numPr>
        <w:ilvl w:val="4"/>
      </w:numPr>
      <w:ind w:left="1418" w:hanging="1418"/>
      <w:outlineLvl w:val="4"/>
    </w:pPr>
    <w:rPr>
      <w:i/>
    </w:rPr>
  </w:style>
  <w:style w:type="paragraph" w:styleId="Ttulo6">
    <w:name w:val="heading 6"/>
    <w:basedOn w:val="Normal"/>
    <w:next w:val="Normal"/>
    <w:link w:val="Ttulo6Char"/>
    <w:qFormat/>
    <w:rsid w:val="001E1202"/>
    <w:pPr>
      <w:widowControl w:val="0"/>
      <w:numPr>
        <w:ilvl w:val="5"/>
        <w:numId w:val="2"/>
      </w:numPr>
      <w:spacing w:before="120" w:after="120"/>
      <w:outlineLvl w:val="5"/>
    </w:pPr>
    <w:rPr>
      <w:rFonts w:ascii="Times New Roman" w:eastAsia="Times New Roman" w:hAnsi="Times New Roman"/>
      <w:b/>
      <w:bCs/>
      <w:sz w:val="22"/>
      <w:lang w:eastAsia="pt-BR"/>
    </w:rPr>
  </w:style>
  <w:style w:type="paragraph" w:styleId="Ttulo7">
    <w:name w:val="heading 7"/>
    <w:basedOn w:val="Normal"/>
    <w:next w:val="Normal"/>
    <w:link w:val="Ttulo7Char"/>
    <w:uiPriority w:val="9"/>
    <w:qFormat/>
    <w:rsid w:val="000A0514"/>
    <w:pPr>
      <w:tabs>
        <w:tab w:val="num" w:pos="2430"/>
      </w:tabs>
      <w:spacing w:before="240" w:after="60"/>
      <w:ind w:left="2430" w:hanging="1296"/>
      <w:contextualSpacing/>
      <w:outlineLvl w:val="6"/>
    </w:pPr>
    <w:rPr>
      <w:rFonts w:ascii="Times New Roman" w:eastAsia="Times New Roman" w:hAnsi="Times New Roman"/>
      <w:szCs w:val="24"/>
      <w:lang w:eastAsia="pt-BR"/>
    </w:rPr>
  </w:style>
  <w:style w:type="paragraph" w:styleId="Ttulo8">
    <w:name w:val="heading 8"/>
    <w:basedOn w:val="Ttulo3"/>
    <w:next w:val="Normal"/>
    <w:link w:val="Ttulo8Char"/>
    <w:uiPriority w:val="9"/>
    <w:qFormat/>
    <w:rsid w:val="000A0514"/>
    <w:pPr>
      <w:keepNext/>
      <w:widowControl/>
      <w:numPr>
        <w:ilvl w:val="0"/>
        <w:numId w:val="0"/>
      </w:numPr>
      <w:tabs>
        <w:tab w:val="num" w:pos="2410"/>
      </w:tabs>
      <w:ind w:left="2410" w:hanging="864"/>
      <w:outlineLvl w:val="7"/>
    </w:pPr>
    <w:rPr>
      <w:bCs/>
      <w:sz w:val="22"/>
      <w:szCs w:val="22"/>
    </w:rPr>
  </w:style>
  <w:style w:type="paragraph" w:styleId="Ttulo9">
    <w:name w:val="heading 9"/>
    <w:basedOn w:val="Normal"/>
    <w:next w:val="Normal"/>
    <w:link w:val="Ttulo9Char"/>
    <w:uiPriority w:val="9"/>
    <w:unhideWhenUsed/>
    <w:qFormat/>
    <w:rsid w:val="001E1202"/>
    <w:pPr>
      <w:spacing w:before="240" w:after="60"/>
      <w:outlineLvl w:val="8"/>
    </w:pPr>
    <w:rPr>
      <w:rFonts w:ascii="Cambria" w:eastAsia="Times New Roman" w:hAnsi="Cambria"/>
      <w:sz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styleId="Tabelacomgrade">
    <w:name w:val="Table Grid"/>
    <w:basedOn w:val="Tabelanormal"/>
    <w:uiPriority w:val="59"/>
    <w:rsid w:val="00AF19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FE00F2"/>
    <w:pPr>
      <w:spacing w:before="100" w:beforeAutospacing="1" w:after="100" w:afterAutospacing="1" w:line="240" w:lineRule="auto"/>
    </w:pPr>
    <w:rPr>
      <w:rFonts w:ascii="Times New Roman" w:eastAsia="Times New Roman" w:hAnsi="Times New Roman"/>
      <w:szCs w:val="24"/>
      <w:lang w:eastAsia="pt-BR"/>
    </w:rPr>
  </w:style>
  <w:style w:type="character" w:customStyle="1" w:styleId="Ttulo1Char">
    <w:name w:val="Título 1 Char"/>
    <w:aliases w:val="Título 2_novo Char,Título 1 - SHS Char,Títuloy numerado Char"/>
    <w:link w:val="Ttulo1"/>
    <w:uiPriority w:val="9"/>
    <w:rsid w:val="001E1202"/>
    <w:rPr>
      <w:rFonts w:ascii="Arial" w:eastAsia="Times New Roman" w:hAnsi="Arial" w:cs="Arial"/>
      <w:b/>
      <w:bCs/>
      <w:sz w:val="28"/>
      <w:szCs w:val="28"/>
      <w:lang w:eastAsia="x-none"/>
    </w:rPr>
  </w:style>
  <w:style w:type="paragraph" w:customStyle="1" w:styleId="Capa">
    <w:name w:val="Capa"/>
    <w:basedOn w:val="Normal"/>
    <w:uiPriority w:val="99"/>
    <w:rsid w:val="008F3022"/>
    <w:pPr>
      <w:widowControl w:val="0"/>
      <w:spacing w:before="60" w:after="120"/>
      <w:jc w:val="center"/>
    </w:pPr>
    <w:rPr>
      <w:rFonts w:eastAsia="Times New Roman" w:cs="Arial"/>
      <w:b/>
      <w:bCs/>
      <w:smallCaps/>
      <w:sz w:val="28"/>
      <w:szCs w:val="20"/>
    </w:rPr>
  </w:style>
  <w:style w:type="paragraph" w:styleId="Rodap">
    <w:name w:val="footer"/>
    <w:basedOn w:val="Normal"/>
    <w:link w:val="RodapChar"/>
    <w:uiPriority w:val="99"/>
    <w:qFormat/>
    <w:rsid w:val="001E1202"/>
    <w:pPr>
      <w:widowControl w:val="0"/>
      <w:tabs>
        <w:tab w:val="center" w:pos="4252"/>
        <w:tab w:val="right" w:pos="8504"/>
      </w:tabs>
    </w:pPr>
    <w:rPr>
      <w:rFonts w:ascii="Baha" w:eastAsia="Times New Roman" w:hAnsi="Baha" w:cs="Arial"/>
      <w:i/>
      <w:color w:val="333333"/>
      <w:sz w:val="20"/>
      <w:szCs w:val="20"/>
      <w:lang w:eastAsia="pt-BR"/>
    </w:rPr>
  </w:style>
  <w:style w:type="character" w:customStyle="1" w:styleId="RodapChar">
    <w:name w:val="Rodapé Char"/>
    <w:link w:val="Rodap"/>
    <w:uiPriority w:val="99"/>
    <w:rsid w:val="001E1202"/>
    <w:rPr>
      <w:rFonts w:ascii="Baha" w:eastAsia="Times New Roman" w:hAnsi="Baha" w:cs="Arial"/>
      <w:i/>
      <w:color w:val="333333"/>
    </w:rPr>
  </w:style>
  <w:style w:type="paragraph" w:styleId="Cabealho">
    <w:name w:val="header"/>
    <w:basedOn w:val="Normal"/>
    <w:link w:val="CabealhoChar"/>
    <w:uiPriority w:val="99"/>
    <w:rsid w:val="008F3022"/>
    <w:pPr>
      <w:widowControl w:val="0"/>
      <w:tabs>
        <w:tab w:val="center" w:pos="4252"/>
        <w:tab w:val="right" w:pos="8504"/>
      </w:tabs>
      <w:spacing w:before="60" w:after="120"/>
      <w:ind w:firstLine="567"/>
    </w:pPr>
    <w:rPr>
      <w:rFonts w:eastAsia="Times New Roman"/>
      <w:szCs w:val="20"/>
      <w:lang w:val="x-none" w:eastAsia="x-none"/>
    </w:rPr>
  </w:style>
  <w:style w:type="character" w:customStyle="1" w:styleId="CabealhoChar">
    <w:name w:val="Cabeçalho Char"/>
    <w:link w:val="Cabealho"/>
    <w:uiPriority w:val="99"/>
    <w:rsid w:val="008F3022"/>
    <w:rPr>
      <w:rFonts w:ascii="Arial" w:eastAsia="Times New Roman" w:hAnsi="Arial" w:cs="Arial"/>
      <w:sz w:val="22"/>
    </w:rPr>
  </w:style>
  <w:style w:type="paragraph" w:styleId="Textodebalo">
    <w:name w:val="Balloon Text"/>
    <w:basedOn w:val="Normal"/>
    <w:link w:val="TextodebaloChar"/>
    <w:uiPriority w:val="99"/>
    <w:semiHidden/>
    <w:unhideWhenUsed/>
    <w:rsid w:val="008F3022"/>
    <w:pPr>
      <w:spacing w:line="240" w:lineRule="auto"/>
    </w:pPr>
    <w:rPr>
      <w:rFonts w:ascii="Tahoma" w:eastAsia="Times New Roman" w:hAnsi="Tahoma"/>
      <w:sz w:val="16"/>
      <w:szCs w:val="16"/>
      <w:lang w:val="x-none" w:eastAsia="x-none"/>
    </w:rPr>
  </w:style>
  <w:style w:type="character" w:customStyle="1" w:styleId="TextodebaloChar">
    <w:name w:val="Texto de balão Char"/>
    <w:link w:val="Textodebalo"/>
    <w:uiPriority w:val="99"/>
    <w:semiHidden/>
    <w:rsid w:val="008F3022"/>
    <w:rPr>
      <w:rFonts w:ascii="Tahoma" w:eastAsia="Times New Roman" w:hAnsi="Tahoma" w:cs="Tahoma"/>
      <w:sz w:val="16"/>
      <w:szCs w:val="16"/>
    </w:rPr>
  </w:style>
  <w:style w:type="paragraph" w:styleId="Legenda">
    <w:name w:val="caption"/>
    <w:aliases w:val="Cima,SHS - Legenda"/>
    <w:basedOn w:val="Normal"/>
    <w:next w:val="Normal"/>
    <w:link w:val="LegendaChar"/>
    <w:uiPriority w:val="35"/>
    <w:unhideWhenUsed/>
    <w:qFormat/>
    <w:rsid w:val="00283652"/>
    <w:pPr>
      <w:keepNext/>
      <w:spacing w:before="120" w:after="120" w:line="240" w:lineRule="auto"/>
      <w:jc w:val="center"/>
    </w:pPr>
    <w:rPr>
      <w:rFonts w:eastAsia="Times New Roman" w:cs="Arial"/>
      <w:b/>
      <w:bCs/>
      <w:sz w:val="20"/>
      <w:szCs w:val="24"/>
      <w:lang w:val="x-none" w:eastAsia="x-none"/>
    </w:rPr>
  </w:style>
  <w:style w:type="paragraph" w:styleId="PargrafodaLista">
    <w:name w:val="List Paragraph"/>
    <w:aliases w:val="Tópicos,Parágrafo da Lista1"/>
    <w:basedOn w:val="Normal"/>
    <w:link w:val="PargrafodaListaChar"/>
    <w:uiPriority w:val="34"/>
    <w:qFormat/>
    <w:rsid w:val="001E1202"/>
    <w:pPr>
      <w:ind w:left="720"/>
      <w:contextualSpacing/>
    </w:pPr>
    <w:rPr>
      <w:rFonts w:eastAsia="Times New Roman" w:cs="Arial"/>
      <w:szCs w:val="20"/>
      <w:lang w:eastAsia="pt-BR"/>
    </w:rPr>
  </w:style>
  <w:style w:type="paragraph" w:styleId="CabealhodoSumrio">
    <w:name w:val="TOC Heading"/>
    <w:basedOn w:val="Ttulo1"/>
    <w:next w:val="Normal"/>
    <w:uiPriority w:val="39"/>
    <w:unhideWhenUsed/>
    <w:qFormat/>
    <w:rsid w:val="001E1202"/>
    <w:pPr>
      <w:spacing w:line="276" w:lineRule="auto"/>
      <w:jc w:val="left"/>
      <w:outlineLvl w:val="9"/>
    </w:pPr>
  </w:style>
  <w:style w:type="paragraph" w:styleId="Sumrio1">
    <w:name w:val="toc 1"/>
    <w:basedOn w:val="Normal"/>
    <w:next w:val="Normal"/>
    <w:autoRedefine/>
    <w:uiPriority w:val="39"/>
    <w:unhideWhenUsed/>
    <w:qFormat/>
    <w:rsid w:val="00DD0AEC"/>
    <w:pPr>
      <w:tabs>
        <w:tab w:val="right" w:leader="dot" w:pos="9350"/>
      </w:tabs>
      <w:spacing w:before="120" w:after="120"/>
      <w:ind w:right="567"/>
    </w:pPr>
    <w:rPr>
      <w:rFonts w:eastAsia="Times New Roman" w:cs="Arial"/>
      <w:b/>
      <w:szCs w:val="20"/>
      <w:lang w:eastAsia="pt-BR"/>
    </w:rPr>
  </w:style>
  <w:style w:type="character" w:styleId="Hyperlink">
    <w:name w:val="Hyperlink"/>
    <w:uiPriority w:val="99"/>
    <w:unhideWhenUsed/>
    <w:rsid w:val="008F3022"/>
    <w:rPr>
      <w:color w:val="0000FF"/>
      <w:u w:val="single"/>
    </w:rPr>
  </w:style>
  <w:style w:type="character" w:customStyle="1" w:styleId="LegendaChar">
    <w:name w:val="Legenda Char"/>
    <w:aliases w:val="Cima Char,SHS - Legenda Char"/>
    <w:link w:val="Legenda"/>
    <w:uiPriority w:val="35"/>
    <w:rsid w:val="00283652"/>
    <w:rPr>
      <w:rFonts w:ascii="Arial" w:eastAsia="Times New Roman" w:hAnsi="Arial" w:cs="Arial"/>
      <w:b/>
      <w:bCs/>
      <w:szCs w:val="24"/>
      <w:lang w:val="x-none" w:eastAsia="x-none"/>
    </w:rPr>
  </w:style>
  <w:style w:type="character" w:styleId="Forte">
    <w:name w:val="Strong"/>
    <w:uiPriority w:val="99"/>
    <w:qFormat/>
    <w:rsid w:val="001E1202"/>
    <w:rPr>
      <w:b/>
      <w:bCs/>
    </w:rPr>
  </w:style>
  <w:style w:type="character" w:customStyle="1" w:styleId="Ttulo2Char">
    <w:name w:val="Título 2 Char"/>
    <w:aliases w:val="Título 2 NUMERADO Char"/>
    <w:link w:val="Ttulo2"/>
    <w:uiPriority w:val="9"/>
    <w:rsid w:val="001E1202"/>
    <w:rPr>
      <w:rFonts w:ascii="Arial" w:eastAsia="Times New Roman" w:hAnsi="Arial" w:cs="Arial"/>
      <w:b/>
      <w:bCs/>
      <w:sz w:val="24"/>
      <w:szCs w:val="24"/>
      <w:lang w:eastAsia="x-none"/>
    </w:rPr>
  </w:style>
  <w:style w:type="character" w:styleId="nfaseSutil">
    <w:name w:val="Subtle Emphasis"/>
    <w:uiPriority w:val="19"/>
    <w:qFormat/>
    <w:rsid w:val="001E1202"/>
    <w:rPr>
      <w:rFonts w:ascii="Arial" w:hAnsi="Arial"/>
      <w:iCs/>
      <w:color w:val="808080"/>
      <w:sz w:val="24"/>
      <w:u w:val="single"/>
    </w:rPr>
  </w:style>
  <w:style w:type="paragraph" w:styleId="Sumrio2">
    <w:name w:val="toc 2"/>
    <w:basedOn w:val="Normal"/>
    <w:next w:val="Normal"/>
    <w:autoRedefine/>
    <w:uiPriority w:val="39"/>
    <w:unhideWhenUsed/>
    <w:qFormat/>
    <w:rsid w:val="00DD0AEC"/>
    <w:pPr>
      <w:tabs>
        <w:tab w:val="right" w:leader="dot" w:pos="9350"/>
      </w:tabs>
      <w:spacing w:before="120" w:after="120"/>
      <w:ind w:left="284" w:right="567"/>
    </w:pPr>
  </w:style>
  <w:style w:type="paragraph" w:customStyle="1" w:styleId="SHS-Ttulo01">
    <w:name w:val="SHS - Título 01"/>
    <w:basedOn w:val="Normal"/>
    <w:next w:val="Normal"/>
    <w:autoRedefine/>
    <w:uiPriority w:val="99"/>
    <w:qFormat/>
    <w:rsid w:val="00C57ADC"/>
    <w:pPr>
      <w:widowControl w:val="0"/>
      <w:numPr>
        <w:numId w:val="1"/>
      </w:numPr>
      <w:spacing w:before="240" w:after="240"/>
      <w:outlineLvl w:val="0"/>
    </w:pPr>
    <w:rPr>
      <w:rFonts w:eastAsia="Times New Roman" w:cs="Arial"/>
      <w:b/>
      <w:sz w:val="28"/>
      <w:szCs w:val="20"/>
      <w:lang w:eastAsia="pt-BR"/>
    </w:rPr>
  </w:style>
  <w:style w:type="paragraph" w:customStyle="1" w:styleId="SHS-Ttulo02">
    <w:name w:val="SHS - Título 02"/>
    <w:basedOn w:val="SHS-Ttulo01"/>
    <w:next w:val="Normal"/>
    <w:autoRedefine/>
    <w:qFormat/>
    <w:rsid w:val="002828C8"/>
    <w:pPr>
      <w:numPr>
        <w:ilvl w:val="1"/>
      </w:numPr>
      <w:spacing w:before="200" w:after="200"/>
      <w:ind w:left="426" w:hanging="426"/>
      <w:outlineLvl w:val="1"/>
    </w:pPr>
    <w:rPr>
      <w:sz w:val="24"/>
      <w:szCs w:val="24"/>
    </w:rPr>
  </w:style>
  <w:style w:type="paragraph" w:styleId="ndicedeilustraes">
    <w:name w:val="table of figures"/>
    <w:basedOn w:val="Normal"/>
    <w:next w:val="Normal"/>
    <w:uiPriority w:val="99"/>
    <w:unhideWhenUsed/>
    <w:rsid w:val="00DD0AEC"/>
    <w:pPr>
      <w:tabs>
        <w:tab w:val="right" w:leader="dot" w:pos="9350"/>
      </w:tabs>
      <w:spacing w:before="120" w:after="120"/>
      <w:ind w:right="567"/>
    </w:pPr>
  </w:style>
  <w:style w:type="paragraph" w:customStyle="1" w:styleId="Default">
    <w:name w:val="Default"/>
    <w:rsid w:val="00C058B7"/>
    <w:pPr>
      <w:autoSpaceDE w:val="0"/>
      <w:autoSpaceDN w:val="0"/>
      <w:adjustRightInd w:val="0"/>
    </w:pPr>
    <w:rPr>
      <w:rFonts w:ascii="Arial" w:hAnsi="Arial" w:cs="Arial"/>
      <w:color w:val="000000"/>
      <w:sz w:val="24"/>
      <w:szCs w:val="24"/>
    </w:rPr>
  </w:style>
  <w:style w:type="paragraph" w:customStyle="1" w:styleId="fmn-autor">
    <w:name w:val="fmn-autor"/>
    <w:basedOn w:val="Normal"/>
    <w:uiPriority w:val="99"/>
    <w:rsid w:val="00B039FE"/>
    <w:pPr>
      <w:spacing w:line="480" w:lineRule="auto"/>
      <w:jc w:val="center"/>
    </w:pPr>
    <w:rPr>
      <w:rFonts w:ascii="Times New Roman" w:eastAsia="Times New Roman" w:hAnsi="Times New Roman" w:cs="Arial"/>
      <w:sz w:val="32"/>
      <w:szCs w:val="32"/>
      <w:lang w:eastAsia="pt-BR"/>
    </w:rPr>
  </w:style>
  <w:style w:type="character" w:customStyle="1" w:styleId="Ttulo3Char">
    <w:name w:val="Título 3 Char"/>
    <w:aliases w:val="Título 3 SHS Char"/>
    <w:link w:val="Ttulo3"/>
    <w:uiPriority w:val="9"/>
    <w:rsid w:val="002828C8"/>
    <w:rPr>
      <w:rFonts w:ascii="Arial" w:eastAsia="Times New Roman" w:hAnsi="Arial" w:cs="Arial"/>
      <w:b/>
      <w:i/>
      <w:sz w:val="24"/>
      <w:szCs w:val="24"/>
    </w:rPr>
  </w:style>
  <w:style w:type="paragraph" w:styleId="MapadoDocumento">
    <w:name w:val="Document Map"/>
    <w:basedOn w:val="Normal"/>
    <w:link w:val="MapadoDocumentoChar"/>
    <w:uiPriority w:val="99"/>
    <w:semiHidden/>
    <w:unhideWhenUsed/>
    <w:rsid w:val="00DB2758"/>
    <w:rPr>
      <w:rFonts w:ascii="Tahoma" w:eastAsia="Times New Roman" w:hAnsi="Tahoma" w:cs="Tahoma"/>
      <w:sz w:val="16"/>
      <w:szCs w:val="16"/>
      <w:lang w:eastAsia="pt-BR"/>
    </w:rPr>
  </w:style>
  <w:style w:type="paragraph" w:styleId="Sumrio3">
    <w:name w:val="toc 3"/>
    <w:basedOn w:val="Normal"/>
    <w:next w:val="Normal"/>
    <w:autoRedefine/>
    <w:uiPriority w:val="39"/>
    <w:unhideWhenUsed/>
    <w:qFormat/>
    <w:rsid w:val="00DD0AEC"/>
    <w:pPr>
      <w:tabs>
        <w:tab w:val="right" w:leader="dot" w:pos="9350"/>
      </w:tabs>
      <w:spacing w:before="120" w:after="120"/>
      <w:ind w:left="567" w:right="567"/>
    </w:pPr>
    <w:rPr>
      <w:i/>
    </w:rPr>
  </w:style>
  <w:style w:type="character" w:customStyle="1" w:styleId="MapadoDocumentoChar">
    <w:name w:val="Mapa do Documento Char"/>
    <w:link w:val="MapadoDocumento"/>
    <w:uiPriority w:val="99"/>
    <w:semiHidden/>
    <w:rsid w:val="00DB2758"/>
    <w:rPr>
      <w:rFonts w:ascii="Tahoma" w:eastAsia="Times New Roman" w:hAnsi="Tahoma" w:cs="Tahoma"/>
      <w:sz w:val="16"/>
      <w:szCs w:val="16"/>
    </w:rPr>
  </w:style>
  <w:style w:type="character" w:customStyle="1" w:styleId="apple-converted-space">
    <w:name w:val="apple-converted-space"/>
    <w:rsid w:val="0068763A"/>
  </w:style>
  <w:style w:type="character" w:customStyle="1" w:styleId="Ttulo5Char">
    <w:name w:val="Título 5 Char"/>
    <w:link w:val="Ttulo5"/>
    <w:rsid w:val="00D774E9"/>
    <w:rPr>
      <w:rFonts w:ascii="Arial" w:eastAsia="Times New Roman" w:hAnsi="Arial" w:cs="Arial"/>
      <w:b/>
      <w:i/>
      <w:sz w:val="22"/>
      <w:szCs w:val="22"/>
    </w:rPr>
  </w:style>
  <w:style w:type="character" w:customStyle="1" w:styleId="Ttulo6Char">
    <w:name w:val="Título 6 Char"/>
    <w:link w:val="Ttulo6"/>
    <w:rsid w:val="001E1202"/>
    <w:rPr>
      <w:rFonts w:ascii="Times New Roman" w:eastAsia="Times New Roman" w:hAnsi="Times New Roman"/>
      <w:b/>
      <w:bCs/>
      <w:sz w:val="22"/>
      <w:szCs w:val="22"/>
    </w:rPr>
  </w:style>
  <w:style w:type="character" w:customStyle="1" w:styleId="Ttulo7Char">
    <w:name w:val="Título 7 Char"/>
    <w:link w:val="Ttulo7"/>
    <w:uiPriority w:val="9"/>
    <w:rsid w:val="000A0514"/>
    <w:rPr>
      <w:rFonts w:ascii="Times New Roman" w:eastAsia="Times New Roman" w:hAnsi="Times New Roman"/>
      <w:sz w:val="24"/>
      <w:szCs w:val="24"/>
    </w:rPr>
  </w:style>
  <w:style w:type="character" w:customStyle="1" w:styleId="Ttulo8Char">
    <w:name w:val="Título 8 Char"/>
    <w:link w:val="Ttulo8"/>
    <w:uiPriority w:val="9"/>
    <w:rsid w:val="000A0514"/>
    <w:rPr>
      <w:rFonts w:ascii="Arial" w:eastAsia="Times New Roman" w:hAnsi="Arial" w:cs="Arial"/>
      <w:b/>
      <w:bCs/>
      <w:i/>
      <w:sz w:val="22"/>
      <w:szCs w:val="22"/>
    </w:rPr>
  </w:style>
  <w:style w:type="character" w:customStyle="1" w:styleId="Ttulo4Char">
    <w:name w:val="Título 4 Char"/>
    <w:link w:val="Ttulo4"/>
    <w:rsid w:val="00DD0AEC"/>
    <w:rPr>
      <w:rFonts w:ascii="Arial" w:eastAsia="Times New Roman" w:hAnsi="Arial" w:cs="Arial"/>
      <w:b/>
      <w:sz w:val="22"/>
      <w:szCs w:val="22"/>
    </w:rPr>
  </w:style>
  <w:style w:type="character" w:customStyle="1" w:styleId="Ttulo9Char">
    <w:name w:val="Título 9 Char"/>
    <w:link w:val="Ttulo9"/>
    <w:uiPriority w:val="9"/>
    <w:rsid w:val="001E1202"/>
    <w:rPr>
      <w:rFonts w:ascii="Cambria" w:eastAsia="Times New Roman" w:hAnsi="Cambria"/>
      <w:sz w:val="22"/>
      <w:szCs w:val="22"/>
      <w:lang w:eastAsia="en-US"/>
    </w:rPr>
  </w:style>
  <w:style w:type="paragraph" w:styleId="Sumrio4">
    <w:name w:val="toc 4"/>
    <w:basedOn w:val="Normal"/>
    <w:next w:val="Normal"/>
    <w:autoRedefine/>
    <w:uiPriority w:val="39"/>
    <w:unhideWhenUsed/>
    <w:rsid w:val="00DD0AEC"/>
    <w:pPr>
      <w:tabs>
        <w:tab w:val="right" w:leader="dot" w:pos="9350"/>
      </w:tabs>
      <w:spacing w:before="120" w:after="120"/>
      <w:ind w:left="851" w:right="567"/>
    </w:pPr>
    <w:rPr>
      <w:rFonts w:eastAsia="Times New Roman"/>
      <w:sz w:val="22"/>
      <w:lang w:eastAsia="pt-BR"/>
    </w:rPr>
  </w:style>
  <w:style w:type="paragraph" w:styleId="Sumrio5">
    <w:name w:val="toc 5"/>
    <w:basedOn w:val="Normal"/>
    <w:next w:val="Normal"/>
    <w:autoRedefine/>
    <w:uiPriority w:val="39"/>
    <w:unhideWhenUsed/>
    <w:rsid w:val="00DD0AEC"/>
    <w:pPr>
      <w:tabs>
        <w:tab w:val="right" w:leader="dot" w:pos="9350"/>
      </w:tabs>
      <w:spacing w:before="120" w:after="120"/>
      <w:ind w:left="1134" w:right="567"/>
    </w:pPr>
    <w:rPr>
      <w:rFonts w:eastAsia="Times New Roman"/>
      <w:i/>
      <w:sz w:val="22"/>
      <w:lang w:eastAsia="pt-BR"/>
    </w:rPr>
  </w:style>
  <w:style w:type="paragraph" w:styleId="Sumrio6">
    <w:name w:val="toc 6"/>
    <w:basedOn w:val="Normal"/>
    <w:next w:val="Normal"/>
    <w:autoRedefine/>
    <w:uiPriority w:val="39"/>
    <w:unhideWhenUsed/>
    <w:rsid w:val="00A41168"/>
    <w:pPr>
      <w:tabs>
        <w:tab w:val="right" w:leader="dot" w:pos="9350"/>
      </w:tabs>
      <w:ind w:left="1418" w:right="567"/>
    </w:pPr>
    <w:rPr>
      <w:rFonts w:eastAsia="Times New Roman"/>
      <w:sz w:val="20"/>
      <w:lang w:eastAsia="pt-BR"/>
    </w:rPr>
  </w:style>
  <w:style w:type="paragraph" w:styleId="Sumrio7">
    <w:name w:val="toc 7"/>
    <w:basedOn w:val="Normal"/>
    <w:next w:val="Normal"/>
    <w:autoRedefine/>
    <w:uiPriority w:val="39"/>
    <w:unhideWhenUsed/>
    <w:rsid w:val="00E25037"/>
    <w:pPr>
      <w:spacing w:after="100" w:line="276" w:lineRule="auto"/>
      <w:ind w:left="1320"/>
    </w:pPr>
    <w:rPr>
      <w:rFonts w:ascii="Calibri" w:eastAsia="Times New Roman" w:hAnsi="Calibri"/>
      <w:sz w:val="22"/>
      <w:lang w:eastAsia="pt-BR"/>
    </w:rPr>
  </w:style>
  <w:style w:type="paragraph" w:styleId="Sumrio8">
    <w:name w:val="toc 8"/>
    <w:basedOn w:val="Normal"/>
    <w:next w:val="Normal"/>
    <w:autoRedefine/>
    <w:uiPriority w:val="39"/>
    <w:unhideWhenUsed/>
    <w:rsid w:val="00E25037"/>
    <w:pPr>
      <w:spacing w:after="100" w:line="276" w:lineRule="auto"/>
      <w:ind w:left="1540"/>
    </w:pPr>
    <w:rPr>
      <w:rFonts w:ascii="Calibri" w:eastAsia="Times New Roman" w:hAnsi="Calibri"/>
      <w:sz w:val="22"/>
      <w:lang w:eastAsia="pt-BR"/>
    </w:rPr>
  </w:style>
  <w:style w:type="paragraph" w:styleId="Sumrio9">
    <w:name w:val="toc 9"/>
    <w:basedOn w:val="Normal"/>
    <w:next w:val="Normal"/>
    <w:autoRedefine/>
    <w:uiPriority w:val="39"/>
    <w:unhideWhenUsed/>
    <w:rsid w:val="00E25037"/>
    <w:pPr>
      <w:spacing w:after="100" w:line="276" w:lineRule="auto"/>
      <w:ind w:left="1760"/>
    </w:pPr>
    <w:rPr>
      <w:rFonts w:ascii="Calibri" w:eastAsia="Times New Roman" w:hAnsi="Calibri"/>
      <w:sz w:val="22"/>
      <w:lang w:eastAsia="pt-BR"/>
    </w:rPr>
  </w:style>
  <w:style w:type="paragraph" w:customStyle="1" w:styleId="Imagem">
    <w:name w:val="Imagem"/>
    <w:basedOn w:val="Normal"/>
    <w:uiPriority w:val="99"/>
    <w:qFormat/>
    <w:rsid w:val="001E1202"/>
    <w:pPr>
      <w:suppressAutoHyphens/>
      <w:spacing w:before="120" w:after="120"/>
      <w:contextualSpacing/>
      <w:jc w:val="center"/>
    </w:pPr>
    <w:rPr>
      <w:rFonts w:eastAsia="Times New Roman"/>
      <w:color w:val="000000"/>
      <w:szCs w:val="20"/>
      <w:lang w:eastAsia="ar-SA"/>
    </w:rPr>
  </w:style>
  <w:style w:type="paragraph" w:customStyle="1" w:styleId="Fonte">
    <w:name w:val="Fonte"/>
    <w:basedOn w:val="Normal"/>
    <w:link w:val="FonteChar"/>
    <w:qFormat/>
    <w:rsid w:val="009C734F"/>
    <w:pPr>
      <w:spacing w:before="120" w:after="120"/>
      <w:contextualSpacing/>
      <w:jc w:val="center"/>
    </w:pPr>
    <w:rPr>
      <w:rFonts w:eastAsia="Times New Roman"/>
      <w:sz w:val="22"/>
      <w:lang w:eastAsia="pt-BR"/>
    </w:rPr>
  </w:style>
  <w:style w:type="paragraph" w:customStyle="1" w:styleId="figura">
    <w:name w:val="figura"/>
    <w:basedOn w:val="Normal"/>
    <w:next w:val="Legenda"/>
    <w:qFormat/>
    <w:rsid w:val="001E1202"/>
    <w:pPr>
      <w:widowControl w:val="0"/>
      <w:spacing w:line="240" w:lineRule="auto"/>
      <w:jc w:val="center"/>
    </w:pPr>
    <w:rPr>
      <w:rFonts w:eastAsia="Times New Roman" w:cs="Arial"/>
      <w:sz w:val="22"/>
      <w:szCs w:val="20"/>
      <w:lang w:eastAsia="pt-BR"/>
    </w:rPr>
  </w:style>
  <w:style w:type="table" w:styleId="SombreamentoClaro-nfase3">
    <w:name w:val="Light Shading Accent 3"/>
    <w:basedOn w:val="Tabelanormal"/>
    <w:uiPriority w:val="60"/>
    <w:rsid w:val="006C571A"/>
    <w:rPr>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ListaClara-nfase3">
    <w:name w:val="Light List Accent 3"/>
    <w:basedOn w:val="Tabelanormal"/>
    <w:uiPriority w:val="61"/>
    <w:rsid w:val="006C571A"/>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paragraph" w:styleId="Corpodetexto">
    <w:name w:val="Body Text"/>
    <w:basedOn w:val="Normal"/>
    <w:link w:val="CorpodetextoChar"/>
    <w:semiHidden/>
    <w:unhideWhenUsed/>
    <w:rsid w:val="008E01EF"/>
    <w:pPr>
      <w:spacing w:before="240" w:line="240" w:lineRule="auto"/>
    </w:pPr>
    <w:rPr>
      <w:rFonts w:ascii="Tahoma" w:eastAsia="Times New Roman" w:hAnsi="Tahoma" w:cs="Tahoma"/>
      <w:szCs w:val="24"/>
      <w:lang w:eastAsia="pt-BR"/>
    </w:rPr>
  </w:style>
  <w:style w:type="character" w:customStyle="1" w:styleId="CorpodetextoChar">
    <w:name w:val="Corpo de texto Char"/>
    <w:link w:val="Corpodetexto"/>
    <w:semiHidden/>
    <w:rsid w:val="008E01EF"/>
    <w:rPr>
      <w:rFonts w:ascii="Tahoma" w:eastAsia="Times New Roman" w:hAnsi="Tahoma" w:cs="Tahoma"/>
      <w:sz w:val="24"/>
      <w:szCs w:val="24"/>
    </w:rPr>
  </w:style>
  <w:style w:type="character" w:customStyle="1" w:styleId="PargrafodaListaChar">
    <w:name w:val="Parágrafo da Lista Char"/>
    <w:aliases w:val="Tópicos Char,Parágrafo da Lista1 Char"/>
    <w:link w:val="PargrafodaLista"/>
    <w:uiPriority w:val="34"/>
    <w:rsid w:val="001E1202"/>
    <w:rPr>
      <w:rFonts w:ascii="Arial" w:eastAsia="Times New Roman" w:hAnsi="Arial" w:cs="Arial"/>
      <w:sz w:val="24"/>
    </w:rPr>
  </w:style>
  <w:style w:type="paragraph" w:customStyle="1" w:styleId="Corpodetexto21">
    <w:name w:val="Corpo de texto 21"/>
    <w:basedOn w:val="Normal"/>
    <w:rsid w:val="000A0123"/>
    <w:pPr>
      <w:suppressAutoHyphens/>
      <w:spacing w:line="240" w:lineRule="auto"/>
    </w:pPr>
    <w:rPr>
      <w:rFonts w:eastAsia="Times New Roman"/>
      <w:sz w:val="20"/>
      <w:szCs w:val="20"/>
      <w:lang w:eastAsia="ar-SA"/>
    </w:rPr>
  </w:style>
  <w:style w:type="paragraph" w:customStyle="1" w:styleId="shs-texto">
    <w:name w:val="shs - texto"/>
    <w:basedOn w:val="Normal"/>
    <w:link w:val="shs-textoChar"/>
    <w:rsid w:val="000A0123"/>
    <w:pPr>
      <w:widowControl w:val="0"/>
      <w:ind w:firstLine="1134"/>
    </w:pPr>
    <w:rPr>
      <w:rFonts w:eastAsia="Times New Roman"/>
      <w:szCs w:val="36"/>
      <w:lang w:eastAsia="pt-BR"/>
    </w:rPr>
  </w:style>
  <w:style w:type="character" w:customStyle="1" w:styleId="shs-textoChar">
    <w:name w:val="shs - texto Char"/>
    <w:link w:val="shs-texto"/>
    <w:rsid w:val="000A0123"/>
    <w:rPr>
      <w:rFonts w:ascii="Arial" w:eastAsia="Times New Roman" w:hAnsi="Arial"/>
      <w:sz w:val="24"/>
      <w:szCs w:val="36"/>
    </w:rPr>
  </w:style>
  <w:style w:type="table" w:styleId="SombreamentoClaro-nfase1">
    <w:name w:val="Light Shading Accent 1"/>
    <w:basedOn w:val="Tabelanormal"/>
    <w:uiPriority w:val="60"/>
    <w:rsid w:val="000A0123"/>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Referncias">
    <w:name w:val="Referências"/>
    <w:basedOn w:val="Normal"/>
    <w:rsid w:val="00C57ADC"/>
    <w:pPr>
      <w:spacing w:before="120" w:after="120" w:line="276" w:lineRule="auto"/>
      <w:ind w:left="851" w:hanging="851"/>
      <w:contextualSpacing/>
    </w:pPr>
    <w:rPr>
      <w:rFonts w:ascii="Calibri" w:eastAsia="Times New Roman" w:hAnsi="Calibri" w:cs="Arial"/>
      <w:sz w:val="22"/>
      <w:szCs w:val="24"/>
      <w:lang w:eastAsia="pt-BR"/>
    </w:rPr>
  </w:style>
  <w:style w:type="character" w:customStyle="1" w:styleId="TextodecomentrioChar">
    <w:name w:val="Texto de comentário Char"/>
    <w:link w:val="Textodecomentrio"/>
    <w:uiPriority w:val="99"/>
    <w:semiHidden/>
    <w:rsid w:val="00C57ADC"/>
  </w:style>
  <w:style w:type="paragraph" w:styleId="Textodecomentrio">
    <w:name w:val="annotation text"/>
    <w:basedOn w:val="Normal"/>
    <w:link w:val="TextodecomentrioChar"/>
    <w:uiPriority w:val="99"/>
    <w:semiHidden/>
    <w:unhideWhenUsed/>
    <w:rsid w:val="00C57ADC"/>
    <w:pPr>
      <w:spacing w:after="200" w:line="276" w:lineRule="auto"/>
      <w:jc w:val="left"/>
    </w:pPr>
    <w:rPr>
      <w:rFonts w:ascii="Calibri" w:hAnsi="Calibri"/>
      <w:sz w:val="20"/>
      <w:szCs w:val="20"/>
      <w:lang w:eastAsia="pt-BR"/>
    </w:rPr>
  </w:style>
  <w:style w:type="character" w:customStyle="1" w:styleId="TextodecomentrioChar1">
    <w:name w:val="Texto de comentário Char1"/>
    <w:basedOn w:val="Fontepargpadro"/>
    <w:uiPriority w:val="99"/>
    <w:semiHidden/>
    <w:rsid w:val="00C57ADC"/>
    <w:rPr>
      <w:rFonts w:ascii="Arial" w:hAnsi="Arial"/>
      <w:lang w:eastAsia="en-US"/>
    </w:rPr>
  </w:style>
  <w:style w:type="character" w:customStyle="1" w:styleId="AssuntodocomentrioChar">
    <w:name w:val="Assunto do comentário Char"/>
    <w:link w:val="Assuntodocomentrio"/>
    <w:uiPriority w:val="99"/>
    <w:semiHidden/>
    <w:rsid w:val="00C57ADC"/>
    <w:rPr>
      <w:b/>
      <w:bCs/>
    </w:rPr>
  </w:style>
  <w:style w:type="paragraph" w:styleId="Assuntodocomentrio">
    <w:name w:val="annotation subject"/>
    <w:basedOn w:val="Textodecomentrio"/>
    <w:next w:val="Textodecomentrio"/>
    <w:link w:val="AssuntodocomentrioChar"/>
    <w:uiPriority w:val="99"/>
    <w:semiHidden/>
    <w:unhideWhenUsed/>
    <w:rsid w:val="00C57ADC"/>
    <w:rPr>
      <w:b/>
      <w:bCs/>
    </w:rPr>
  </w:style>
  <w:style w:type="character" w:customStyle="1" w:styleId="AssuntodocomentrioChar1">
    <w:name w:val="Assunto do comentário Char1"/>
    <w:basedOn w:val="TextodecomentrioChar1"/>
    <w:uiPriority w:val="99"/>
    <w:semiHidden/>
    <w:rsid w:val="00C57ADC"/>
    <w:rPr>
      <w:rFonts w:ascii="Arial" w:hAnsi="Arial"/>
      <w:b/>
      <w:bCs/>
      <w:lang w:eastAsia="en-US"/>
    </w:rPr>
  </w:style>
  <w:style w:type="character" w:customStyle="1" w:styleId="TextodenotaderodapChar">
    <w:name w:val="Texto de nota de rodapé Char"/>
    <w:link w:val="Textodenotaderodap"/>
    <w:uiPriority w:val="99"/>
    <w:semiHidden/>
    <w:rsid w:val="00C57ADC"/>
  </w:style>
  <w:style w:type="paragraph" w:styleId="Textodenotaderodap">
    <w:name w:val="footnote text"/>
    <w:basedOn w:val="Normal"/>
    <w:link w:val="TextodenotaderodapChar"/>
    <w:uiPriority w:val="99"/>
    <w:semiHidden/>
    <w:unhideWhenUsed/>
    <w:rsid w:val="00C57ADC"/>
    <w:pPr>
      <w:spacing w:after="200" w:line="276" w:lineRule="auto"/>
      <w:jc w:val="left"/>
    </w:pPr>
    <w:rPr>
      <w:rFonts w:ascii="Calibri" w:hAnsi="Calibri"/>
      <w:sz w:val="20"/>
      <w:szCs w:val="20"/>
      <w:lang w:eastAsia="pt-BR"/>
    </w:rPr>
  </w:style>
  <w:style w:type="character" w:customStyle="1" w:styleId="TextodenotaderodapChar1">
    <w:name w:val="Texto de nota de rodapé Char1"/>
    <w:basedOn w:val="Fontepargpadro"/>
    <w:uiPriority w:val="99"/>
    <w:semiHidden/>
    <w:rsid w:val="00C57ADC"/>
    <w:rPr>
      <w:rFonts w:ascii="Arial" w:hAnsi="Arial"/>
      <w:lang w:eastAsia="en-US"/>
    </w:rPr>
  </w:style>
  <w:style w:type="character" w:styleId="Refdecomentrio">
    <w:name w:val="annotation reference"/>
    <w:uiPriority w:val="99"/>
    <w:semiHidden/>
    <w:unhideWhenUsed/>
    <w:rsid w:val="00C57ADC"/>
    <w:rPr>
      <w:sz w:val="16"/>
      <w:szCs w:val="16"/>
    </w:rPr>
  </w:style>
  <w:style w:type="paragraph" w:customStyle="1" w:styleId="SHS-temdeTabelaEsquerda">
    <w:name w:val="SHS - Ítem de Tabela à Esquerda"/>
    <w:basedOn w:val="Normal"/>
    <w:next w:val="Normal"/>
    <w:rsid w:val="00C57ADC"/>
    <w:pPr>
      <w:widowControl w:val="0"/>
      <w:spacing w:line="240" w:lineRule="auto"/>
      <w:jc w:val="left"/>
    </w:pPr>
    <w:rPr>
      <w:rFonts w:eastAsia="MS Mincho" w:cs="Arial"/>
      <w:sz w:val="20"/>
      <w:szCs w:val="15"/>
      <w:lang w:eastAsia="pt-BR"/>
    </w:rPr>
  </w:style>
  <w:style w:type="paragraph" w:customStyle="1" w:styleId="SHS-Lista">
    <w:name w:val="SHS - Lista"/>
    <w:basedOn w:val="Normal"/>
    <w:link w:val="SHS-ListaChar"/>
    <w:rsid w:val="00C57ADC"/>
    <w:pPr>
      <w:widowControl w:val="0"/>
      <w:numPr>
        <w:numId w:val="7"/>
      </w:numPr>
      <w:spacing w:before="60" w:after="120"/>
    </w:pPr>
    <w:rPr>
      <w:rFonts w:eastAsia="Times New Roman"/>
      <w:szCs w:val="24"/>
      <w:lang w:eastAsia="pt-BR"/>
    </w:rPr>
  </w:style>
  <w:style w:type="paragraph" w:customStyle="1" w:styleId="SHS-Fonte">
    <w:name w:val="SHS - Fonte"/>
    <w:basedOn w:val="Normal"/>
    <w:next w:val="Normal"/>
    <w:link w:val="SHS-FonteChar"/>
    <w:rsid w:val="00C57ADC"/>
    <w:pPr>
      <w:widowControl w:val="0"/>
      <w:autoSpaceDE w:val="0"/>
      <w:autoSpaceDN w:val="0"/>
      <w:adjustRightInd w:val="0"/>
      <w:spacing w:after="120" w:line="240" w:lineRule="auto"/>
      <w:jc w:val="center"/>
    </w:pPr>
    <w:rPr>
      <w:rFonts w:eastAsia="Times New Roman"/>
      <w:sz w:val="20"/>
      <w:szCs w:val="24"/>
      <w:lang w:eastAsia="pt-BR"/>
    </w:rPr>
  </w:style>
  <w:style w:type="character" w:customStyle="1" w:styleId="SHS-FonteChar">
    <w:name w:val="SHS - Fonte Char"/>
    <w:link w:val="SHS-Fonte"/>
    <w:rsid w:val="00C57ADC"/>
    <w:rPr>
      <w:rFonts w:ascii="Arial" w:eastAsia="Times New Roman" w:hAnsi="Arial"/>
      <w:szCs w:val="24"/>
    </w:rPr>
  </w:style>
  <w:style w:type="paragraph" w:customStyle="1" w:styleId="EstiloSHS-Ttulo03Negrito">
    <w:name w:val="Estilo SHS - Título 03 + Negrito"/>
    <w:basedOn w:val="Normal"/>
    <w:rsid w:val="00C57ADC"/>
    <w:pPr>
      <w:widowControl w:val="0"/>
      <w:tabs>
        <w:tab w:val="num" w:pos="720"/>
      </w:tabs>
      <w:spacing w:before="120" w:after="240"/>
      <w:ind w:left="720" w:hanging="720"/>
      <w:outlineLvl w:val="2"/>
    </w:pPr>
    <w:rPr>
      <w:rFonts w:eastAsia="Times New Roman"/>
      <w:b/>
      <w:bCs/>
      <w:i/>
      <w:iCs/>
      <w:szCs w:val="24"/>
      <w:lang w:eastAsia="pt-BR"/>
    </w:rPr>
  </w:style>
  <w:style w:type="paragraph" w:customStyle="1" w:styleId="SHS-Figura">
    <w:name w:val="SHS - Figura"/>
    <w:basedOn w:val="Normal"/>
    <w:next w:val="Normal"/>
    <w:rsid w:val="00C57ADC"/>
    <w:pPr>
      <w:keepNext/>
      <w:widowControl w:val="0"/>
      <w:spacing w:before="60" w:after="120"/>
      <w:jc w:val="center"/>
    </w:pPr>
    <w:rPr>
      <w:rFonts w:eastAsia="Times New Roman"/>
      <w:bCs/>
      <w:szCs w:val="24"/>
      <w:lang w:eastAsia="pt-BR"/>
    </w:rPr>
  </w:style>
  <w:style w:type="character" w:customStyle="1" w:styleId="SHS-ListaChar">
    <w:name w:val="SHS - Lista Char"/>
    <w:link w:val="SHS-Lista"/>
    <w:rsid w:val="00C57ADC"/>
    <w:rPr>
      <w:rFonts w:ascii="Arial" w:eastAsia="Times New Roman" w:hAnsi="Arial"/>
      <w:sz w:val="24"/>
      <w:szCs w:val="24"/>
    </w:rPr>
  </w:style>
  <w:style w:type="character" w:styleId="TextodoEspaoReservado">
    <w:name w:val="Placeholder Text"/>
    <w:uiPriority w:val="99"/>
    <w:semiHidden/>
    <w:rsid w:val="00C57ADC"/>
    <w:rPr>
      <w:color w:val="808080"/>
    </w:rPr>
  </w:style>
  <w:style w:type="paragraph" w:styleId="Citao">
    <w:name w:val="Quote"/>
    <w:basedOn w:val="Normal"/>
    <w:next w:val="Normal"/>
    <w:link w:val="CitaoChar"/>
    <w:uiPriority w:val="29"/>
    <w:qFormat/>
    <w:rsid w:val="00C57ADC"/>
    <w:pPr>
      <w:tabs>
        <w:tab w:val="left" w:pos="1845"/>
      </w:tabs>
      <w:ind w:firstLine="360"/>
    </w:pPr>
    <w:rPr>
      <w:rFonts w:cs="Arial"/>
      <w:i/>
      <w:sz w:val="22"/>
      <w:szCs w:val="24"/>
      <w:shd w:val="clear" w:color="auto" w:fill="FFFFFF"/>
    </w:rPr>
  </w:style>
  <w:style w:type="character" w:customStyle="1" w:styleId="CitaoChar">
    <w:name w:val="Citação Char"/>
    <w:basedOn w:val="Fontepargpadro"/>
    <w:link w:val="Citao"/>
    <w:uiPriority w:val="29"/>
    <w:rsid w:val="00C57ADC"/>
    <w:rPr>
      <w:rFonts w:ascii="Arial" w:hAnsi="Arial" w:cs="Arial"/>
      <w:i/>
      <w:sz w:val="22"/>
      <w:szCs w:val="24"/>
      <w:lang w:eastAsia="en-US"/>
    </w:rPr>
  </w:style>
  <w:style w:type="character" w:styleId="Refdenotaderodap">
    <w:name w:val="footnote reference"/>
    <w:uiPriority w:val="99"/>
    <w:semiHidden/>
    <w:unhideWhenUsed/>
    <w:rsid w:val="00C57ADC"/>
    <w:rPr>
      <w:vertAlign w:val="superscript"/>
    </w:rPr>
  </w:style>
  <w:style w:type="paragraph" w:customStyle="1" w:styleId="texto1">
    <w:name w:val="texto1"/>
    <w:basedOn w:val="Normal"/>
    <w:rsid w:val="00C57ADC"/>
    <w:pPr>
      <w:spacing w:before="100" w:beforeAutospacing="1" w:after="100" w:afterAutospacing="1" w:line="240" w:lineRule="auto"/>
      <w:jc w:val="left"/>
    </w:pPr>
    <w:rPr>
      <w:rFonts w:ascii="Times New Roman" w:eastAsia="Times New Roman" w:hAnsi="Times New Roman"/>
      <w:szCs w:val="24"/>
      <w:lang w:eastAsia="pt-BR"/>
    </w:rPr>
  </w:style>
  <w:style w:type="character" w:styleId="HiperlinkVisitado">
    <w:name w:val="FollowedHyperlink"/>
    <w:uiPriority w:val="99"/>
    <w:semiHidden/>
    <w:unhideWhenUsed/>
    <w:rsid w:val="00C57ADC"/>
    <w:rPr>
      <w:color w:val="800080"/>
      <w:u w:val="single"/>
    </w:rPr>
  </w:style>
  <w:style w:type="character" w:customStyle="1" w:styleId="Ttulo2Char1">
    <w:name w:val="Título 2 Char1"/>
    <w:aliases w:val="Título 2 NUMERADO Char1"/>
    <w:uiPriority w:val="9"/>
    <w:semiHidden/>
    <w:rsid w:val="00C57ADC"/>
    <w:rPr>
      <w:rFonts w:ascii="Cambria" w:eastAsia="Times New Roman" w:hAnsi="Cambria" w:cs="Times New Roman"/>
      <w:b/>
      <w:bCs/>
      <w:color w:val="4F81BD"/>
      <w:sz w:val="26"/>
      <w:szCs w:val="26"/>
    </w:rPr>
  </w:style>
  <w:style w:type="paragraph" w:styleId="SemEspaamento">
    <w:name w:val="No Spacing"/>
    <w:link w:val="SemEspaamentoChar"/>
    <w:uiPriority w:val="1"/>
    <w:qFormat/>
    <w:rsid w:val="00C57ADC"/>
    <w:pPr>
      <w:spacing w:before="120" w:after="120" w:line="360" w:lineRule="auto"/>
    </w:pPr>
    <w:rPr>
      <w:rFonts w:ascii="Arial" w:hAnsi="Arial"/>
      <w:sz w:val="22"/>
      <w:szCs w:val="22"/>
      <w:lang w:eastAsia="en-US"/>
    </w:rPr>
  </w:style>
  <w:style w:type="character" w:styleId="nfase">
    <w:name w:val="Emphasis"/>
    <w:aliases w:val="Sem numeração"/>
    <w:uiPriority w:val="20"/>
    <w:qFormat/>
    <w:rsid w:val="00DC302E"/>
    <w:rPr>
      <w:i/>
      <w:iCs/>
    </w:rPr>
  </w:style>
  <w:style w:type="character" w:customStyle="1" w:styleId="Ttulo1Char1">
    <w:name w:val="Título 1 Char1"/>
    <w:aliases w:val="Título 1 - SHS Char1,Títuloy numerado Char1,Título 2_novo Char1"/>
    <w:uiPriority w:val="9"/>
    <w:rsid w:val="00DC302E"/>
    <w:rPr>
      <w:rFonts w:ascii="Cambria" w:eastAsia="Times New Roman" w:hAnsi="Cambria" w:cs="Times New Roman"/>
      <w:b/>
      <w:bCs/>
      <w:color w:val="365F91"/>
      <w:sz w:val="28"/>
      <w:szCs w:val="28"/>
    </w:rPr>
  </w:style>
  <w:style w:type="paragraph" w:styleId="Ttulo">
    <w:name w:val="Title"/>
    <w:basedOn w:val="Normal"/>
    <w:next w:val="Normal"/>
    <w:link w:val="TtuloChar"/>
    <w:uiPriority w:val="10"/>
    <w:qFormat/>
    <w:rsid w:val="00DC302E"/>
    <w:pPr>
      <w:spacing w:before="240" w:after="60"/>
      <w:ind w:firstLine="709"/>
      <w:jc w:val="center"/>
      <w:outlineLvl w:val="0"/>
    </w:pPr>
    <w:rPr>
      <w:rFonts w:ascii="Cambria" w:eastAsia="Times New Roman" w:hAnsi="Cambria"/>
      <w:b/>
      <w:bCs/>
      <w:kern w:val="28"/>
      <w:sz w:val="32"/>
      <w:szCs w:val="32"/>
      <w:lang w:eastAsia="pt-BR"/>
    </w:rPr>
  </w:style>
  <w:style w:type="character" w:customStyle="1" w:styleId="TtuloChar">
    <w:name w:val="Título Char"/>
    <w:basedOn w:val="Fontepargpadro"/>
    <w:link w:val="Ttulo"/>
    <w:uiPriority w:val="10"/>
    <w:rsid w:val="00DC302E"/>
    <w:rPr>
      <w:rFonts w:ascii="Cambria" w:eastAsia="Times New Roman" w:hAnsi="Cambria"/>
      <w:b/>
      <w:bCs/>
      <w:kern w:val="28"/>
      <w:sz w:val="32"/>
      <w:szCs w:val="32"/>
    </w:rPr>
  </w:style>
  <w:style w:type="paragraph" w:styleId="Subttulo">
    <w:name w:val="Subtitle"/>
    <w:basedOn w:val="Normal"/>
    <w:next w:val="Normal"/>
    <w:link w:val="SubttuloChar"/>
    <w:uiPriority w:val="11"/>
    <w:qFormat/>
    <w:rsid w:val="00DC302E"/>
    <w:pPr>
      <w:spacing w:after="60"/>
      <w:ind w:firstLine="709"/>
      <w:jc w:val="center"/>
      <w:outlineLvl w:val="1"/>
    </w:pPr>
    <w:rPr>
      <w:rFonts w:ascii="Cambria" w:eastAsia="Times New Roman" w:hAnsi="Cambria"/>
      <w:szCs w:val="24"/>
      <w:lang w:eastAsia="pt-BR"/>
    </w:rPr>
  </w:style>
  <w:style w:type="character" w:customStyle="1" w:styleId="SubttuloChar">
    <w:name w:val="Subtítulo Char"/>
    <w:basedOn w:val="Fontepargpadro"/>
    <w:link w:val="Subttulo"/>
    <w:uiPriority w:val="11"/>
    <w:rsid w:val="00DC302E"/>
    <w:rPr>
      <w:rFonts w:ascii="Cambria" w:eastAsia="Times New Roman" w:hAnsi="Cambria"/>
      <w:sz w:val="24"/>
      <w:szCs w:val="24"/>
    </w:rPr>
  </w:style>
  <w:style w:type="paragraph" w:styleId="CitaoIntensa">
    <w:name w:val="Intense Quote"/>
    <w:basedOn w:val="Normal"/>
    <w:next w:val="Normal"/>
    <w:link w:val="CitaoIntensaChar"/>
    <w:uiPriority w:val="30"/>
    <w:qFormat/>
    <w:rsid w:val="00DC302E"/>
    <w:pPr>
      <w:pBdr>
        <w:bottom w:val="single" w:sz="4" w:space="4" w:color="4F81BD"/>
      </w:pBdr>
      <w:spacing w:before="200" w:after="280"/>
      <w:ind w:left="936" w:right="936" w:firstLine="709"/>
    </w:pPr>
    <w:rPr>
      <w:rFonts w:eastAsia="Times New Roman"/>
      <w:b/>
      <w:bCs/>
      <w:i/>
      <w:iCs/>
      <w:color w:val="4F81BD"/>
      <w:szCs w:val="20"/>
      <w:lang w:eastAsia="pt-BR"/>
    </w:rPr>
  </w:style>
  <w:style w:type="character" w:customStyle="1" w:styleId="CitaoIntensaChar">
    <w:name w:val="Citação Intensa Char"/>
    <w:basedOn w:val="Fontepargpadro"/>
    <w:link w:val="CitaoIntensa"/>
    <w:uiPriority w:val="30"/>
    <w:rsid w:val="00DC302E"/>
    <w:rPr>
      <w:rFonts w:ascii="Arial" w:eastAsia="Times New Roman" w:hAnsi="Arial"/>
      <w:b/>
      <w:bCs/>
      <w:i/>
      <w:iCs/>
      <w:color w:val="4F81BD"/>
      <w:sz w:val="24"/>
    </w:rPr>
  </w:style>
  <w:style w:type="paragraph" w:customStyle="1" w:styleId="Estilo2">
    <w:name w:val="Estilo2"/>
    <w:basedOn w:val="SHS-Ttulo02"/>
    <w:qFormat/>
    <w:rsid w:val="00DC302E"/>
    <w:pPr>
      <w:widowControl/>
      <w:numPr>
        <w:ilvl w:val="0"/>
        <w:numId w:val="0"/>
      </w:numPr>
      <w:tabs>
        <w:tab w:val="num" w:pos="1566"/>
      </w:tabs>
      <w:spacing w:before="120" w:after="120"/>
      <w:ind w:left="1566" w:hanging="432"/>
    </w:pPr>
    <w:rPr>
      <w:rFonts w:cs="Times New Roman"/>
    </w:rPr>
  </w:style>
  <w:style w:type="paragraph" w:customStyle="1" w:styleId="LegendaBaixo">
    <w:name w:val="Legenda Baixo"/>
    <w:basedOn w:val="Legenda"/>
    <w:next w:val="Legenda"/>
    <w:autoRedefine/>
    <w:qFormat/>
    <w:rsid w:val="00DC302E"/>
    <w:pPr>
      <w:tabs>
        <w:tab w:val="left" w:pos="142"/>
      </w:tabs>
      <w:spacing w:before="0" w:after="0"/>
      <w:contextualSpacing/>
    </w:pPr>
    <w:rPr>
      <w:rFonts w:eastAsia="Calibri" w:cs="Times New Roman"/>
      <w:sz w:val="22"/>
      <w:szCs w:val="22"/>
      <w:lang w:val="pt-BR" w:eastAsia="pt-BR"/>
    </w:rPr>
  </w:style>
  <w:style w:type="character" w:styleId="nfaseIntensa">
    <w:name w:val="Intense Emphasis"/>
    <w:uiPriority w:val="21"/>
    <w:qFormat/>
    <w:rsid w:val="00DC302E"/>
    <w:rPr>
      <w:b/>
      <w:bCs/>
      <w:i/>
      <w:iCs/>
      <w:color w:val="4F81BD"/>
    </w:rPr>
  </w:style>
  <w:style w:type="character" w:styleId="RefernciaSutil">
    <w:name w:val="Subtle Reference"/>
    <w:uiPriority w:val="31"/>
    <w:qFormat/>
    <w:rsid w:val="00DC302E"/>
    <w:rPr>
      <w:smallCaps/>
      <w:color w:val="C0504D"/>
      <w:u w:val="single"/>
    </w:rPr>
  </w:style>
  <w:style w:type="character" w:styleId="RefernciaIntensa">
    <w:name w:val="Intense Reference"/>
    <w:uiPriority w:val="32"/>
    <w:qFormat/>
    <w:rsid w:val="00DC302E"/>
    <w:rPr>
      <w:b/>
      <w:bCs/>
      <w:smallCaps/>
      <w:color w:val="C0504D"/>
      <w:spacing w:val="5"/>
      <w:u w:val="single"/>
    </w:rPr>
  </w:style>
  <w:style w:type="character" w:styleId="TtulodoLivro">
    <w:name w:val="Book Title"/>
    <w:uiPriority w:val="33"/>
    <w:qFormat/>
    <w:rsid w:val="00DC302E"/>
    <w:rPr>
      <w:b/>
      <w:bCs/>
      <w:smallCaps/>
      <w:spacing w:val="5"/>
    </w:rPr>
  </w:style>
  <w:style w:type="paragraph" w:customStyle="1" w:styleId="tabela-cab">
    <w:name w:val="tabela-cab"/>
    <w:basedOn w:val="Normal"/>
    <w:link w:val="tabela-cabChar"/>
    <w:qFormat/>
    <w:rsid w:val="00601752"/>
    <w:pPr>
      <w:spacing w:before="60" w:after="60" w:line="240" w:lineRule="auto"/>
      <w:jc w:val="center"/>
    </w:pPr>
    <w:rPr>
      <w:rFonts w:eastAsia="Times New Roman" w:cs="Arial"/>
      <w:b/>
      <w:color w:val="000000"/>
      <w:sz w:val="20"/>
      <w:szCs w:val="20"/>
      <w:lang w:eastAsia="pt-BR"/>
    </w:rPr>
  </w:style>
  <w:style w:type="character" w:customStyle="1" w:styleId="tabela-cabChar">
    <w:name w:val="tabela-cab Char"/>
    <w:basedOn w:val="Fontepargpadro"/>
    <w:link w:val="tabela-cab"/>
    <w:rsid w:val="00601752"/>
    <w:rPr>
      <w:rFonts w:ascii="Arial" w:eastAsia="Times New Roman" w:hAnsi="Arial" w:cs="Arial"/>
      <w:b/>
      <w:color w:val="000000"/>
    </w:rPr>
  </w:style>
  <w:style w:type="paragraph" w:customStyle="1" w:styleId="Legendas">
    <w:name w:val="Legendas"/>
    <w:basedOn w:val="Normal"/>
    <w:link w:val="LegendasChar"/>
    <w:qFormat/>
    <w:rsid w:val="00796D32"/>
    <w:pPr>
      <w:spacing w:line="240" w:lineRule="auto"/>
      <w:jc w:val="center"/>
    </w:pPr>
    <w:rPr>
      <w:rFonts w:cs="Arial"/>
      <w:b/>
      <w:bCs/>
      <w:sz w:val="22"/>
    </w:rPr>
  </w:style>
  <w:style w:type="character" w:customStyle="1" w:styleId="LegendasChar">
    <w:name w:val="Legendas Char"/>
    <w:link w:val="Legendas"/>
    <w:locked/>
    <w:rsid w:val="00796D32"/>
    <w:rPr>
      <w:rFonts w:ascii="Arial" w:hAnsi="Arial" w:cs="Arial"/>
      <w:b/>
      <w:bCs/>
      <w:sz w:val="22"/>
      <w:szCs w:val="22"/>
      <w:lang w:eastAsia="en-US"/>
    </w:rPr>
  </w:style>
  <w:style w:type="paragraph" w:customStyle="1" w:styleId="Quadro1">
    <w:name w:val="Quadro1"/>
    <w:basedOn w:val="Normal"/>
    <w:autoRedefine/>
    <w:qFormat/>
    <w:rsid w:val="00796D32"/>
    <w:pPr>
      <w:tabs>
        <w:tab w:val="left" w:pos="2418"/>
      </w:tabs>
      <w:spacing w:line="240" w:lineRule="auto"/>
    </w:pPr>
    <w:rPr>
      <w:rFonts w:eastAsia="Batang" w:cs="Arial"/>
      <w:sz w:val="20"/>
      <w:szCs w:val="20"/>
      <w:lang w:eastAsia="pt-BR"/>
    </w:rPr>
  </w:style>
  <w:style w:type="paragraph" w:customStyle="1" w:styleId="N0Figura">
    <w:name w:val="N0 Figura"/>
    <w:basedOn w:val="Normal"/>
    <w:next w:val="Legenda"/>
    <w:qFormat/>
    <w:rsid w:val="00796D32"/>
    <w:pPr>
      <w:jc w:val="center"/>
    </w:pPr>
    <w:rPr>
      <w:rFonts w:cs="Arial"/>
      <w:noProof/>
      <w:szCs w:val="24"/>
      <w:lang w:eastAsia="pt-BR"/>
    </w:rPr>
  </w:style>
  <w:style w:type="paragraph" w:customStyle="1" w:styleId="N0Fonte">
    <w:name w:val="N0 Fonte"/>
    <w:basedOn w:val="Normal"/>
    <w:qFormat/>
    <w:rsid w:val="00796D32"/>
    <w:pPr>
      <w:spacing w:after="240" w:line="276" w:lineRule="auto"/>
      <w:ind w:left="709"/>
    </w:pPr>
    <w:rPr>
      <w:rFonts w:cs="Arial"/>
      <w:sz w:val="20"/>
      <w:szCs w:val="20"/>
    </w:rPr>
  </w:style>
  <w:style w:type="paragraph" w:customStyle="1" w:styleId="normal2">
    <w:name w:val="normal2"/>
    <w:basedOn w:val="Normal"/>
    <w:qFormat/>
    <w:rsid w:val="00796D32"/>
    <w:pPr>
      <w:spacing w:before="100" w:beforeAutospacing="1" w:after="100" w:afterAutospacing="1" w:line="240" w:lineRule="auto"/>
      <w:jc w:val="center"/>
    </w:pPr>
    <w:rPr>
      <w:rFonts w:eastAsia="Times New Roman" w:cs="Arial"/>
      <w:b/>
      <w:bCs/>
      <w:szCs w:val="24"/>
      <w:lang w:eastAsia="pt-BR"/>
    </w:rPr>
  </w:style>
  <w:style w:type="character" w:customStyle="1" w:styleId="SemEspaamentoChar">
    <w:name w:val="Sem Espaçamento Char"/>
    <w:link w:val="SemEspaamento"/>
    <w:uiPriority w:val="1"/>
    <w:locked/>
    <w:rsid w:val="00796D32"/>
    <w:rPr>
      <w:rFonts w:ascii="Arial" w:hAnsi="Arial"/>
      <w:sz w:val="22"/>
      <w:szCs w:val="22"/>
      <w:lang w:eastAsia="en-US"/>
    </w:rPr>
  </w:style>
  <w:style w:type="character" w:customStyle="1" w:styleId="fontstyle01">
    <w:name w:val="fontstyle01"/>
    <w:basedOn w:val="Fontepargpadro"/>
    <w:rsid w:val="00983E19"/>
    <w:rPr>
      <w:rFonts w:ascii="Helvetica-Bold" w:hAnsi="Helvetica-Bold" w:hint="default"/>
      <w:b/>
      <w:bCs/>
      <w:i w:val="0"/>
      <w:iCs w:val="0"/>
      <w:color w:val="000000"/>
      <w:sz w:val="20"/>
      <w:szCs w:val="20"/>
    </w:rPr>
  </w:style>
  <w:style w:type="character" w:customStyle="1" w:styleId="fontstyle21">
    <w:name w:val="fontstyle21"/>
    <w:basedOn w:val="Fontepargpadro"/>
    <w:rsid w:val="00956738"/>
    <w:rPr>
      <w:rFonts w:ascii="Arial" w:hAnsi="Arial" w:cs="Arial" w:hint="default"/>
      <w:b w:val="0"/>
      <w:bCs w:val="0"/>
      <w:i w:val="0"/>
      <w:iCs w:val="0"/>
      <w:color w:val="000000"/>
      <w:sz w:val="24"/>
      <w:szCs w:val="24"/>
    </w:rPr>
  </w:style>
  <w:style w:type="character" w:customStyle="1" w:styleId="t1">
    <w:name w:val="t1"/>
    <w:basedOn w:val="Fontepargpadro"/>
    <w:rsid w:val="00D62FE7"/>
  </w:style>
  <w:style w:type="table" w:customStyle="1" w:styleId="TabeladeGrade4-nfase11">
    <w:name w:val="Tabela de Grade 4 - Ênfase 11"/>
    <w:basedOn w:val="Tabelanormal"/>
    <w:uiPriority w:val="49"/>
    <w:rsid w:val="00193B74"/>
    <w:rPr>
      <w:rFonts w:ascii="Arial" w:hAnsi="Arial" w:cs="Arial"/>
      <w:color w:val="00B0F0"/>
      <w:sz w:val="22"/>
      <w:szCs w:val="22"/>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FonteChar">
    <w:name w:val="Fonte Char"/>
    <w:link w:val="Fonte"/>
    <w:locked/>
    <w:rsid w:val="00193B74"/>
    <w:rPr>
      <w:rFonts w:ascii="Arial" w:eastAsia="Times New Roman" w:hAnsi="Arial"/>
      <w:sz w:val="22"/>
      <w:szCs w:val="22"/>
    </w:rPr>
  </w:style>
  <w:style w:type="character" w:customStyle="1" w:styleId="TextodenotadefimChar">
    <w:name w:val="Texto de nota de fim Char"/>
    <w:basedOn w:val="Fontepargpadro"/>
    <w:link w:val="Textodenotadefim"/>
    <w:uiPriority w:val="99"/>
    <w:semiHidden/>
    <w:rsid w:val="00193B74"/>
    <w:rPr>
      <w:rFonts w:ascii="Arial" w:hAnsi="Arial"/>
      <w:lang w:val="x-none" w:eastAsia="en-US"/>
    </w:rPr>
  </w:style>
  <w:style w:type="paragraph" w:styleId="Textodenotadefim">
    <w:name w:val="endnote text"/>
    <w:basedOn w:val="Normal"/>
    <w:link w:val="TextodenotadefimChar"/>
    <w:uiPriority w:val="99"/>
    <w:semiHidden/>
    <w:unhideWhenUsed/>
    <w:rsid w:val="00193B74"/>
    <w:pPr>
      <w:jc w:val="left"/>
    </w:pPr>
    <w:rPr>
      <w:sz w:val="20"/>
      <w:szCs w:val="20"/>
      <w:lang w:val="x-none"/>
    </w:rPr>
  </w:style>
  <w:style w:type="character" w:customStyle="1" w:styleId="TextodenotadefimChar1">
    <w:name w:val="Texto de nota de fim Char1"/>
    <w:basedOn w:val="Fontepargpadro"/>
    <w:uiPriority w:val="99"/>
    <w:semiHidden/>
    <w:rsid w:val="00193B74"/>
    <w:rPr>
      <w:rFonts w:ascii="Arial" w:hAnsi="Arial"/>
      <w:lang w:eastAsia="en-US"/>
    </w:rPr>
  </w:style>
  <w:style w:type="table" w:customStyle="1" w:styleId="SombreamentoClaro-nfase11">
    <w:name w:val="Sombreamento Claro - Ênfase 11"/>
    <w:basedOn w:val="Tabelanormal"/>
    <w:uiPriority w:val="60"/>
    <w:rsid w:val="00193B74"/>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xl25">
    <w:name w:val="xl25"/>
    <w:basedOn w:val="Normal"/>
    <w:rsid w:val="00193B74"/>
    <w:pPr>
      <w:pBdr>
        <w:bottom w:val="single" w:sz="4" w:space="0" w:color="auto"/>
      </w:pBdr>
      <w:spacing w:before="100" w:beforeAutospacing="1" w:after="100" w:afterAutospacing="1" w:line="240" w:lineRule="auto"/>
      <w:jc w:val="left"/>
    </w:pPr>
    <w:rPr>
      <w:rFonts w:ascii="Times New Roman" w:eastAsia="Times New Roman" w:hAnsi="Times New Roman"/>
      <w:szCs w:val="24"/>
      <w:lang w:eastAsia="pt-BR"/>
    </w:rPr>
  </w:style>
  <w:style w:type="paragraph" w:customStyle="1" w:styleId="xl31">
    <w:name w:val="xl31"/>
    <w:basedOn w:val="Normal"/>
    <w:rsid w:val="00193B74"/>
    <w:pPr>
      <w:spacing w:before="100" w:beforeAutospacing="1" w:after="100" w:afterAutospacing="1" w:line="240" w:lineRule="auto"/>
      <w:jc w:val="center"/>
    </w:pPr>
    <w:rPr>
      <w:rFonts w:eastAsia="Times New Roman" w:cs="Arial"/>
      <w:b/>
      <w:bCs/>
      <w:szCs w:val="24"/>
      <w:lang w:eastAsia="pt-BR"/>
    </w:rPr>
  </w:style>
  <w:style w:type="character" w:customStyle="1" w:styleId="tema">
    <w:name w:val="tema"/>
    <w:basedOn w:val="Fontepargpadro"/>
    <w:rsid w:val="00193B74"/>
  </w:style>
  <w:style w:type="paragraph" w:customStyle="1" w:styleId="CabealhodoSumrio1">
    <w:name w:val="Cabeçalho do Sumário1"/>
    <w:basedOn w:val="Ttulo1"/>
    <w:next w:val="Normal"/>
    <w:rsid w:val="00193B74"/>
    <w:pPr>
      <w:spacing w:line="276" w:lineRule="auto"/>
      <w:jc w:val="left"/>
      <w:outlineLvl w:val="9"/>
    </w:pPr>
    <w:rPr>
      <w:rFonts w:eastAsia="Calibri" w:cs="Times New Roman"/>
      <w:lang w:eastAsia="pt-BR"/>
    </w:rPr>
  </w:style>
  <w:style w:type="character" w:customStyle="1" w:styleId="nfaseSutil1">
    <w:name w:val="Ênfase Sutil1"/>
    <w:rsid w:val="00193B74"/>
    <w:rPr>
      <w:rFonts w:ascii="Arial" w:hAnsi="Arial"/>
      <w:color w:val="808080"/>
      <w:sz w:val="24"/>
      <w:u w:val="single"/>
    </w:rPr>
  </w:style>
  <w:style w:type="paragraph" w:customStyle="1" w:styleId="SemEspaamento1">
    <w:name w:val="Sem Espaçamento1"/>
    <w:basedOn w:val="Normal"/>
    <w:rsid w:val="00193B74"/>
    <w:pPr>
      <w:spacing w:line="240" w:lineRule="auto"/>
      <w:ind w:firstLine="709"/>
    </w:pPr>
    <w:rPr>
      <w:szCs w:val="20"/>
      <w:lang w:eastAsia="pt-BR"/>
    </w:rPr>
  </w:style>
  <w:style w:type="paragraph" w:customStyle="1" w:styleId="Citao1">
    <w:name w:val="Citação1"/>
    <w:basedOn w:val="Normal"/>
    <w:next w:val="Normal"/>
    <w:link w:val="QuoteChar"/>
    <w:rsid w:val="00193B74"/>
    <w:pPr>
      <w:ind w:firstLine="709"/>
    </w:pPr>
    <w:rPr>
      <w:i/>
      <w:iCs/>
      <w:color w:val="000000"/>
      <w:szCs w:val="20"/>
      <w:lang w:val="x-none" w:eastAsia="x-none"/>
    </w:rPr>
  </w:style>
  <w:style w:type="character" w:customStyle="1" w:styleId="QuoteChar">
    <w:name w:val="Quote Char"/>
    <w:link w:val="Citao1"/>
    <w:locked/>
    <w:rsid w:val="00193B74"/>
    <w:rPr>
      <w:rFonts w:ascii="Arial" w:hAnsi="Arial"/>
      <w:i/>
      <w:iCs/>
      <w:color w:val="000000"/>
      <w:sz w:val="24"/>
      <w:lang w:val="x-none" w:eastAsia="x-none"/>
    </w:rPr>
  </w:style>
  <w:style w:type="paragraph" w:customStyle="1" w:styleId="CitaoIntensa1">
    <w:name w:val="Citação Intensa1"/>
    <w:basedOn w:val="Normal"/>
    <w:next w:val="Normal"/>
    <w:link w:val="IntenseQuoteChar"/>
    <w:rsid w:val="00193B74"/>
    <w:pPr>
      <w:pBdr>
        <w:bottom w:val="single" w:sz="4" w:space="4" w:color="4F81BD"/>
      </w:pBdr>
      <w:spacing w:before="200" w:after="280"/>
      <w:ind w:left="936" w:right="936" w:firstLine="709"/>
    </w:pPr>
    <w:rPr>
      <w:b/>
      <w:bCs/>
      <w:i/>
      <w:iCs/>
      <w:color w:val="4F81BD"/>
      <w:szCs w:val="20"/>
      <w:lang w:val="x-none" w:eastAsia="x-none"/>
    </w:rPr>
  </w:style>
  <w:style w:type="character" w:customStyle="1" w:styleId="IntenseQuoteChar">
    <w:name w:val="Intense Quote Char"/>
    <w:link w:val="CitaoIntensa1"/>
    <w:locked/>
    <w:rsid w:val="00193B74"/>
    <w:rPr>
      <w:rFonts w:ascii="Arial" w:hAnsi="Arial"/>
      <w:b/>
      <w:bCs/>
      <w:i/>
      <w:iCs/>
      <w:color w:val="4F81BD"/>
      <w:sz w:val="24"/>
      <w:lang w:val="x-none" w:eastAsia="x-none"/>
    </w:rPr>
  </w:style>
  <w:style w:type="character" w:customStyle="1" w:styleId="nfaseIntensa1">
    <w:name w:val="Ênfase Intensa1"/>
    <w:rsid w:val="00193B74"/>
    <w:rPr>
      <w:b/>
      <w:i/>
      <w:color w:val="4F81BD"/>
    </w:rPr>
  </w:style>
  <w:style w:type="character" w:customStyle="1" w:styleId="RefernciaSutil1">
    <w:name w:val="Referência Sutil1"/>
    <w:rsid w:val="00193B74"/>
    <w:rPr>
      <w:smallCaps/>
      <w:color w:val="C0504D"/>
      <w:u w:val="single"/>
    </w:rPr>
  </w:style>
  <w:style w:type="character" w:customStyle="1" w:styleId="RefernciaIntensa1">
    <w:name w:val="Referência Intensa1"/>
    <w:rsid w:val="00193B74"/>
    <w:rPr>
      <w:b/>
      <w:smallCaps/>
      <w:color w:val="C0504D"/>
      <w:spacing w:val="5"/>
      <w:u w:val="single"/>
    </w:rPr>
  </w:style>
  <w:style w:type="character" w:customStyle="1" w:styleId="TtulodoLivro1">
    <w:name w:val="Título do Livro1"/>
    <w:rsid w:val="00193B74"/>
    <w:rPr>
      <w:b/>
      <w:smallCaps/>
      <w:spacing w:val="5"/>
    </w:rPr>
  </w:style>
  <w:style w:type="paragraph" w:customStyle="1" w:styleId="Estilo1">
    <w:name w:val="Estilo1"/>
    <w:basedOn w:val="PargrafodaLista"/>
    <w:link w:val="Estilo1Char"/>
    <w:rsid w:val="00193B74"/>
    <w:pPr>
      <w:tabs>
        <w:tab w:val="left" w:pos="891"/>
      </w:tabs>
      <w:spacing w:before="240" w:after="200" w:line="240" w:lineRule="auto"/>
      <w:ind w:left="1069" w:hanging="360"/>
    </w:pPr>
    <w:rPr>
      <w:sz w:val="20"/>
    </w:rPr>
  </w:style>
  <w:style w:type="character" w:customStyle="1" w:styleId="Estilo1Char">
    <w:name w:val="Estilo1 Char"/>
    <w:link w:val="Estilo1"/>
    <w:rsid w:val="00193B74"/>
    <w:rPr>
      <w:rFonts w:ascii="Arial" w:eastAsia="Times New Roman" w:hAnsi="Arial" w:cs="Arial"/>
    </w:rPr>
  </w:style>
  <w:style w:type="paragraph" w:customStyle="1" w:styleId="artigo">
    <w:name w:val="artigo"/>
    <w:basedOn w:val="Normal"/>
    <w:rsid w:val="00193B74"/>
    <w:pPr>
      <w:spacing w:before="100" w:beforeAutospacing="1" w:after="100" w:afterAutospacing="1" w:line="240" w:lineRule="auto"/>
      <w:ind w:firstLine="709"/>
    </w:pPr>
    <w:rPr>
      <w:rFonts w:ascii="Times New Roman" w:eastAsia="Times New Roman" w:hAnsi="Times New Roman"/>
      <w:szCs w:val="24"/>
      <w:lang w:eastAsia="pt-BR"/>
    </w:rPr>
  </w:style>
  <w:style w:type="paragraph" w:customStyle="1" w:styleId="font6">
    <w:name w:val="font6"/>
    <w:basedOn w:val="Normal"/>
    <w:uiPriority w:val="99"/>
    <w:rsid w:val="00193B74"/>
    <w:pPr>
      <w:spacing w:before="100" w:beforeAutospacing="1" w:after="100" w:afterAutospacing="1" w:line="240" w:lineRule="auto"/>
      <w:ind w:firstLine="709"/>
    </w:pPr>
    <w:rPr>
      <w:rFonts w:eastAsia="Times New Roman" w:cs="Arial"/>
      <w:color w:val="000000"/>
      <w:sz w:val="20"/>
      <w:szCs w:val="20"/>
      <w:lang w:eastAsia="pt-BR"/>
    </w:rPr>
  </w:style>
  <w:style w:type="paragraph" w:customStyle="1" w:styleId="font5">
    <w:name w:val="font5"/>
    <w:basedOn w:val="Normal"/>
    <w:uiPriority w:val="99"/>
    <w:rsid w:val="00193B74"/>
    <w:pPr>
      <w:spacing w:before="100" w:beforeAutospacing="1" w:after="100" w:afterAutospacing="1" w:line="240" w:lineRule="auto"/>
      <w:ind w:firstLine="709"/>
    </w:pPr>
    <w:rPr>
      <w:rFonts w:eastAsia="Times New Roman" w:cs="Arial"/>
      <w:color w:val="000000"/>
      <w:sz w:val="20"/>
      <w:szCs w:val="20"/>
      <w:lang w:eastAsia="pt-BR"/>
    </w:rPr>
  </w:style>
  <w:style w:type="paragraph" w:customStyle="1" w:styleId="font7">
    <w:name w:val="font7"/>
    <w:basedOn w:val="Normal"/>
    <w:uiPriority w:val="99"/>
    <w:rsid w:val="00193B74"/>
    <w:pPr>
      <w:spacing w:before="100" w:beforeAutospacing="1" w:after="100" w:afterAutospacing="1" w:line="240" w:lineRule="auto"/>
      <w:ind w:firstLine="709"/>
    </w:pPr>
    <w:rPr>
      <w:rFonts w:eastAsia="Times New Roman" w:cs="Arial"/>
      <w:b/>
      <w:bCs/>
      <w:color w:val="000000"/>
      <w:sz w:val="18"/>
      <w:szCs w:val="18"/>
      <w:lang w:eastAsia="pt-BR"/>
    </w:rPr>
  </w:style>
  <w:style w:type="paragraph" w:customStyle="1" w:styleId="font8">
    <w:name w:val="font8"/>
    <w:basedOn w:val="Normal"/>
    <w:uiPriority w:val="99"/>
    <w:rsid w:val="00193B74"/>
    <w:pPr>
      <w:spacing w:before="100" w:beforeAutospacing="1" w:after="100" w:afterAutospacing="1" w:line="240" w:lineRule="auto"/>
      <w:ind w:firstLine="709"/>
    </w:pPr>
    <w:rPr>
      <w:rFonts w:eastAsia="Times New Roman" w:cs="Arial"/>
      <w:color w:val="000000"/>
      <w:sz w:val="19"/>
      <w:szCs w:val="19"/>
      <w:lang w:eastAsia="pt-BR"/>
    </w:rPr>
  </w:style>
  <w:style w:type="paragraph" w:customStyle="1" w:styleId="xl65">
    <w:name w:val="xl65"/>
    <w:basedOn w:val="Normal"/>
    <w:uiPriority w:val="99"/>
    <w:rsid w:val="00193B74"/>
    <w:pPr>
      <w:pBdr>
        <w:left w:val="single" w:sz="8" w:space="0" w:color="auto"/>
        <w:bottom w:val="single" w:sz="8" w:space="0" w:color="auto"/>
        <w:right w:val="single" w:sz="8" w:space="0" w:color="auto"/>
      </w:pBdr>
      <w:spacing w:before="100" w:beforeAutospacing="1" w:after="100" w:afterAutospacing="1" w:line="240" w:lineRule="auto"/>
      <w:ind w:firstLine="709"/>
      <w:jc w:val="center"/>
    </w:pPr>
    <w:rPr>
      <w:rFonts w:eastAsia="Times New Roman" w:cs="Arial"/>
      <w:color w:val="000000"/>
      <w:sz w:val="20"/>
      <w:szCs w:val="20"/>
      <w:lang w:eastAsia="pt-BR"/>
    </w:rPr>
  </w:style>
  <w:style w:type="paragraph" w:customStyle="1" w:styleId="xl66">
    <w:name w:val="xl66"/>
    <w:basedOn w:val="Normal"/>
    <w:uiPriority w:val="99"/>
    <w:rsid w:val="00193B74"/>
    <w:pPr>
      <w:pBdr>
        <w:top w:val="single" w:sz="8" w:space="0" w:color="auto"/>
        <w:left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cs="Arial"/>
      <w:b/>
      <w:bCs/>
      <w:color w:val="000000"/>
      <w:sz w:val="20"/>
      <w:szCs w:val="20"/>
      <w:lang w:eastAsia="pt-BR"/>
    </w:rPr>
  </w:style>
  <w:style w:type="paragraph" w:customStyle="1" w:styleId="xl67">
    <w:name w:val="xl67"/>
    <w:basedOn w:val="Normal"/>
    <w:uiPriority w:val="99"/>
    <w:rsid w:val="00193B74"/>
    <w:pPr>
      <w:pBdr>
        <w:left w:val="single" w:sz="8" w:space="0" w:color="auto"/>
        <w:bottom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cs="Arial"/>
      <w:b/>
      <w:bCs/>
      <w:color w:val="000000"/>
      <w:sz w:val="20"/>
      <w:szCs w:val="20"/>
      <w:lang w:eastAsia="pt-BR"/>
    </w:rPr>
  </w:style>
  <w:style w:type="paragraph" w:customStyle="1" w:styleId="xl68">
    <w:name w:val="xl68"/>
    <w:basedOn w:val="Normal"/>
    <w:uiPriority w:val="99"/>
    <w:rsid w:val="00193B74"/>
    <w:pPr>
      <w:pBdr>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cs="Arial"/>
      <w:color w:val="000000"/>
      <w:sz w:val="20"/>
      <w:szCs w:val="20"/>
      <w:lang w:eastAsia="pt-BR"/>
    </w:rPr>
  </w:style>
  <w:style w:type="paragraph" w:customStyle="1" w:styleId="xl69">
    <w:name w:val="xl69"/>
    <w:basedOn w:val="Normal"/>
    <w:uiPriority w:val="99"/>
    <w:rsid w:val="00193B74"/>
    <w:pPr>
      <w:pBdr>
        <w:bottom w:val="single" w:sz="8" w:space="0" w:color="auto"/>
        <w:right w:val="single" w:sz="8" w:space="0" w:color="auto"/>
      </w:pBdr>
      <w:spacing w:before="100" w:beforeAutospacing="1" w:after="100" w:afterAutospacing="1" w:line="240" w:lineRule="auto"/>
      <w:ind w:firstLine="709"/>
      <w:jc w:val="center"/>
    </w:pPr>
    <w:rPr>
      <w:rFonts w:eastAsia="Times New Roman" w:cs="Arial"/>
      <w:color w:val="000000"/>
      <w:sz w:val="20"/>
      <w:szCs w:val="20"/>
      <w:lang w:eastAsia="pt-BR"/>
    </w:rPr>
  </w:style>
  <w:style w:type="paragraph" w:customStyle="1" w:styleId="xl70">
    <w:name w:val="xl70"/>
    <w:basedOn w:val="Normal"/>
    <w:uiPriority w:val="99"/>
    <w:rsid w:val="00193B74"/>
    <w:pPr>
      <w:pBdr>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cs="Arial"/>
      <w:color w:val="000000"/>
      <w:sz w:val="20"/>
      <w:szCs w:val="20"/>
      <w:lang w:eastAsia="pt-BR"/>
    </w:rPr>
  </w:style>
  <w:style w:type="paragraph" w:customStyle="1" w:styleId="xl71">
    <w:name w:val="xl71"/>
    <w:basedOn w:val="Normal"/>
    <w:uiPriority w:val="99"/>
    <w:rsid w:val="00193B74"/>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709"/>
      <w:jc w:val="center"/>
    </w:pPr>
    <w:rPr>
      <w:rFonts w:eastAsia="Times New Roman" w:cs="Arial"/>
      <w:color w:val="000000"/>
      <w:sz w:val="20"/>
      <w:szCs w:val="20"/>
      <w:lang w:eastAsia="pt-BR"/>
    </w:rPr>
  </w:style>
  <w:style w:type="paragraph" w:customStyle="1" w:styleId="xl72">
    <w:name w:val="xl72"/>
    <w:basedOn w:val="Normal"/>
    <w:uiPriority w:val="99"/>
    <w:rsid w:val="00193B74"/>
    <w:pPr>
      <w:pBdr>
        <w:top w:val="single" w:sz="8" w:space="0" w:color="auto"/>
        <w:bottom w:val="single" w:sz="8" w:space="0" w:color="auto"/>
        <w:right w:val="single" w:sz="8" w:space="0" w:color="auto"/>
      </w:pBdr>
      <w:spacing w:before="100" w:beforeAutospacing="1" w:after="100" w:afterAutospacing="1" w:line="240" w:lineRule="auto"/>
      <w:ind w:firstLine="709"/>
      <w:jc w:val="center"/>
    </w:pPr>
    <w:rPr>
      <w:rFonts w:eastAsia="Times New Roman" w:cs="Arial"/>
      <w:color w:val="000000"/>
      <w:sz w:val="20"/>
      <w:szCs w:val="20"/>
      <w:lang w:eastAsia="pt-BR"/>
    </w:rPr>
  </w:style>
  <w:style w:type="paragraph" w:customStyle="1" w:styleId="xl73">
    <w:name w:val="xl73"/>
    <w:basedOn w:val="Normal"/>
    <w:uiPriority w:val="99"/>
    <w:rsid w:val="00193B74"/>
    <w:pPr>
      <w:pBdr>
        <w:top w:val="single" w:sz="8" w:space="0" w:color="auto"/>
        <w:bottom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cs="Arial"/>
      <w:color w:val="000000"/>
      <w:sz w:val="20"/>
      <w:szCs w:val="20"/>
      <w:lang w:eastAsia="pt-BR"/>
    </w:rPr>
  </w:style>
  <w:style w:type="paragraph" w:customStyle="1" w:styleId="xl74">
    <w:name w:val="xl74"/>
    <w:basedOn w:val="Normal"/>
    <w:uiPriority w:val="99"/>
    <w:rsid w:val="00193B74"/>
    <w:pPr>
      <w:pBdr>
        <w:bottom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cs="Arial"/>
      <w:color w:val="000000"/>
      <w:sz w:val="20"/>
      <w:szCs w:val="20"/>
      <w:lang w:eastAsia="pt-BR"/>
    </w:rPr>
  </w:style>
  <w:style w:type="paragraph" w:customStyle="1" w:styleId="xl75">
    <w:name w:val="xl75"/>
    <w:basedOn w:val="Normal"/>
    <w:uiPriority w:val="99"/>
    <w:rsid w:val="00193B74"/>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709"/>
    </w:pPr>
    <w:rPr>
      <w:rFonts w:eastAsia="Times New Roman" w:cs="Arial"/>
      <w:sz w:val="20"/>
      <w:szCs w:val="20"/>
      <w:lang w:eastAsia="pt-BR"/>
    </w:rPr>
  </w:style>
  <w:style w:type="paragraph" w:customStyle="1" w:styleId="xl76">
    <w:name w:val="xl76"/>
    <w:basedOn w:val="Normal"/>
    <w:uiPriority w:val="99"/>
    <w:rsid w:val="00193B74"/>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709"/>
    </w:pPr>
    <w:rPr>
      <w:rFonts w:eastAsia="Times New Roman" w:cs="Arial"/>
      <w:sz w:val="20"/>
      <w:szCs w:val="20"/>
      <w:lang w:eastAsia="pt-BR"/>
    </w:rPr>
  </w:style>
  <w:style w:type="paragraph" w:customStyle="1" w:styleId="xl77">
    <w:name w:val="xl77"/>
    <w:basedOn w:val="Normal"/>
    <w:uiPriority w:val="99"/>
    <w:rsid w:val="00193B74"/>
    <w:pPr>
      <w:spacing w:before="100" w:beforeAutospacing="1" w:after="100" w:afterAutospacing="1" w:line="240" w:lineRule="auto"/>
      <w:ind w:firstLine="709"/>
      <w:jc w:val="center"/>
    </w:pPr>
    <w:rPr>
      <w:rFonts w:eastAsia="Times New Roman" w:cs="Arial"/>
      <w:sz w:val="18"/>
      <w:szCs w:val="18"/>
      <w:lang w:eastAsia="pt-BR"/>
    </w:rPr>
  </w:style>
  <w:style w:type="paragraph" w:customStyle="1" w:styleId="xl78">
    <w:name w:val="xl78"/>
    <w:basedOn w:val="Normal"/>
    <w:uiPriority w:val="99"/>
    <w:rsid w:val="00193B74"/>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709"/>
    </w:pPr>
    <w:rPr>
      <w:rFonts w:eastAsia="Times New Roman" w:cs="Arial"/>
      <w:sz w:val="20"/>
      <w:szCs w:val="20"/>
      <w:lang w:eastAsia="pt-BR"/>
    </w:rPr>
  </w:style>
  <w:style w:type="paragraph" w:customStyle="1" w:styleId="xl79">
    <w:name w:val="xl79"/>
    <w:basedOn w:val="Normal"/>
    <w:uiPriority w:val="99"/>
    <w:rsid w:val="00193B74"/>
    <w:pPr>
      <w:pBdr>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cs="Arial"/>
      <w:sz w:val="20"/>
      <w:szCs w:val="20"/>
      <w:lang w:eastAsia="pt-BR"/>
    </w:rPr>
  </w:style>
  <w:style w:type="paragraph" w:customStyle="1" w:styleId="xl80">
    <w:name w:val="xl80"/>
    <w:basedOn w:val="Normal"/>
    <w:uiPriority w:val="99"/>
    <w:rsid w:val="00193B74"/>
    <w:pPr>
      <w:pBdr>
        <w:bottom w:val="single" w:sz="8" w:space="0" w:color="auto"/>
        <w:right w:val="single" w:sz="8" w:space="0" w:color="auto"/>
      </w:pBdr>
      <w:spacing w:before="100" w:beforeAutospacing="1" w:after="100" w:afterAutospacing="1" w:line="240" w:lineRule="auto"/>
      <w:ind w:firstLine="709"/>
      <w:jc w:val="center"/>
    </w:pPr>
    <w:rPr>
      <w:rFonts w:eastAsia="Times New Roman" w:cs="Arial"/>
      <w:sz w:val="20"/>
      <w:szCs w:val="20"/>
      <w:lang w:eastAsia="pt-BR"/>
    </w:rPr>
  </w:style>
  <w:style w:type="paragraph" w:customStyle="1" w:styleId="xl81">
    <w:name w:val="xl81"/>
    <w:basedOn w:val="Normal"/>
    <w:uiPriority w:val="99"/>
    <w:rsid w:val="00193B74"/>
    <w:pPr>
      <w:pBdr>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cs="Arial"/>
      <w:sz w:val="20"/>
      <w:szCs w:val="20"/>
      <w:lang w:eastAsia="pt-BR"/>
    </w:rPr>
  </w:style>
  <w:style w:type="paragraph" w:customStyle="1" w:styleId="xl82">
    <w:name w:val="xl82"/>
    <w:basedOn w:val="Normal"/>
    <w:uiPriority w:val="99"/>
    <w:rsid w:val="00193B74"/>
    <w:pPr>
      <w:pBdr>
        <w:left w:val="single" w:sz="8" w:space="0" w:color="auto"/>
        <w:bottom w:val="single" w:sz="8" w:space="0" w:color="auto"/>
        <w:right w:val="single" w:sz="8" w:space="0" w:color="auto"/>
      </w:pBdr>
      <w:spacing w:before="100" w:beforeAutospacing="1" w:after="100" w:afterAutospacing="1" w:line="240" w:lineRule="auto"/>
      <w:ind w:firstLine="709"/>
      <w:jc w:val="center"/>
    </w:pPr>
    <w:rPr>
      <w:rFonts w:eastAsia="Times New Roman" w:cs="Arial"/>
      <w:sz w:val="20"/>
      <w:szCs w:val="20"/>
      <w:lang w:eastAsia="pt-BR"/>
    </w:rPr>
  </w:style>
  <w:style w:type="paragraph" w:customStyle="1" w:styleId="xl83">
    <w:name w:val="xl83"/>
    <w:basedOn w:val="Normal"/>
    <w:uiPriority w:val="99"/>
    <w:rsid w:val="00193B74"/>
    <w:pPr>
      <w:pBdr>
        <w:bottom w:val="single" w:sz="8" w:space="0" w:color="auto"/>
        <w:right w:val="single" w:sz="8" w:space="0" w:color="auto"/>
      </w:pBdr>
      <w:spacing w:before="100" w:beforeAutospacing="1" w:after="100" w:afterAutospacing="1" w:line="240" w:lineRule="auto"/>
      <w:ind w:firstLine="709"/>
      <w:jc w:val="center"/>
    </w:pPr>
    <w:rPr>
      <w:rFonts w:eastAsia="Times New Roman" w:cs="Arial"/>
      <w:sz w:val="20"/>
      <w:szCs w:val="20"/>
      <w:lang w:eastAsia="pt-BR"/>
    </w:rPr>
  </w:style>
  <w:style w:type="paragraph" w:customStyle="1" w:styleId="xl84">
    <w:name w:val="xl84"/>
    <w:basedOn w:val="Normal"/>
    <w:uiPriority w:val="99"/>
    <w:rsid w:val="00193B74"/>
    <w:pPr>
      <w:spacing w:before="100" w:beforeAutospacing="1" w:after="100" w:afterAutospacing="1" w:line="240" w:lineRule="auto"/>
      <w:ind w:firstLine="709"/>
    </w:pPr>
    <w:rPr>
      <w:rFonts w:ascii="Times New Roman" w:eastAsia="Times New Roman" w:hAnsi="Times New Roman"/>
      <w:szCs w:val="24"/>
      <w:lang w:eastAsia="pt-BR"/>
    </w:rPr>
  </w:style>
  <w:style w:type="paragraph" w:customStyle="1" w:styleId="xl85">
    <w:name w:val="xl85"/>
    <w:basedOn w:val="Normal"/>
    <w:uiPriority w:val="99"/>
    <w:rsid w:val="00193B74"/>
    <w:pPr>
      <w:pBdr>
        <w:top w:val="single" w:sz="8" w:space="0" w:color="auto"/>
        <w:left w:val="single" w:sz="4" w:space="0" w:color="auto"/>
        <w:bottom w:val="single" w:sz="8" w:space="0" w:color="auto"/>
        <w:right w:val="single" w:sz="8" w:space="0" w:color="auto"/>
      </w:pBdr>
      <w:spacing w:before="100" w:beforeAutospacing="1" w:after="100" w:afterAutospacing="1" w:line="240" w:lineRule="auto"/>
      <w:ind w:firstLine="709"/>
      <w:jc w:val="center"/>
    </w:pPr>
    <w:rPr>
      <w:rFonts w:eastAsia="Times New Roman" w:cs="Arial"/>
      <w:color w:val="000000"/>
      <w:sz w:val="20"/>
      <w:szCs w:val="20"/>
      <w:lang w:eastAsia="pt-BR"/>
    </w:rPr>
  </w:style>
  <w:style w:type="paragraph" w:customStyle="1" w:styleId="xl86">
    <w:name w:val="xl86"/>
    <w:basedOn w:val="Normal"/>
    <w:uiPriority w:val="99"/>
    <w:rsid w:val="00193B74"/>
    <w:pPr>
      <w:pBdr>
        <w:top w:val="single" w:sz="8" w:space="0" w:color="auto"/>
        <w:bottom w:val="single" w:sz="8" w:space="0" w:color="auto"/>
        <w:right w:val="single" w:sz="8" w:space="0" w:color="auto"/>
      </w:pBdr>
      <w:spacing w:before="100" w:beforeAutospacing="1" w:after="100" w:afterAutospacing="1" w:line="240" w:lineRule="auto"/>
      <w:ind w:firstLine="709"/>
    </w:pPr>
    <w:rPr>
      <w:rFonts w:ascii="Times New Roman" w:eastAsia="Times New Roman" w:hAnsi="Times New Roman"/>
      <w:b/>
      <w:bCs/>
      <w:sz w:val="14"/>
      <w:szCs w:val="14"/>
      <w:lang w:eastAsia="pt-BR"/>
    </w:rPr>
  </w:style>
  <w:style w:type="paragraph" w:customStyle="1" w:styleId="xl87">
    <w:name w:val="xl87"/>
    <w:basedOn w:val="Normal"/>
    <w:uiPriority w:val="99"/>
    <w:rsid w:val="00193B74"/>
    <w:pPr>
      <w:pBdr>
        <w:bottom w:val="single" w:sz="8" w:space="0" w:color="auto"/>
        <w:right w:val="single" w:sz="8" w:space="0" w:color="auto"/>
      </w:pBdr>
      <w:spacing w:before="100" w:beforeAutospacing="1" w:after="100" w:afterAutospacing="1" w:line="240" w:lineRule="auto"/>
      <w:ind w:firstLine="709"/>
    </w:pPr>
    <w:rPr>
      <w:rFonts w:ascii="Times New Roman" w:eastAsia="Times New Roman" w:hAnsi="Times New Roman"/>
      <w:b/>
      <w:bCs/>
      <w:sz w:val="14"/>
      <w:szCs w:val="14"/>
      <w:lang w:eastAsia="pt-BR"/>
    </w:rPr>
  </w:style>
  <w:style w:type="paragraph" w:customStyle="1" w:styleId="xl88">
    <w:name w:val="xl88"/>
    <w:basedOn w:val="Normal"/>
    <w:uiPriority w:val="99"/>
    <w:rsid w:val="00193B74"/>
    <w:pPr>
      <w:pBdr>
        <w:bottom w:val="single" w:sz="8" w:space="0" w:color="auto"/>
        <w:right w:val="single" w:sz="8" w:space="0" w:color="auto"/>
      </w:pBdr>
      <w:spacing w:before="100" w:beforeAutospacing="1" w:after="100" w:afterAutospacing="1" w:line="240" w:lineRule="auto"/>
      <w:ind w:firstLine="709"/>
    </w:pPr>
    <w:rPr>
      <w:rFonts w:eastAsia="Times New Roman" w:cs="Arial"/>
      <w:b/>
      <w:bCs/>
      <w:sz w:val="18"/>
      <w:szCs w:val="18"/>
      <w:lang w:eastAsia="pt-BR"/>
    </w:rPr>
  </w:style>
  <w:style w:type="paragraph" w:customStyle="1" w:styleId="xl89">
    <w:name w:val="xl89"/>
    <w:basedOn w:val="Normal"/>
    <w:uiPriority w:val="99"/>
    <w:rsid w:val="00193B74"/>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709"/>
      <w:jc w:val="center"/>
    </w:pPr>
    <w:rPr>
      <w:rFonts w:eastAsia="Times New Roman" w:cs="Arial"/>
      <w:color w:val="000000"/>
      <w:sz w:val="19"/>
      <w:szCs w:val="19"/>
      <w:lang w:eastAsia="pt-BR"/>
    </w:rPr>
  </w:style>
  <w:style w:type="paragraph" w:customStyle="1" w:styleId="xl90">
    <w:name w:val="xl90"/>
    <w:basedOn w:val="Normal"/>
    <w:uiPriority w:val="99"/>
    <w:rsid w:val="00193B74"/>
    <w:pPr>
      <w:pBdr>
        <w:top w:val="single" w:sz="8" w:space="0" w:color="auto"/>
        <w:bottom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cs="Arial"/>
      <w:color w:val="000000"/>
      <w:sz w:val="19"/>
      <w:szCs w:val="19"/>
      <w:lang w:eastAsia="pt-BR"/>
    </w:rPr>
  </w:style>
  <w:style w:type="paragraph" w:customStyle="1" w:styleId="xl91">
    <w:name w:val="xl91"/>
    <w:basedOn w:val="Normal"/>
    <w:uiPriority w:val="99"/>
    <w:rsid w:val="00193B74"/>
    <w:pPr>
      <w:pBdr>
        <w:left w:val="single" w:sz="8" w:space="0" w:color="auto"/>
        <w:bottom w:val="single" w:sz="8" w:space="0" w:color="auto"/>
        <w:right w:val="single" w:sz="8" w:space="0" w:color="auto"/>
      </w:pBdr>
      <w:spacing w:before="100" w:beforeAutospacing="1" w:after="100" w:afterAutospacing="1" w:line="240" w:lineRule="auto"/>
      <w:ind w:firstLine="709"/>
      <w:jc w:val="center"/>
    </w:pPr>
    <w:rPr>
      <w:rFonts w:eastAsia="Times New Roman" w:cs="Arial"/>
      <w:color w:val="000000"/>
      <w:sz w:val="19"/>
      <w:szCs w:val="19"/>
      <w:lang w:eastAsia="pt-BR"/>
    </w:rPr>
  </w:style>
  <w:style w:type="paragraph" w:customStyle="1" w:styleId="xl92">
    <w:name w:val="xl92"/>
    <w:basedOn w:val="Normal"/>
    <w:uiPriority w:val="99"/>
    <w:rsid w:val="00193B74"/>
    <w:pPr>
      <w:pBdr>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cs="Arial"/>
      <w:color w:val="000000"/>
      <w:sz w:val="19"/>
      <w:szCs w:val="19"/>
      <w:lang w:eastAsia="pt-BR"/>
    </w:rPr>
  </w:style>
  <w:style w:type="paragraph" w:customStyle="1" w:styleId="xl93">
    <w:name w:val="xl93"/>
    <w:basedOn w:val="Normal"/>
    <w:uiPriority w:val="99"/>
    <w:rsid w:val="00193B74"/>
    <w:pPr>
      <w:pBdr>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cs="Arial"/>
      <w:color w:val="000000"/>
      <w:sz w:val="19"/>
      <w:szCs w:val="19"/>
      <w:lang w:eastAsia="pt-BR"/>
    </w:rPr>
  </w:style>
  <w:style w:type="paragraph" w:customStyle="1" w:styleId="xl94">
    <w:name w:val="xl94"/>
    <w:basedOn w:val="Normal"/>
    <w:uiPriority w:val="99"/>
    <w:rsid w:val="00193B74"/>
    <w:pPr>
      <w:pBdr>
        <w:bottom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cs="Arial"/>
      <w:color w:val="000000"/>
      <w:sz w:val="19"/>
      <w:szCs w:val="19"/>
      <w:lang w:eastAsia="pt-BR"/>
    </w:rPr>
  </w:style>
  <w:style w:type="paragraph" w:customStyle="1" w:styleId="xl95">
    <w:name w:val="xl95"/>
    <w:basedOn w:val="Normal"/>
    <w:uiPriority w:val="99"/>
    <w:rsid w:val="00193B74"/>
    <w:pPr>
      <w:pBdr>
        <w:bottom w:val="single" w:sz="8" w:space="0" w:color="auto"/>
        <w:right w:val="single" w:sz="8" w:space="0" w:color="auto"/>
      </w:pBdr>
      <w:spacing w:before="100" w:beforeAutospacing="1" w:after="100" w:afterAutospacing="1" w:line="240" w:lineRule="auto"/>
      <w:ind w:firstLine="709"/>
      <w:jc w:val="center"/>
    </w:pPr>
    <w:rPr>
      <w:rFonts w:eastAsia="Times New Roman" w:cs="Arial"/>
      <w:color w:val="000000"/>
      <w:sz w:val="19"/>
      <w:szCs w:val="19"/>
      <w:lang w:eastAsia="pt-BR"/>
    </w:rPr>
  </w:style>
  <w:style w:type="paragraph" w:customStyle="1" w:styleId="xl96">
    <w:name w:val="xl96"/>
    <w:basedOn w:val="Normal"/>
    <w:uiPriority w:val="99"/>
    <w:rsid w:val="00193B74"/>
    <w:pPr>
      <w:pBdr>
        <w:bottom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cs="Arial"/>
      <w:sz w:val="20"/>
      <w:szCs w:val="20"/>
      <w:lang w:eastAsia="pt-BR"/>
    </w:rPr>
  </w:style>
  <w:style w:type="paragraph" w:customStyle="1" w:styleId="xl97">
    <w:name w:val="xl97"/>
    <w:basedOn w:val="Normal"/>
    <w:uiPriority w:val="99"/>
    <w:rsid w:val="00193B74"/>
    <w:pPr>
      <w:pBdr>
        <w:top w:val="single" w:sz="8" w:space="0" w:color="auto"/>
        <w:bottom w:val="single" w:sz="8" w:space="0" w:color="auto"/>
        <w:right w:val="single" w:sz="8" w:space="0" w:color="auto"/>
      </w:pBdr>
      <w:spacing w:before="100" w:beforeAutospacing="1" w:after="100" w:afterAutospacing="1" w:line="240" w:lineRule="auto"/>
      <w:ind w:firstLine="709"/>
      <w:jc w:val="center"/>
    </w:pPr>
    <w:rPr>
      <w:rFonts w:eastAsia="Times New Roman" w:cs="Arial"/>
      <w:color w:val="000000"/>
      <w:sz w:val="19"/>
      <w:szCs w:val="19"/>
      <w:lang w:eastAsia="pt-BR"/>
    </w:rPr>
  </w:style>
  <w:style w:type="paragraph" w:customStyle="1" w:styleId="xl98">
    <w:name w:val="xl98"/>
    <w:basedOn w:val="Normal"/>
    <w:uiPriority w:val="99"/>
    <w:rsid w:val="00193B74"/>
    <w:pPr>
      <w:pBdr>
        <w:bottom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cs="Arial"/>
      <w:sz w:val="19"/>
      <w:szCs w:val="19"/>
      <w:lang w:eastAsia="pt-BR"/>
    </w:rPr>
  </w:style>
  <w:style w:type="paragraph" w:customStyle="1" w:styleId="xl99">
    <w:name w:val="xl99"/>
    <w:basedOn w:val="Normal"/>
    <w:uiPriority w:val="99"/>
    <w:rsid w:val="00193B74"/>
    <w:pPr>
      <w:pBdr>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cs="Arial"/>
      <w:sz w:val="19"/>
      <w:szCs w:val="19"/>
      <w:lang w:eastAsia="pt-BR"/>
    </w:rPr>
  </w:style>
  <w:style w:type="paragraph" w:customStyle="1" w:styleId="xl100">
    <w:name w:val="xl100"/>
    <w:basedOn w:val="Normal"/>
    <w:uiPriority w:val="99"/>
    <w:rsid w:val="00193B74"/>
    <w:pPr>
      <w:pBdr>
        <w:bottom w:val="single" w:sz="8" w:space="0" w:color="auto"/>
        <w:right w:val="single" w:sz="8" w:space="0" w:color="auto"/>
      </w:pBdr>
      <w:spacing w:before="100" w:beforeAutospacing="1" w:after="100" w:afterAutospacing="1" w:line="240" w:lineRule="auto"/>
      <w:ind w:firstLine="709"/>
      <w:jc w:val="center"/>
    </w:pPr>
    <w:rPr>
      <w:rFonts w:eastAsia="Times New Roman" w:cs="Arial"/>
      <w:sz w:val="19"/>
      <w:szCs w:val="19"/>
      <w:lang w:eastAsia="pt-BR"/>
    </w:rPr>
  </w:style>
  <w:style w:type="paragraph" w:customStyle="1" w:styleId="xl101">
    <w:name w:val="xl101"/>
    <w:basedOn w:val="Normal"/>
    <w:uiPriority w:val="99"/>
    <w:rsid w:val="00193B74"/>
    <w:pPr>
      <w:pBdr>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cs="Arial"/>
      <w:sz w:val="19"/>
      <w:szCs w:val="19"/>
      <w:lang w:eastAsia="pt-BR"/>
    </w:rPr>
  </w:style>
  <w:style w:type="paragraph" w:customStyle="1" w:styleId="xl102">
    <w:name w:val="xl102"/>
    <w:basedOn w:val="Normal"/>
    <w:uiPriority w:val="99"/>
    <w:rsid w:val="00193B74"/>
    <w:pPr>
      <w:pBdr>
        <w:bottom w:val="single" w:sz="8" w:space="0" w:color="auto"/>
        <w:right w:val="single" w:sz="8" w:space="0" w:color="auto"/>
      </w:pBdr>
      <w:spacing w:before="100" w:beforeAutospacing="1" w:after="100" w:afterAutospacing="1" w:line="240" w:lineRule="auto"/>
      <w:ind w:firstLine="709"/>
      <w:jc w:val="center"/>
    </w:pPr>
    <w:rPr>
      <w:rFonts w:eastAsia="Times New Roman" w:cs="Arial"/>
      <w:sz w:val="19"/>
      <w:szCs w:val="19"/>
      <w:lang w:eastAsia="pt-BR"/>
    </w:rPr>
  </w:style>
  <w:style w:type="paragraph" w:customStyle="1" w:styleId="xl103">
    <w:name w:val="xl103"/>
    <w:basedOn w:val="Normal"/>
    <w:uiPriority w:val="99"/>
    <w:rsid w:val="00193B74"/>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709"/>
      <w:jc w:val="center"/>
    </w:pPr>
    <w:rPr>
      <w:rFonts w:eastAsia="Times New Roman" w:cs="Arial"/>
      <w:color w:val="000000"/>
      <w:sz w:val="18"/>
      <w:szCs w:val="18"/>
      <w:lang w:eastAsia="pt-BR"/>
    </w:rPr>
  </w:style>
  <w:style w:type="paragraph" w:customStyle="1" w:styleId="xl104">
    <w:name w:val="xl104"/>
    <w:basedOn w:val="Normal"/>
    <w:uiPriority w:val="99"/>
    <w:rsid w:val="00193B74"/>
    <w:pPr>
      <w:pBdr>
        <w:top w:val="single" w:sz="8" w:space="0" w:color="auto"/>
        <w:bottom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cs="Arial"/>
      <w:color w:val="000000"/>
      <w:sz w:val="18"/>
      <w:szCs w:val="18"/>
      <w:lang w:eastAsia="pt-BR"/>
    </w:rPr>
  </w:style>
  <w:style w:type="paragraph" w:customStyle="1" w:styleId="xl105">
    <w:name w:val="xl105"/>
    <w:basedOn w:val="Normal"/>
    <w:uiPriority w:val="99"/>
    <w:rsid w:val="00193B74"/>
    <w:pPr>
      <w:pBdr>
        <w:top w:val="single" w:sz="8" w:space="0" w:color="auto"/>
        <w:bottom w:val="single" w:sz="8" w:space="0" w:color="auto"/>
        <w:right w:val="single" w:sz="8" w:space="0" w:color="auto"/>
      </w:pBdr>
      <w:spacing w:before="100" w:beforeAutospacing="1" w:after="100" w:afterAutospacing="1" w:line="240" w:lineRule="auto"/>
      <w:ind w:firstLine="709"/>
      <w:jc w:val="center"/>
    </w:pPr>
    <w:rPr>
      <w:rFonts w:eastAsia="Times New Roman" w:cs="Arial"/>
      <w:color w:val="000000"/>
      <w:sz w:val="18"/>
      <w:szCs w:val="18"/>
      <w:lang w:eastAsia="pt-BR"/>
    </w:rPr>
  </w:style>
  <w:style w:type="paragraph" w:customStyle="1" w:styleId="xl106">
    <w:name w:val="xl106"/>
    <w:basedOn w:val="Normal"/>
    <w:uiPriority w:val="99"/>
    <w:rsid w:val="00193B74"/>
    <w:pPr>
      <w:pBdr>
        <w:left w:val="single" w:sz="8" w:space="0" w:color="auto"/>
        <w:bottom w:val="single" w:sz="8" w:space="0" w:color="auto"/>
        <w:right w:val="single" w:sz="8" w:space="0" w:color="auto"/>
      </w:pBdr>
      <w:spacing w:before="100" w:beforeAutospacing="1" w:after="100" w:afterAutospacing="1" w:line="240" w:lineRule="auto"/>
      <w:ind w:firstLine="709"/>
      <w:jc w:val="center"/>
    </w:pPr>
    <w:rPr>
      <w:rFonts w:eastAsia="Times New Roman" w:cs="Arial"/>
      <w:color w:val="000000"/>
      <w:sz w:val="18"/>
      <w:szCs w:val="18"/>
      <w:lang w:eastAsia="pt-BR"/>
    </w:rPr>
  </w:style>
  <w:style w:type="paragraph" w:customStyle="1" w:styleId="xl107">
    <w:name w:val="xl107"/>
    <w:basedOn w:val="Normal"/>
    <w:uiPriority w:val="99"/>
    <w:rsid w:val="00193B74"/>
    <w:pPr>
      <w:pBdr>
        <w:bottom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cs="Arial"/>
      <w:color w:val="000000"/>
      <w:sz w:val="18"/>
      <w:szCs w:val="18"/>
      <w:lang w:eastAsia="pt-BR"/>
    </w:rPr>
  </w:style>
  <w:style w:type="paragraph" w:customStyle="1" w:styleId="xl108">
    <w:name w:val="xl108"/>
    <w:basedOn w:val="Normal"/>
    <w:uiPriority w:val="99"/>
    <w:rsid w:val="00193B74"/>
    <w:pPr>
      <w:pBdr>
        <w:bottom w:val="single" w:sz="8" w:space="0" w:color="auto"/>
        <w:right w:val="single" w:sz="8" w:space="0" w:color="auto"/>
      </w:pBdr>
      <w:spacing w:before="100" w:beforeAutospacing="1" w:after="100" w:afterAutospacing="1" w:line="240" w:lineRule="auto"/>
      <w:ind w:firstLine="709"/>
      <w:jc w:val="center"/>
    </w:pPr>
    <w:rPr>
      <w:rFonts w:eastAsia="Times New Roman" w:cs="Arial"/>
      <w:color w:val="000000"/>
      <w:sz w:val="18"/>
      <w:szCs w:val="18"/>
      <w:lang w:eastAsia="pt-BR"/>
    </w:rPr>
  </w:style>
  <w:style w:type="paragraph" w:customStyle="1" w:styleId="xl109">
    <w:name w:val="xl109"/>
    <w:basedOn w:val="Normal"/>
    <w:uiPriority w:val="99"/>
    <w:rsid w:val="00193B74"/>
    <w:pPr>
      <w:pBdr>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cs="Arial"/>
      <w:color w:val="000000"/>
      <w:sz w:val="18"/>
      <w:szCs w:val="18"/>
      <w:lang w:eastAsia="pt-BR"/>
    </w:rPr>
  </w:style>
  <w:style w:type="paragraph" w:customStyle="1" w:styleId="xl110">
    <w:name w:val="xl110"/>
    <w:basedOn w:val="Normal"/>
    <w:uiPriority w:val="99"/>
    <w:rsid w:val="00193B74"/>
    <w:pPr>
      <w:pBdr>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cs="Arial"/>
      <w:color w:val="000000"/>
      <w:sz w:val="18"/>
      <w:szCs w:val="18"/>
      <w:lang w:eastAsia="pt-BR"/>
    </w:rPr>
  </w:style>
  <w:style w:type="paragraph" w:customStyle="1" w:styleId="xl111">
    <w:name w:val="xl111"/>
    <w:basedOn w:val="Normal"/>
    <w:uiPriority w:val="99"/>
    <w:rsid w:val="00193B74"/>
    <w:pPr>
      <w:pBdr>
        <w:top w:val="single" w:sz="8" w:space="0" w:color="auto"/>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cs="Arial"/>
      <w:color w:val="000000"/>
      <w:sz w:val="18"/>
      <w:szCs w:val="18"/>
      <w:lang w:eastAsia="pt-BR"/>
    </w:rPr>
  </w:style>
  <w:style w:type="paragraph" w:customStyle="1" w:styleId="xl112">
    <w:name w:val="xl112"/>
    <w:basedOn w:val="Normal"/>
    <w:uiPriority w:val="99"/>
    <w:rsid w:val="00193B74"/>
    <w:pPr>
      <w:pBdr>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cs="Arial"/>
      <w:sz w:val="18"/>
      <w:szCs w:val="18"/>
      <w:lang w:eastAsia="pt-BR"/>
    </w:rPr>
  </w:style>
  <w:style w:type="paragraph" w:customStyle="1" w:styleId="xl113">
    <w:name w:val="xl113"/>
    <w:basedOn w:val="Normal"/>
    <w:uiPriority w:val="99"/>
    <w:rsid w:val="00193B74"/>
    <w:pPr>
      <w:pBdr>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cs="Arial"/>
      <w:sz w:val="18"/>
      <w:szCs w:val="18"/>
      <w:lang w:eastAsia="pt-BR"/>
    </w:rPr>
  </w:style>
  <w:style w:type="paragraph" w:customStyle="1" w:styleId="xl114">
    <w:name w:val="xl114"/>
    <w:basedOn w:val="Normal"/>
    <w:uiPriority w:val="99"/>
    <w:rsid w:val="00193B74"/>
    <w:pPr>
      <w:pBdr>
        <w:bottom w:val="single" w:sz="8" w:space="0" w:color="auto"/>
        <w:right w:val="single" w:sz="8" w:space="0" w:color="auto"/>
      </w:pBdr>
      <w:spacing w:before="100" w:beforeAutospacing="1" w:after="100" w:afterAutospacing="1" w:line="240" w:lineRule="auto"/>
      <w:ind w:firstLine="709"/>
      <w:jc w:val="center"/>
    </w:pPr>
    <w:rPr>
      <w:rFonts w:eastAsia="Times New Roman" w:cs="Arial"/>
      <w:sz w:val="18"/>
      <w:szCs w:val="18"/>
      <w:lang w:eastAsia="pt-BR"/>
    </w:rPr>
  </w:style>
  <w:style w:type="paragraph" w:customStyle="1" w:styleId="xl115">
    <w:name w:val="xl115"/>
    <w:basedOn w:val="Normal"/>
    <w:uiPriority w:val="99"/>
    <w:rsid w:val="00193B74"/>
    <w:pPr>
      <w:pBdr>
        <w:bottom w:val="single" w:sz="8" w:space="0" w:color="auto"/>
        <w:right w:val="single" w:sz="8" w:space="0" w:color="auto"/>
      </w:pBdr>
      <w:shd w:val="clear" w:color="auto" w:fill="FFFFFF"/>
      <w:spacing w:before="100" w:beforeAutospacing="1" w:after="100" w:afterAutospacing="1" w:line="240" w:lineRule="auto"/>
      <w:ind w:firstLine="709"/>
      <w:jc w:val="center"/>
    </w:pPr>
    <w:rPr>
      <w:rFonts w:eastAsia="Times New Roman" w:cs="Arial"/>
      <w:sz w:val="18"/>
      <w:szCs w:val="18"/>
      <w:lang w:eastAsia="pt-BR"/>
    </w:rPr>
  </w:style>
  <w:style w:type="paragraph" w:customStyle="1" w:styleId="xl116">
    <w:name w:val="xl116"/>
    <w:basedOn w:val="Normal"/>
    <w:uiPriority w:val="99"/>
    <w:rsid w:val="00193B74"/>
    <w:pPr>
      <w:pBdr>
        <w:top w:val="single" w:sz="8" w:space="0" w:color="auto"/>
        <w:left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cs="Arial"/>
      <w:b/>
      <w:bCs/>
      <w:color w:val="000000"/>
      <w:sz w:val="18"/>
      <w:szCs w:val="18"/>
      <w:lang w:eastAsia="pt-BR"/>
    </w:rPr>
  </w:style>
  <w:style w:type="paragraph" w:customStyle="1" w:styleId="xl117">
    <w:name w:val="xl117"/>
    <w:basedOn w:val="Normal"/>
    <w:uiPriority w:val="99"/>
    <w:rsid w:val="00193B74"/>
    <w:pPr>
      <w:pBdr>
        <w:left w:val="single" w:sz="8" w:space="0" w:color="auto"/>
        <w:bottom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cs="Arial"/>
      <w:b/>
      <w:bCs/>
      <w:color w:val="000000"/>
      <w:sz w:val="18"/>
      <w:szCs w:val="18"/>
      <w:lang w:eastAsia="pt-BR"/>
    </w:rPr>
  </w:style>
  <w:style w:type="paragraph" w:customStyle="1" w:styleId="xl118">
    <w:name w:val="xl118"/>
    <w:basedOn w:val="Normal"/>
    <w:uiPriority w:val="99"/>
    <w:rsid w:val="00193B74"/>
    <w:pPr>
      <w:pBdr>
        <w:left w:val="single" w:sz="8" w:space="0" w:color="auto"/>
        <w:bottom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cs="Arial"/>
      <w:b/>
      <w:bCs/>
      <w:color w:val="000000"/>
      <w:sz w:val="18"/>
      <w:szCs w:val="18"/>
      <w:lang w:eastAsia="pt-BR"/>
    </w:rPr>
  </w:style>
  <w:style w:type="paragraph" w:customStyle="1" w:styleId="xl119">
    <w:name w:val="xl119"/>
    <w:basedOn w:val="Normal"/>
    <w:uiPriority w:val="99"/>
    <w:rsid w:val="00193B74"/>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ind w:firstLine="709"/>
      <w:jc w:val="center"/>
    </w:pPr>
    <w:rPr>
      <w:rFonts w:eastAsia="Times New Roman" w:cs="Arial"/>
      <w:b/>
      <w:bCs/>
      <w:color w:val="000000"/>
      <w:sz w:val="20"/>
      <w:szCs w:val="20"/>
      <w:lang w:eastAsia="pt-BR"/>
    </w:rPr>
  </w:style>
  <w:style w:type="paragraph" w:customStyle="1" w:styleId="xl120">
    <w:name w:val="xl120"/>
    <w:basedOn w:val="Normal"/>
    <w:uiPriority w:val="99"/>
    <w:rsid w:val="00193B74"/>
    <w:pPr>
      <w:pBdr>
        <w:right w:val="single" w:sz="8" w:space="0" w:color="auto"/>
      </w:pBdr>
      <w:spacing w:before="100" w:beforeAutospacing="1" w:after="100" w:afterAutospacing="1" w:line="240" w:lineRule="auto"/>
      <w:ind w:firstLine="709"/>
      <w:jc w:val="center"/>
    </w:pPr>
    <w:rPr>
      <w:rFonts w:eastAsia="Times New Roman" w:cs="Arial"/>
      <w:b/>
      <w:bCs/>
      <w:sz w:val="20"/>
      <w:szCs w:val="20"/>
      <w:lang w:eastAsia="pt-BR"/>
    </w:rPr>
  </w:style>
  <w:style w:type="paragraph" w:customStyle="1" w:styleId="xl121">
    <w:name w:val="xl121"/>
    <w:basedOn w:val="Normal"/>
    <w:uiPriority w:val="99"/>
    <w:rsid w:val="00193B74"/>
    <w:pPr>
      <w:shd w:val="clear" w:color="auto" w:fill="FFFFFF"/>
      <w:spacing w:before="100" w:beforeAutospacing="1" w:after="100" w:afterAutospacing="1" w:line="240" w:lineRule="auto"/>
      <w:ind w:firstLine="709"/>
    </w:pPr>
    <w:rPr>
      <w:rFonts w:eastAsia="Times New Roman" w:cs="Arial"/>
      <w:b/>
      <w:bCs/>
      <w:szCs w:val="24"/>
      <w:lang w:eastAsia="pt-BR"/>
    </w:rPr>
  </w:style>
  <w:style w:type="table" w:customStyle="1" w:styleId="TabeladeGrade4-nfase12">
    <w:name w:val="Tabela de Grade 4 - Ênfase 12"/>
    <w:basedOn w:val="Tabelanormal"/>
    <w:uiPriority w:val="49"/>
    <w:rsid w:val="00C41ACE"/>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Tabelacomgrade3">
    <w:name w:val="Tabela com grade3"/>
    <w:basedOn w:val="Tabelanormal"/>
    <w:next w:val="Tabelacomgrade"/>
    <w:uiPriority w:val="59"/>
    <w:rsid w:val="00D514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
    <w:name w:val="Tabela com grade4"/>
    <w:basedOn w:val="Tabelanormal"/>
    <w:next w:val="Tabelacomgrade"/>
    <w:uiPriority w:val="59"/>
    <w:rsid w:val="00D514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padoDocumentoChar1">
    <w:name w:val="Mapa do Documento Char1"/>
    <w:basedOn w:val="Fontepargpadro"/>
    <w:uiPriority w:val="99"/>
    <w:semiHidden/>
    <w:rsid w:val="001864D3"/>
    <w:rPr>
      <w:rFonts w:ascii="Tahoma" w:eastAsia="Calibri" w:hAnsi="Tahoma" w:cs="Tahoma" w:hint="default"/>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57ADC"/>
    <w:pPr>
      <w:spacing w:line="360" w:lineRule="auto"/>
      <w:jc w:val="both"/>
    </w:pPr>
    <w:rPr>
      <w:rFonts w:ascii="Arial" w:hAnsi="Arial"/>
      <w:sz w:val="24"/>
      <w:szCs w:val="22"/>
      <w:lang w:eastAsia="en-US"/>
    </w:rPr>
  </w:style>
  <w:style w:type="paragraph" w:styleId="Ttulo1">
    <w:name w:val="heading 1"/>
    <w:aliases w:val="Título 2_novo,Título 1 - SHS,Títuloy numerado"/>
    <w:basedOn w:val="Normal"/>
    <w:next w:val="Normal"/>
    <w:link w:val="Ttulo1Char"/>
    <w:autoRedefine/>
    <w:uiPriority w:val="9"/>
    <w:qFormat/>
    <w:rsid w:val="001E1202"/>
    <w:pPr>
      <w:keepNext/>
      <w:keepLines/>
      <w:spacing w:before="240" w:after="240"/>
      <w:jc w:val="center"/>
      <w:outlineLvl w:val="0"/>
    </w:pPr>
    <w:rPr>
      <w:rFonts w:eastAsia="Times New Roman" w:cs="Arial"/>
      <w:b/>
      <w:bCs/>
      <w:sz w:val="28"/>
      <w:szCs w:val="28"/>
      <w:lang w:eastAsia="x-none"/>
    </w:rPr>
  </w:style>
  <w:style w:type="paragraph" w:styleId="Ttulo2">
    <w:name w:val="heading 2"/>
    <w:aliases w:val="Título 2 NUMERADO"/>
    <w:basedOn w:val="Normal"/>
    <w:next w:val="Normal"/>
    <w:link w:val="Ttulo2Char"/>
    <w:autoRedefine/>
    <w:uiPriority w:val="9"/>
    <w:unhideWhenUsed/>
    <w:qFormat/>
    <w:rsid w:val="001E1202"/>
    <w:pPr>
      <w:keepNext/>
      <w:keepLines/>
      <w:tabs>
        <w:tab w:val="left" w:pos="567"/>
        <w:tab w:val="left" w:pos="709"/>
        <w:tab w:val="left" w:pos="993"/>
      </w:tabs>
      <w:spacing w:before="240" w:after="240"/>
      <w:outlineLvl w:val="1"/>
    </w:pPr>
    <w:rPr>
      <w:rFonts w:eastAsia="Times New Roman" w:cs="Arial"/>
      <w:b/>
      <w:bCs/>
      <w:szCs w:val="24"/>
      <w:lang w:eastAsia="x-none"/>
    </w:rPr>
  </w:style>
  <w:style w:type="paragraph" w:styleId="Ttulo3">
    <w:name w:val="heading 3"/>
    <w:aliases w:val="Título 3 SHS"/>
    <w:basedOn w:val="SHS-Ttulo02"/>
    <w:next w:val="Normal"/>
    <w:link w:val="Ttulo3Char"/>
    <w:autoRedefine/>
    <w:uiPriority w:val="9"/>
    <w:unhideWhenUsed/>
    <w:qFormat/>
    <w:rsid w:val="002828C8"/>
    <w:pPr>
      <w:numPr>
        <w:ilvl w:val="2"/>
      </w:numPr>
      <w:spacing w:before="120" w:after="120"/>
      <w:ind w:left="851" w:hanging="851"/>
      <w:contextualSpacing/>
      <w:outlineLvl w:val="2"/>
    </w:pPr>
    <w:rPr>
      <w:i/>
    </w:rPr>
  </w:style>
  <w:style w:type="paragraph" w:styleId="Ttulo4">
    <w:name w:val="heading 4"/>
    <w:basedOn w:val="Ttulo3"/>
    <w:next w:val="Normal"/>
    <w:link w:val="Ttulo4Char"/>
    <w:autoRedefine/>
    <w:unhideWhenUsed/>
    <w:qFormat/>
    <w:rsid w:val="00DD0AEC"/>
    <w:pPr>
      <w:numPr>
        <w:ilvl w:val="3"/>
      </w:numPr>
      <w:ind w:left="1134" w:hanging="1134"/>
      <w:outlineLvl w:val="3"/>
    </w:pPr>
    <w:rPr>
      <w:i w:val="0"/>
      <w:sz w:val="22"/>
      <w:szCs w:val="22"/>
    </w:rPr>
  </w:style>
  <w:style w:type="paragraph" w:styleId="Ttulo5">
    <w:name w:val="heading 5"/>
    <w:basedOn w:val="Ttulo4"/>
    <w:next w:val="Normal"/>
    <w:link w:val="Ttulo5Char"/>
    <w:autoRedefine/>
    <w:qFormat/>
    <w:rsid w:val="00D774E9"/>
    <w:pPr>
      <w:numPr>
        <w:ilvl w:val="4"/>
      </w:numPr>
      <w:ind w:left="1418" w:hanging="1418"/>
      <w:outlineLvl w:val="4"/>
    </w:pPr>
    <w:rPr>
      <w:i/>
    </w:rPr>
  </w:style>
  <w:style w:type="paragraph" w:styleId="Ttulo6">
    <w:name w:val="heading 6"/>
    <w:basedOn w:val="Normal"/>
    <w:next w:val="Normal"/>
    <w:link w:val="Ttulo6Char"/>
    <w:qFormat/>
    <w:rsid w:val="001E1202"/>
    <w:pPr>
      <w:widowControl w:val="0"/>
      <w:numPr>
        <w:ilvl w:val="5"/>
        <w:numId w:val="2"/>
      </w:numPr>
      <w:spacing w:before="120" w:after="120"/>
      <w:outlineLvl w:val="5"/>
    </w:pPr>
    <w:rPr>
      <w:rFonts w:ascii="Times New Roman" w:eastAsia="Times New Roman" w:hAnsi="Times New Roman"/>
      <w:b/>
      <w:bCs/>
      <w:sz w:val="22"/>
      <w:lang w:eastAsia="pt-BR"/>
    </w:rPr>
  </w:style>
  <w:style w:type="paragraph" w:styleId="Ttulo7">
    <w:name w:val="heading 7"/>
    <w:basedOn w:val="Normal"/>
    <w:next w:val="Normal"/>
    <w:link w:val="Ttulo7Char"/>
    <w:uiPriority w:val="9"/>
    <w:qFormat/>
    <w:rsid w:val="000A0514"/>
    <w:pPr>
      <w:tabs>
        <w:tab w:val="num" w:pos="2430"/>
      </w:tabs>
      <w:spacing w:before="240" w:after="60"/>
      <w:ind w:left="2430" w:hanging="1296"/>
      <w:contextualSpacing/>
      <w:outlineLvl w:val="6"/>
    </w:pPr>
    <w:rPr>
      <w:rFonts w:ascii="Times New Roman" w:eastAsia="Times New Roman" w:hAnsi="Times New Roman"/>
      <w:szCs w:val="24"/>
      <w:lang w:eastAsia="pt-BR"/>
    </w:rPr>
  </w:style>
  <w:style w:type="paragraph" w:styleId="Ttulo8">
    <w:name w:val="heading 8"/>
    <w:basedOn w:val="Ttulo3"/>
    <w:next w:val="Normal"/>
    <w:link w:val="Ttulo8Char"/>
    <w:uiPriority w:val="9"/>
    <w:qFormat/>
    <w:rsid w:val="000A0514"/>
    <w:pPr>
      <w:keepNext/>
      <w:widowControl/>
      <w:numPr>
        <w:ilvl w:val="0"/>
        <w:numId w:val="0"/>
      </w:numPr>
      <w:tabs>
        <w:tab w:val="num" w:pos="2410"/>
      </w:tabs>
      <w:ind w:left="2410" w:hanging="864"/>
      <w:outlineLvl w:val="7"/>
    </w:pPr>
    <w:rPr>
      <w:bCs/>
      <w:sz w:val="22"/>
      <w:szCs w:val="22"/>
    </w:rPr>
  </w:style>
  <w:style w:type="paragraph" w:styleId="Ttulo9">
    <w:name w:val="heading 9"/>
    <w:basedOn w:val="Normal"/>
    <w:next w:val="Normal"/>
    <w:link w:val="Ttulo9Char"/>
    <w:uiPriority w:val="9"/>
    <w:unhideWhenUsed/>
    <w:qFormat/>
    <w:rsid w:val="001E1202"/>
    <w:pPr>
      <w:spacing w:before="240" w:after="60"/>
      <w:outlineLvl w:val="8"/>
    </w:pPr>
    <w:rPr>
      <w:rFonts w:ascii="Cambria" w:eastAsia="Times New Roman" w:hAnsi="Cambria"/>
      <w:sz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styleId="Tabelacomgrade">
    <w:name w:val="Table Grid"/>
    <w:basedOn w:val="Tabelanormal"/>
    <w:uiPriority w:val="59"/>
    <w:rsid w:val="00AF19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FE00F2"/>
    <w:pPr>
      <w:spacing w:before="100" w:beforeAutospacing="1" w:after="100" w:afterAutospacing="1" w:line="240" w:lineRule="auto"/>
    </w:pPr>
    <w:rPr>
      <w:rFonts w:ascii="Times New Roman" w:eastAsia="Times New Roman" w:hAnsi="Times New Roman"/>
      <w:szCs w:val="24"/>
      <w:lang w:eastAsia="pt-BR"/>
    </w:rPr>
  </w:style>
  <w:style w:type="character" w:customStyle="1" w:styleId="Ttulo1Char">
    <w:name w:val="Título 1 Char"/>
    <w:aliases w:val="Título 2_novo Char,Título 1 - SHS Char,Títuloy numerado Char"/>
    <w:link w:val="Ttulo1"/>
    <w:uiPriority w:val="9"/>
    <w:rsid w:val="001E1202"/>
    <w:rPr>
      <w:rFonts w:ascii="Arial" w:eastAsia="Times New Roman" w:hAnsi="Arial" w:cs="Arial"/>
      <w:b/>
      <w:bCs/>
      <w:sz w:val="28"/>
      <w:szCs w:val="28"/>
      <w:lang w:eastAsia="x-none"/>
    </w:rPr>
  </w:style>
  <w:style w:type="paragraph" w:customStyle="1" w:styleId="Capa">
    <w:name w:val="Capa"/>
    <w:basedOn w:val="Normal"/>
    <w:uiPriority w:val="99"/>
    <w:rsid w:val="008F3022"/>
    <w:pPr>
      <w:widowControl w:val="0"/>
      <w:spacing w:before="60" w:after="120"/>
      <w:jc w:val="center"/>
    </w:pPr>
    <w:rPr>
      <w:rFonts w:eastAsia="Times New Roman" w:cs="Arial"/>
      <w:b/>
      <w:bCs/>
      <w:smallCaps/>
      <w:sz w:val="28"/>
      <w:szCs w:val="20"/>
    </w:rPr>
  </w:style>
  <w:style w:type="paragraph" w:styleId="Rodap">
    <w:name w:val="footer"/>
    <w:basedOn w:val="Normal"/>
    <w:link w:val="RodapChar"/>
    <w:uiPriority w:val="99"/>
    <w:qFormat/>
    <w:rsid w:val="001E1202"/>
    <w:pPr>
      <w:widowControl w:val="0"/>
      <w:tabs>
        <w:tab w:val="center" w:pos="4252"/>
        <w:tab w:val="right" w:pos="8504"/>
      </w:tabs>
    </w:pPr>
    <w:rPr>
      <w:rFonts w:ascii="Baha" w:eastAsia="Times New Roman" w:hAnsi="Baha" w:cs="Arial"/>
      <w:i/>
      <w:color w:val="333333"/>
      <w:sz w:val="20"/>
      <w:szCs w:val="20"/>
      <w:lang w:eastAsia="pt-BR"/>
    </w:rPr>
  </w:style>
  <w:style w:type="character" w:customStyle="1" w:styleId="RodapChar">
    <w:name w:val="Rodapé Char"/>
    <w:link w:val="Rodap"/>
    <w:uiPriority w:val="99"/>
    <w:rsid w:val="001E1202"/>
    <w:rPr>
      <w:rFonts w:ascii="Baha" w:eastAsia="Times New Roman" w:hAnsi="Baha" w:cs="Arial"/>
      <w:i/>
      <w:color w:val="333333"/>
    </w:rPr>
  </w:style>
  <w:style w:type="paragraph" w:styleId="Cabealho">
    <w:name w:val="header"/>
    <w:basedOn w:val="Normal"/>
    <w:link w:val="CabealhoChar"/>
    <w:uiPriority w:val="99"/>
    <w:rsid w:val="008F3022"/>
    <w:pPr>
      <w:widowControl w:val="0"/>
      <w:tabs>
        <w:tab w:val="center" w:pos="4252"/>
        <w:tab w:val="right" w:pos="8504"/>
      </w:tabs>
      <w:spacing w:before="60" w:after="120"/>
      <w:ind w:firstLine="567"/>
    </w:pPr>
    <w:rPr>
      <w:rFonts w:eastAsia="Times New Roman"/>
      <w:szCs w:val="20"/>
      <w:lang w:val="x-none" w:eastAsia="x-none"/>
    </w:rPr>
  </w:style>
  <w:style w:type="character" w:customStyle="1" w:styleId="CabealhoChar">
    <w:name w:val="Cabeçalho Char"/>
    <w:link w:val="Cabealho"/>
    <w:uiPriority w:val="99"/>
    <w:rsid w:val="008F3022"/>
    <w:rPr>
      <w:rFonts w:ascii="Arial" w:eastAsia="Times New Roman" w:hAnsi="Arial" w:cs="Arial"/>
      <w:sz w:val="22"/>
    </w:rPr>
  </w:style>
  <w:style w:type="paragraph" w:styleId="Textodebalo">
    <w:name w:val="Balloon Text"/>
    <w:basedOn w:val="Normal"/>
    <w:link w:val="TextodebaloChar"/>
    <w:uiPriority w:val="99"/>
    <w:semiHidden/>
    <w:unhideWhenUsed/>
    <w:rsid w:val="008F3022"/>
    <w:pPr>
      <w:spacing w:line="240" w:lineRule="auto"/>
    </w:pPr>
    <w:rPr>
      <w:rFonts w:ascii="Tahoma" w:eastAsia="Times New Roman" w:hAnsi="Tahoma"/>
      <w:sz w:val="16"/>
      <w:szCs w:val="16"/>
      <w:lang w:val="x-none" w:eastAsia="x-none"/>
    </w:rPr>
  </w:style>
  <w:style w:type="character" w:customStyle="1" w:styleId="TextodebaloChar">
    <w:name w:val="Texto de balão Char"/>
    <w:link w:val="Textodebalo"/>
    <w:uiPriority w:val="99"/>
    <w:semiHidden/>
    <w:rsid w:val="008F3022"/>
    <w:rPr>
      <w:rFonts w:ascii="Tahoma" w:eastAsia="Times New Roman" w:hAnsi="Tahoma" w:cs="Tahoma"/>
      <w:sz w:val="16"/>
      <w:szCs w:val="16"/>
    </w:rPr>
  </w:style>
  <w:style w:type="paragraph" w:styleId="Legenda">
    <w:name w:val="caption"/>
    <w:aliases w:val="Cima,SHS - Legenda"/>
    <w:basedOn w:val="Normal"/>
    <w:next w:val="Normal"/>
    <w:link w:val="LegendaChar"/>
    <w:uiPriority w:val="35"/>
    <w:unhideWhenUsed/>
    <w:qFormat/>
    <w:rsid w:val="00283652"/>
    <w:pPr>
      <w:keepNext/>
      <w:spacing w:before="120" w:after="120" w:line="240" w:lineRule="auto"/>
      <w:jc w:val="center"/>
    </w:pPr>
    <w:rPr>
      <w:rFonts w:eastAsia="Times New Roman" w:cs="Arial"/>
      <w:b/>
      <w:bCs/>
      <w:sz w:val="20"/>
      <w:szCs w:val="24"/>
      <w:lang w:val="x-none" w:eastAsia="x-none"/>
    </w:rPr>
  </w:style>
  <w:style w:type="paragraph" w:styleId="PargrafodaLista">
    <w:name w:val="List Paragraph"/>
    <w:aliases w:val="Tópicos,Parágrafo da Lista1"/>
    <w:basedOn w:val="Normal"/>
    <w:link w:val="PargrafodaListaChar"/>
    <w:uiPriority w:val="34"/>
    <w:qFormat/>
    <w:rsid w:val="001E1202"/>
    <w:pPr>
      <w:ind w:left="720"/>
      <w:contextualSpacing/>
    </w:pPr>
    <w:rPr>
      <w:rFonts w:eastAsia="Times New Roman" w:cs="Arial"/>
      <w:szCs w:val="20"/>
      <w:lang w:eastAsia="pt-BR"/>
    </w:rPr>
  </w:style>
  <w:style w:type="paragraph" w:styleId="CabealhodoSumrio">
    <w:name w:val="TOC Heading"/>
    <w:basedOn w:val="Ttulo1"/>
    <w:next w:val="Normal"/>
    <w:uiPriority w:val="39"/>
    <w:unhideWhenUsed/>
    <w:qFormat/>
    <w:rsid w:val="001E1202"/>
    <w:pPr>
      <w:spacing w:line="276" w:lineRule="auto"/>
      <w:jc w:val="left"/>
      <w:outlineLvl w:val="9"/>
    </w:pPr>
  </w:style>
  <w:style w:type="paragraph" w:styleId="Sumrio1">
    <w:name w:val="toc 1"/>
    <w:basedOn w:val="Normal"/>
    <w:next w:val="Normal"/>
    <w:autoRedefine/>
    <w:uiPriority w:val="39"/>
    <w:unhideWhenUsed/>
    <w:qFormat/>
    <w:rsid w:val="00DD0AEC"/>
    <w:pPr>
      <w:tabs>
        <w:tab w:val="right" w:leader="dot" w:pos="9350"/>
      </w:tabs>
      <w:spacing w:before="120" w:after="120"/>
      <w:ind w:right="567"/>
    </w:pPr>
    <w:rPr>
      <w:rFonts w:eastAsia="Times New Roman" w:cs="Arial"/>
      <w:b/>
      <w:szCs w:val="20"/>
      <w:lang w:eastAsia="pt-BR"/>
    </w:rPr>
  </w:style>
  <w:style w:type="character" w:styleId="Hyperlink">
    <w:name w:val="Hyperlink"/>
    <w:uiPriority w:val="99"/>
    <w:unhideWhenUsed/>
    <w:rsid w:val="008F3022"/>
    <w:rPr>
      <w:color w:val="0000FF"/>
      <w:u w:val="single"/>
    </w:rPr>
  </w:style>
  <w:style w:type="character" w:customStyle="1" w:styleId="LegendaChar">
    <w:name w:val="Legenda Char"/>
    <w:aliases w:val="Cima Char,SHS - Legenda Char"/>
    <w:link w:val="Legenda"/>
    <w:uiPriority w:val="35"/>
    <w:rsid w:val="00283652"/>
    <w:rPr>
      <w:rFonts w:ascii="Arial" w:eastAsia="Times New Roman" w:hAnsi="Arial" w:cs="Arial"/>
      <w:b/>
      <w:bCs/>
      <w:szCs w:val="24"/>
      <w:lang w:val="x-none" w:eastAsia="x-none"/>
    </w:rPr>
  </w:style>
  <w:style w:type="character" w:styleId="Forte">
    <w:name w:val="Strong"/>
    <w:uiPriority w:val="99"/>
    <w:qFormat/>
    <w:rsid w:val="001E1202"/>
    <w:rPr>
      <w:b/>
      <w:bCs/>
    </w:rPr>
  </w:style>
  <w:style w:type="character" w:customStyle="1" w:styleId="Ttulo2Char">
    <w:name w:val="Título 2 Char"/>
    <w:aliases w:val="Título 2 NUMERADO Char"/>
    <w:link w:val="Ttulo2"/>
    <w:uiPriority w:val="9"/>
    <w:rsid w:val="001E1202"/>
    <w:rPr>
      <w:rFonts w:ascii="Arial" w:eastAsia="Times New Roman" w:hAnsi="Arial" w:cs="Arial"/>
      <w:b/>
      <w:bCs/>
      <w:sz w:val="24"/>
      <w:szCs w:val="24"/>
      <w:lang w:eastAsia="x-none"/>
    </w:rPr>
  </w:style>
  <w:style w:type="character" w:styleId="nfaseSutil">
    <w:name w:val="Subtle Emphasis"/>
    <w:uiPriority w:val="19"/>
    <w:qFormat/>
    <w:rsid w:val="001E1202"/>
    <w:rPr>
      <w:rFonts w:ascii="Arial" w:hAnsi="Arial"/>
      <w:iCs/>
      <w:color w:val="808080"/>
      <w:sz w:val="24"/>
      <w:u w:val="single"/>
    </w:rPr>
  </w:style>
  <w:style w:type="paragraph" w:styleId="Sumrio2">
    <w:name w:val="toc 2"/>
    <w:basedOn w:val="Normal"/>
    <w:next w:val="Normal"/>
    <w:autoRedefine/>
    <w:uiPriority w:val="39"/>
    <w:unhideWhenUsed/>
    <w:qFormat/>
    <w:rsid w:val="00DD0AEC"/>
    <w:pPr>
      <w:tabs>
        <w:tab w:val="right" w:leader="dot" w:pos="9350"/>
      </w:tabs>
      <w:spacing w:before="120" w:after="120"/>
      <w:ind w:left="284" w:right="567"/>
    </w:pPr>
  </w:style>
  <w:style w:type="paragraph" w:customStyle="1" w:styleId="SHS-Ttulo01">
    <w:name w:val="SHS - Título 01"/>
    <w:basedOn w:val="Normal"/>
    <w:next w:val="Normal"/>
    <w:autoRedefine/>
    <w:uiPriority w:val="99"/>
    <w:qFormat/>
    <w:rsid w:val="00C57ADC"/>
    <w:pPr>
      <w:widowControl w:val="0"/>
      <w:numPr>
        <w:numId w:val="1"/>
      </w:numPr>
      <w:spacing w:before="240" w:after="240"/>
      <w:outlineLvl w:val="0"/>
    </w:pPr>
    <w:rPr>
      <w:rFonts w:eastAsia="Times New Roman" w:cs="Arial"/>
      <w:b/>
      <w:sz w:val="28"/>
      <w:szCs w:val="20"/>
      <w:lang w:eastAsia="pt-BR"/>
    </w:rPr>
  </w:style>
  <w:style w:type="paragraph" w:customStyle="1" w:styleId="SHS-Ttulo02">
    <w:name w:val="SHS - Título 02"/>
    <w:basedOn w:val="SHS-Ttulo01"/>
    <w:next w:val="Normal"/>
    <w:autoRedefine/>
    <w:qFormat/>
    <w:rsid w:val="002828C8"/>
    <w:pPr>
      <w:numPr>
        <w:ilvl w:val="1"/>
      </w:numPr>
      <w:spacing w:before="200" w:after="200"/>
      <w:ind w:left="426" w:hanging="426"/>
      <w:outlineLvl w:val="1"/>
    </w:pPr>
    <w:rPr>
      <w:sz w:val="24"/>
      <w:szCs w:val="24"/>
    </w:rPr>
  </w:style>
  <w:style w:type="paragraph" w:styleId="ndicedeilustraes">
    <w:name w:val="table of figures"/>
    <w:basedOn w:val="Normal"/>
    <w:next w:val="Normal"/>
    <w:uiPriority w:val="99"/>
    <w:unhideWhenUsed/>
    <w:rsid w:val="00DD0AEC"/>
    <w:pPr>
      <w:tabs>
        <w:tab w:val="right" w:leader="dot" w:pos="9350"/>
      </w:tabs>
      <w:spacing w:before="120" w:after="120"/>
      <w:ind w:right="567"/>
    </w:pPr>
  </w:style>
  <w:style w:type="paragraph" w:customStyle="1" w:styleId="Default">
    <w:name w:val="Default"/>
    <w:rsid w:val="00C058B7"/>
    <w:pPr>
      <w:autoSpaceDE w:val="0"/>
      <w:autoSpaceDN w:val="0"/>
      <w:adjustRightInd w:val="0"/>
    </w:pPr>
    <w:rPr>
      <w:rFonts w:ascii="Arial" w:hAnsi="Arial" w:cs="Arial"/>
      <w:color w:val="000000"/>
      <w:sz w:val="24"/>
      <w:szCs w:val="24"/>
    </w:rPr>
  </w:style>
  <w:style w:type="paragraph" w:customStyle="1" w:styleId="fmn-autor">
    <w:name w:val="fmn-autor"/>
    <w:basedOn w:val="Normal"/>
    <w:uiPriority w:val="99"/>
    <w:rsid w:val="00B039FE"/>
    <w:pPr>
      <w:spacing w:line="480" w:lineRule="auto"/>
      <w:jc w:val="center"/>
    </w:pPr>
    <w:rPr>
      <w:rFonts w:ascii="Times New Roman" w:eastAsia="Times New Roman" w:hAnsi="Times New Roman" w:cs="Arial"/>
      <w:sz w:val="32"/>
      <w:szCs w:val="32"/>
      <w:lang w:eastAsia="pt-BR"/>
    </w:rPr>
  </w:style>
  <w:style w:type="character" w:customStyle="1" w:styleId="Ttulo3Char">
    <w:name w:val="Título 3 Char"/>
    <w:aliases w:val="Título 3 SHS Char"/>
    <w:link w:val="Ttulo3"/>
    <w:uiPriority w:val="9"/>
    <w:rsid w:val="002828C8"/>
    <w:rPr>
      <w:rFonts w:ascii="Arial" w:eastAsia="Times New Roman" w:hAnsi="Arial" w:cs="Arial"/>
      <w:b/>
      <w:i/>
      <w:sz w:val="24"/>
      <w:szCs w:val="24"/>
    </w:rPr>
  </w:style>
  <w:style w:type="paragraph" w:styleId="MapadoDocumento">
    <w:name w:val="Document Map"/>
    <w:basedOn w:val="Normal"/>
    <w:link w:val="MapadoDocumentoChar"/>
    <w:uiPriority w:val="99"/>
    <w:semiHidden/>
    <w:unhideWhenUsed/>
    <w:rsid w:val="00DB2758"/>
    <w:rPr>
      <w:rFonts w:ascii="Tahoma" w:eastAsia="Times New Roman" w:hAnsi="Tahoma" w:cs="Tahoma"/>
      <w:sz w:val="16"/>
      <w:szCs w:val="16"/>
      <w:lang w:eastAsia="pt-BR"/>
    </w:rPr>
  </w:style>
  <w:style w:type="paragraph" w:styleId="Sumrio3">
    <w:name w:val="toc 3"/>
    <w:basedOn w:val="Normal"/>
    <w:next w:val="Normal"/>
    <w:autoRedefine/>
    <w:uiPriority w:val="39"/>
    <w:unhideWhenUsed/>
    <w:qFormat/>
    <w:rsid w:val="00DD0AEC"/>
    <w:pPr>
      <w:tabs>
        <w:tab w:val="right" w:leader="dot" w:pos="9350"/>
      </w:tabs>
      <w:spacing w:before="120" w:after="120"/>
      <w:ind w:left="567" w:right="567"/>
    </w:pPr>
    <w:rPr>
      <w:i/>
    </w:rPr>
  </w:style>
  <w:style w:type="character" w:customStyle="1" w:styleId="MapadoDocumentoChar">
    <w:name w:val="Mapa do Documento Char"/>
    <w:link w:val="MapadoDocumento"/>
    <w:uiPriority w:val="99"/>
    <w:semiHidden/>
    <w:rsid w:val="00DB2758"/>
    <w:rPr>
      <w:rFonts w:ascii="Tahoma" w:eastAsia="Times New Roman" w:hAnsi="Tahoma" w:cs="Tahoma"/>
      <w:sz w:val="16"/>
      <w:szCs w:val="16"/>
    </w:rPr>
  </w:style>
  <w:style w:type="character" w:customStyle="1" w:styleId="apple-converted-space">
    <w:name w:val="apple-converted-space"/>
    <w:rsid w:val="0068763A"/>
  </w:style>
  <w:style w:type="character" w:customStyle="1" w:styleId="Ttulo5Char">
    <w:name w:val="Título 5 Char"/>
    <w:link w:val="Ttulo5"/>
    <w:rsid w:val="00D774E9"/>
    <w:rPr>
      <w:rFonts w:ascii="Arial" w:eastAsia="Times New Roman" w:hAnsi="Arial" w:cs="Arial"/>
      <w:b/>
      <w:i/>
      <w:sz w:val="22"/>
      <w:szCs w:val="22"/>
    </w:rPr>
  </w:style>
  <w:style w:type="character" w:customStyle="1" w:styleId="Ttulo6Char">
    <w:name w:val="Título 6 Char"/>
    <w:link w:val="Ttulo6"/>
    <w:rsid w:val="001E1202"/>
    <w:rPr>
      <w:rFonts w:ascii="Times New Roman" w:eastAsia="Times New Roman" w:hAnsi="Times New Roman"/>
      <w:b/>
      <w:bCs/>
      <w:sz w:val="22"/>
      <w:szCs w:val="22"/>
    </w:rPr>
  </w:style>
  <w:style w:type="character" w:customStyle="1" w:styleId="Ttulo7Char">
    <w:name w:val="Título 7 Char"/>
    <w:link w:val="Ttulo7"/>
    <w:uiPriority w:val="9"/>
    <w:rsid w:val="000A0514"/>
    <w:rPr>
      <w:rFonts w:ascii="Times New Roman" w:eastAsia="Times New Roman" w:hAnsi="Times New Roman"/>
      <w:sz w:val="24"/>
      <w:szCs w:val="24"/>
    </w:rPr>
  </w:style>
  <w:style w:type="character" w:customStyle="1" w:styleId="Ttulo8Char">
    <w:name w:val="Título 8 Char"/>
    <w:link w:val="Ttulo8"/>
    <w:uiPriority w:val="9"/>
    <w:rsid w:val="000A0514"/>
    <w:rPr>
      <w:rFonts w:ascii="Arial" w:eastAsia="Times New Roman" w:hAnsi="Arial" w:cs="Arial"/>
      <w:b/>
      <w:bCs/>
      <w:i/>
      <w:sz w:val="22"/>
      <w:szCs w:val="22"/>
    </w:rPr>
  </w:style>
  <w:style w:type="character" w:customStyle="1" w:styleId="Ttulo4Char">
    <w:name w:val="Título 4 Char"/>
    <w:link w:val="Ttulo4"/>
    <w:rsid w:val="00DD0AEC"/>
    <w:rPr>
      <w:rFonts w:ascii="Arial" w:eastAsia="Times New Roman" w:hAnsi="Arial" w:cs="Arial"/>
      <w:b/>
      <w:sz w:val="22"/>
      <w:szCs w:val="22"/>
    </w:rPr>
  </w:style>
  <w:style w:type="character" w:customStyle="1" w:styleId="Ttulo9Char">
    <w:name w:val="Título 9 Char"/>
    <w:link w:val="Ttulo9"/>
    <w:uiPriority w:val="9"/>
    <w:rsid w:val="001E1202"/>
    <w:rPr>
      <w:rFonts w:ascii="Cambria" w:eastAsia="Times New Roman" w:hAnsi="Cambria"/>
      <w:sz w:val="22"/>
      <w:szCs w:val="22"/>
      <w:lang w:eastAsia="en-US"/>
    </w:rPr>
  </w:style>
  <w:style w:type="paragraph" w:styleId="Sumrio4">
    <w:name w:val="toc 4"/>
    <w:basedOn w:val="Normal"/>
    <w:next w:val="Normal"/>
    <w:autoRedefine/>
    <w:uiPriority w:val="39"/>
    <w:unhideWhenUsed/>
    <w:rsid w:val="00DD0AEC"/>
    <w:pPr>
      <w:tabs>
        <w:tab w:val="right" w:leader="dot" w:pos="9350"/>
      </w:tabs>
      <w:spacing w:before="120" w:after="120"/>
      <w:ind w:left="851" w:right="567"/>
    </w:pPr>
    <w:rPr>
      <w:rFonts w:eastAsia="Times New Roman"/>
      <w:sz w:val="22"/>
      <w:lang w:eastAsia="pt-BR"/>
    </w:rPr>
  </w:style>
  <w:style w:type="paragraph" w:styleId="Sumrio5">
    <w:name w:val="toc 5"/>
    <w:basedOn w:val="Normal"/>
    <w:next w:val="Normal"/>
    <w:autoRedefine/>
    <w:uiPriority w:val="39"/>
    <w:unhideWhenUsed/>
    <w:rsid w:val="00DD0AEC"/>
    <w:pPr>
      <w:tabs>
        <w:tab w:val="right" w:leader="dot" w:pos="9350"/>
      </w:tabs>
      <w:spacing w:before="120" w:after="120"/>
      <w:ind w:left="1134" w:right="567"/>
    </w:pPr>
    <w:rPr>
      <w:rFonts w:eastAsia="Times New Roman"/>
      <w:i/>
      <w:sz w:val="22"/>
      <w:lang w:eastAsia="pt-BR"/>
    </w:rPr>
  </w:style>
  <w:style w:type="paragraph" w:styleId="Sumrio6">
    <w:name w:val="toc 6"/>
    <w:basedOn w:val="Normal"/>
    <w:next w:val="Normal"/>
    <w:autoRedefine/>
    <w:uiPriority w:val="39"/>
    <w:unhideWhenUsed/>
    <w:rsid w:val="00A41168"/>
    <w:pPr>
      <w:tabs>
        <w:tab w:val="right" w:leader="dot" w:pos="9350"/>
      </w:tabs>
      <w:ind w:left="1418" w:right="567"/>
    </w:pPr>
    <w:rPr>
      <w:rFonts w:eastAsia="Times New Roman"/>
      <w:sz w:val="20"/>
      <w:lang w:eastAsia="pt-BR"/>
    </w:rPr>
  </w:style>
  <w:style w:type="paragraph" w:styleId="Sumrio7">
    <w:name w:val="toc 7"/>
    <w:basedOn w:val="Normal"/>
    <w:next w:val="Normal"/>
    <w:autoRedefine/>
    <w:uiPriority w:val="39"/>
    <w:unhideWhenUsed/>
    <w:rsid w:val="00E25037"/>
    <w:pPr>
      <w:spacing w:after="100" w:line="276" w:lineRule="auto"/>
      <w:ind w:left="1320"/>
    </w:pPr>
    <w:rPr>
      <w:rFonts w:ascii="Calibri" w:eastAsia="Times New Roman" w:hAnsi="Calibri"/>
      <w:sz w:val="22"/>
      <w:lang w:eastAsia="pt-BR"/>
    </w:rPr>
  </w:style>
  <w:style w:type="paragraph" w:styleId="Sumrio8">
    <w:name w:val="toc 8"/>
    <w:basedOn w:val="Normal"/>
    <w:next w:val="Normal"/>
    <w:autoRedefine/>
    <w:uiPriority w:val="39"/>
    <w:unhideWhenUsed/>
    <w:rsid w:val="00E25037"/>
    <w:pPr>
      <w:spacing w:after="100" w:line="276" w:lineRule="auto"/>
      <w:ind w:left="1540"/>
    </w:pPr>
    <w:rPr>
      <w:rFonts w:ascii="Calibri" w:eastAsia="Times New Roman" w:hAnsi="Calibri"/>
      <w:sz w:val="22"/>
      <w:lang w:eastAsia="pt-BR"/>
    </w:rPr>
  </w:style>
  <w:style w:type="paragraph" w:styleId="Sumrio9">
    <w:name w:val="toc 9"/>
    <w:basedOn w:val="Normal"/>
    <w:next w:val="Normal"/>
    <w:autoRedefine/>
    <w:uiPriority w:val="39"/>
    <w:unhideWhenUsed/>
    <w:rsid w:val="00E25037"/>
    <w:pPr>
      <w:spacing w:after="100" w:line="276" w:lineRule="auto"/>
      <w:ind w:left="1760"/>
    </w:pPr>
    <w:rPr>
      <w:rFonts w:ascii="Calibri" w:eastAsia="Times New Roman" w:hAnsi="Calibri"/>
      <w:sz w:val="22"/>
      <w:lang w:eastAsia="pt-BR"/>
    </w:rPr>
  </w:style>
  <w:style w:type="paragraph" w:customStyle="1" w:styleId="Imagem">
    <w:name w:val="Imagem"/>
    <w:basedOn w:val="Normal"/>
    <w:uiPriority w:val="99"/>
    <w:qFormat/>
    <w:rsid w:val="001E1202"/>
    <w:pPr>
      <w:suppressAutoHyphens/>
      <w:spacing w:before="120" w:after="120"/>
      <w:contextualSpacing/>
      <w:jc w:val="center"/>
    </w:pPr>
    <w:rPr>
      <w:rFonts w:eastAsia="Times New Roman"/>
      <w:color w:val="000000"/>
      <w:szCs w:val="20"/>
      <w:lang w:eastAsia="ar-SA"/>
    </w:rPr>
  </w:style>
  <w:style w:type="paragraph" w:customStyle="1" w:styleId="Fonte">
    <w:name w:val="Fonte"/>
    <w:basedOn w:val="Normal"/>
    <w:link w:val="FonteChar"/>
    <w:qFormat/>
    <w:rsid w:val="009C734F"/>
    <w:pPr>
      <w:spacing w:before="120" w:after="120"/>
      <w:contextualSpacing/>
      <w:jc w:val="center"/>
    </w:pPr>
    <w:rPr>
      <w:rFonts w:eastAsia="Times New Roman"/>
      <w:sz w:val="22"/>
      <w:lang w:eastAsia="pt-BR"/>
    </w:rPr>
  </w:style>
  <w:style w:type="paragraph" w:customStyle="1" w:styleId="figura">
    <w:name w:val="figura"/>
    <w:basedOn w:val="Normal"/>
    <w:next w:val="Legenda"/>
    <w:qFormat/>
    <w:rsid w:val="001E1202"/>
    <w:pPr>
      <w:widowControl w:val="0"/>
      <w:spacing w:line="240" w:lineRule="auto"/>
      <w:jc w:val="center"/>
    </w:pPr>
    <w:rPr>
      <w:rFonts w:eastAsia="Times New Roman" w:cs="Arial"/>
      <w:sz w:val="22"/>
      <w:szCs w:val="20"/>
      <w:lang w:eastAsia="pt-BR"/>
    </w:rPr>
  </w:style>
  <w:style w:type="table" w:styleId="SombreamentoClaro-nfase3">
    <w:name w:val="Light Shading Accent 3"/>
    <w:basedOn w:val="Tabelanormal"/>
    <w:uiPriority w:val="60"/>
    <w:rsid w:val="006C571A"/>
    <w:rPr>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ListaClara-nfase3">
    <w:name w:val="Light List Accent 3"/>
    <w:basedOn w:val="Tabelanormal"/>
    <w:uiPriority w:val="61"/>
    <w:rsid w:val="006C571A"/>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paragraph" w:styleId="Corpodetexto">
    <w:name w:val="Body Text"/>
    <w:basedOn w:val="Normal"/>
    <w:link w:val="CorpodetextoChar"/>
    <w:semiHidden/>
    <w:unhideWhenUsed/>
    <w:rsid w:val="008E01EF"/>
    <w:pPr>
      <w:spacing w:before="240" w:line="240" w:lineRule="auto"/>
    </w:pPr>
    <w:rPr>
      <w:rFonts w:ascii="Tahoma" w:eastAsia="Times New Roman" w:hAnsi="Tahoma" w:cs="Tahoma"/>
      <w:szCs w:val="24"/>
      <w:lang w:eastAsia="pt-BR"/>
    </w:rPr>
  </w:style>
  <w:style w:type="character" w:customStyle="1" w:styleId="CorpodetextoChar">
    <w:name w:val="Corpo de texto Char"/>
    <w:link w:val="Corpodetexto"/>
    <w:semiHidden/>
    <w:rsid w:val="008E01EF"/>
    <w:rPr>
      <w:rFonts w:ascii="Tahoma" w:eastAsia="Times New Roman" w:hAnsi="Tahoma" w:cs="Tahoma"/>
      <w:sz w:val="24"/>
      <w:szCs w:val="24"/>
    </w:rPr>
  </w:style>
  <w:style w:type="character" w:customStyle="1" w:styleId="PargrafodaListaChar">
    <w:name w:val="Parágrafo da Lista Char"/>
    <w:aliases w:val="Tópicos Char,Parágrafo da Lista1 Char"/>
    <w:link w:val="PargrafodaLista"/>
    <w:uiPriority w:val="34"/>
    <w:rsid w:val="001E1202"/>
    <w:rPr>
      <w:rFonts w:ascii="Arial" w:eastAsia="Times New Roman" w:hAnsi="Arial" w:cs="Arial"/>
      <w:sz w:val="24"/>
    </w:rPr>
  </w:style>
  <w:style w:type="paragraph" w:customStyle="1" w:styleId="Corpodetexto21">
    <w:name w:val="Corpo de texto 21"/>
    <w:basedOn w:val="Normal"/>
    <w:rsid w:val="000A0123"/>
    <w:pPr>
      <w:suppressAutoHyphens/>
      <w:spacing w:line="240" w:lineRule="auto"/>
    </w:pPr>
    <w:rPr>
      <w:rFonts w:eastAsia="Times New Roman"/>
      <w:sz w:val="20"/>
      <w:szCs w:val="20"/>
      <w:lang w:eastAsia="ar-SA"/>
    </w:rPr>
  </w:style>
  <w:style w:type="paragraph" w:customStyle="1" w:styleId="shs-texto">
    <w:name w:val="shs - texto"/>
    <w:basedOn w:val="Normal"/>
    <w:link w:val="shs-textoChar"/>
    <w:rsid w:val="000A0123"/>
    <w:pPr>
      <w:widowControl w:val="0"/>
      <w:ind w:firstLine="1134"/>
    </w:pPr>
    <w:rPr>
      <w:rFonts w:eastAsia="Times New Roman"/>
      <w:szCs w:val="36"/>
      <w:lang w:eastAsia="pt-BR"/>
    </w:rPr>
  </w:style>
  <w:style w:type="character" w:customStyle="1" w:styleId="shs-textoChar">
    <w:name w:val="shs - texto Char"/>
    <w:link w:val="shs-texto"/>
    <w:rsid w:val="000A0123"/>
    <w:rPr>
      <w:rFonts w:ascii="Arial" w:eastAsia="Times New Roman" w:hAnsi="Arial"/>
      <w:sz w:val="24"/>
      <w:szCs w:val="36"/>
    </w:rPr>
  </w:style>
  <w:style w:type="table" w:styleId="SombreamentoClaro-nfase1">
    <w:name w:val="Light Shading Accent 1"/>
    <w:basedOn w:val="Tabelanormal"/>
    <w:uiPriority w:val="60"/>
    <w:rsid w:val="000A0123"/>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Referncias">
    <w:name w:val="Referências"/>
    <w:basedOn w:val="Normal"/>
    <w:rsid w:val="00C57ADC"/>
    <w:pPr>
      <w:spacing w:before="120" w:after="120" w:line="276" w:lineRule="auto"/>
      <w:ind w:left="851" w:hanging="851"/>
      <w:contextualSpacing/>
    </w:pPr>
    <w:rPr>
      <w:rFonts w:ascii="Calibri" w:eastAsia="Times New Roman" w:hAnsi="Calibri" w:cs="Arial"/>
      <w:sz w:val="22"/>
      <w:szCs w:val="24"/>
      <w:lang w:eastAsia="pt-BR"/>
    </w:rPr>
  </w:style>
  <w:style w:type="character" w:customStyle="1" w:styleId="TextodecomentrioChar">
    <w:name w:val="Texto de comentário Char"/>
    <w:link w:val="Textodecomentrio"/>
    <w:uiPriority w:val="99"/>
    <w:semiHidden/>
    <w:rsid w:val="00C57ADC"/>
  </w:style>
  <w:style w:type="paragraph" w:styleId="Textodecomentrio">
    <w:name w:val="annotation text"/>
    <w:basedOn w:val="Normal"/>
    <w:link w:val="TextodecomentrioChar"/>
    <w:uiPriority w:val="99"/>
    <w:semiHidden/>
    <w:unhideWhenUsed/>
    <w:rsid w:val="00C57ADC"/>
    <w:pPr>
      <w:spacing w:after="200" w:line="276" w:lineRule="auto"/>
      <w:jc w:val="left"/>
    </w:pPr>
    <w:rPr>
      <w:rFonts w:ascii="Calibri" w:hAnsi="Calibri"/>
      <w:sz w:val="20"/>
      <w:szCs w:val="20"/>
      <w:lang w:eastAsia="pt-BR"/>
    </w:rPr>
  </w:style>
  <w:style w:type="character" w:customStyle="1" w:styleId="TextodecomentrioChar1">
    <w:name w:val="Texto de comentário Char1"/>
    <w:basedOn w:val="Fontepargpadro"/>
    <w:uiPriority w:val="99"/>
    <w:semiHidden/>
    <w:rsid w:val="00C57ADC"/>
    <w:rPr>
      <w:rFonts w:ascii="Arial" w:hAnsi="Arial"/>
      <w:lang w:eastAsia="en-US"/>
    </w:rPr>
  </w:style>
  <w:style w:type="character" w:customStyle="1" w:styleId="AssuntodocomentrioChar">
    <w:name w:val="Assunto do comentário Char"/>
    <w:link w:val="Assuntodocomentrio"/>
    <w:uiPriority w:val="99"/>
    <w:semiHidden/>
    <w:rsid w:val="00C57ADC"/>
    <w:rPr>
      <w:b/>
      <w:bCs/>
    </w:rPr>
  </w:style>
  <w:style w:type="paragraph" w:styleId="Assuntodocomentrio">
    <w:name w:val="annotation subject"/>
    <w:basedOn w:val="Textodecomentrio"/>
    <w:next w:val="Textodecomentrio"/>
    <w:link w:val="AssuntodocomentrioChar"/>
    <w:uiPriority w:val="99"/>
    <w:semiHidden/>
    <w:unhideWhenUsed/>
    <w:rsid w:val="00C57ADC"/>
    <w:rPr>
      <w:b/>
      <w:bCs/>
    </w:rPr>
  </w:style>
  <w:style w:type="character" w:customStyle="1" w:styleId="AssuntodocomentrioChar1">
    <w:name w:val="Assunto do comentário Char1"/>
    <w:basedOn w:val="TextodecomentrioChar1"/>
    <w:uiPriority w:val="99"/>
    <w:semiHidden/>
    <w:rsid w:val="00C57ADC"/>
    <w:rPr>
      <w:rFonts w:ascii="Arial" w:hAnsi="Arial"/>
      <w:b/>
      <w:bCs/>
      <w:lang w:eastAsia="en-US"/>
    </w:rPr>
  </w:style>
  <w:style w:type="character" w:customStyle="1" w:styleId="TextodenotaderodapChar">
    <w:name w:val="Texto de nota de rodapé Char"/>
    <w:link w:val="Textodenotaderodap"/>
    <w:uiPriority w:val="99"/>
    <w:semiHidden/>
    <w:rsid w:val="00C57ADC"/>
  </w:style>
  <w:style w:type="paragraph" w:styleId="Textodenotaderodap">
    <w:name w:val="footnote text"/>
    <w:basedOn w:val="Normal"/>
    <w:link w:val="TextodenotaderodapChar"/>
    <w:uiPriority w:val="99"/>
    <w:semiHidden/>
    <w:unhideWhenUsed/>
    <w:rsid w:val="00C57ADC"/>
    <w:pPr>
      <w:spacing w:after="200" w:line="276" w:lineRule="auto"/>
      <w:jc w:val="left"/>
    </w:pPr>
    <w:rPr>
      <w:rFonts w:ascii="Calibri" w:hAnsi="Calibri"/>
      <w:sz w:val="20"/>
      <w:szCs w:val="20"/>
      <w:lang w:eastAsia="pt-BR"/>
    </w:rPr>
  </w:style>
  <w:style w:type="character" w:customStyle="1" w:styleId="TextodenotaderodapChar1">
    <w:name w:val="Texto de nota de rodapé Char1"/>
    <w:basedOn w:val="Fontepargpadro"/>
    <w:uiPriority w:val="99"/>
    <w:semiHidden/>
    <w:rsid w:val="00C57ADC"/>
    <w:rPr>
      <w:rFonts w:ascii="Arial" w:hAnsi="Arial"/>
      <w:lang w:eastAsia="en-US"/>
    </w:rPr>
  </w:style>
  <w:style w:type="character" w:styleId="Refdecomentrio">
    <w:name w:val="annotation reference"/>
    <w:uiPriority w:val="99"/>
    <w:semiHidden/>
    <w:unhideWhenUsed/>
    <w:rsid w:val="00C57ADC"/>
    <w:rPr>
      <w:sz w:val="16"/>
      <w:szCs w:val="16"/>
    </w:rPr>
  </w:style>
  <w:style w:type="paragraph" w:customStyle="1" w:styleId="SHS-temdeTabelaEsquerda">
    <w:name w:val="SHS - Ítem de Tabela à Esquerda"/>
    <w:basedOn w:val="Normal"/>
    <w:next w:val="Normal"/>
    <w:rsid w:val="00C57ADC"/>
    <w:pPr>
      <w:widowControl w:val="0"/>
      <w:spacing w:line="240" w:lineRule="auto"/>
      <w:jc w:val="left"/>
    </w:pPr>
    <w:rPr>
      <w:rFonts w:eastAsia="MS Mincho" w:cs="Arial"/>
      <w:sz w:val="20"/>
      <w:szCs w:val="15"/>
      <w:lang w:eastAsia="pt-BR"/>
    </w:rPr>
  </w:style>
  <w:style w:type="paragraph" w:customStyle="1" w:styleId="SHS-Lista">
    <w:name w:val="SHS - Lista"/>
    <w:basedOn w:val="Normal"/>
    <w:link w:val="SHS-ListaChar"/>
    <w:rsid w:val="00C57ADC"/>
    <w:pPr>
      <w:widowControl w:val="0"/>
      <w:numPr>
        <w:numId w:val="7"/>
      </w:numPr>
      <w:spacing w:before="60" w:after="120"/>
    </w:pPr>
    <w:rPr>
      <w:rFonts w:eastAsia="Times New Roman"/>
      <w:szCs w:val="24"/>
      <w:lang w:eastAsia="pt-BR"/>
    </w:rPr>
  </w:style>
  <w:style w:type="paragraph" w:customStyle="1" w:styleId="SHS-Fonte">
    <w:name w:val="SHS - Fonte"/>
    <w:basedOn w:val="Normal"/>
    <w:next w:val="Normal"/>
    <w:link w:val="SHS-FonteChar"/>
    <w:rsid w:val="00C57ADC"/>
    <w:pPr>
      <w:widowControl w:val="0"/>
      <w:autoSpaceDE w:val="0"/>
      <w:autoSpaceDN w:val="0"/>
      <w:adjustRightInd w:val="0"/>
      <w:spacing w:after="120" w:line="240" w:lineRule="auto"/>
      <w:jc w:val="center"/>
    </w:pPr>
    <w:rPr>
      <w:rFonts w:eastAsia="Times New Roman"/>
      <w:sz w:val="20"/>
      <w:szCs w:val="24"/>
      <w:lang w:eastAsia="pt-BR"/>
    </w:rPr>
  </w:style>
  <w:style w:type="character" w:customStyle="1" w:styleId="SHS-FonteChar">
    <w:name w:val="SHS - Fonte Char"/>
    <w:link w:val="SHS-Fonte"/>
    <w:rsid w:val="00C57ADC"/>
    <w:rPr>
      <w:rFonts w:ascii="Arial" w:eastAsia="Times New Roman" w:hAnsi="Arial"/>
      <w:szCs w:val="24"/>
    </w:rPr>
  </w:style>
  <w:style w:type="paragraph" w:customStyle="1" w:styleId="EstiloSHS-Ttulo03Negrito">
    <w:name w:val="Estilo SHS - Título 03 + Negrito"/>
    <w:basedOn w:val="Normal"/>
    <w:rsid w:val="00C57ADC"/>
    <w:pPr>
      <w:widowControl w:val="0"/>
      <w:tabs>
        <w:tab w:val="num" w:pos="720"/>
      </w:tabs>
      <w:spacing w:before="120" w:after="240"/>
      <w:ind w:left="720" w:hanging="720"/>
      <w:outlineLvl w:val="2"/>
    </w:pPr>
    <w:rPr>
      <w:rFonts w:eastAsia="Times New Roman"/>
      <w:b/>
      <w:bCs/>
      <w:i/>
      <w:iCs/>
      <w:szCs w:val="24"/>
      <w:lang w:eastAsia="pt-BR"/>
    </w:rPr>
  </w:style>
  <w:style w:type="paragraph" w:customStyle="1" w:styleId="SHS-Figura">
    <w:name w:val="SHS - Figura"/>
    <w:basedOn w:val="Normal"/>
    <w:next w:val="Normal"/>
    <w:rsid w:val="00C57ADC"/>
    <w:pPr>
      <w:keepNext/>
      <w:widowControl w:val="0"/>
      <w:spacing w:before="60" w:after="120"/>
      <w:jc w:val="center"/>
    </w:pPr>
    <w:rPr>
      <w:rFonts w:eastAsia="Times New Roman"/>
      <w:bCs/>
      <w:szCs w:val="24"/>
      <w:lang w:eastAsia="pt-BR"/>
    </w:rPr>
  </w:style>
  <w:style w:type="character" w:customStyle="1" w:styleId="SHS-ListaChar">
    <w:name w:val="SHS - Lista Char"/>
    <w:link w:val="SHS-Lista"/>
    <w:rsid w:val="00C57ADC"/>
    <w:rPr>
      <w:rFonts w:ascii="Arial" w:eastAsia="Times New Roman" w:hAnsi="Arial"/>
      <w:sz w:val="24"/>
      <w:szCs w:val="24"/>
    </w:rPr>
  </w:style>
  <w:style w:type="character" w:styleId="TextodoEspaoReservado">
    <w:name w:val="Placeholder Text"/>
    <w:uiPriority w:val="99"/>
    <w:semiHidden/>
    <w:rsid w:val="00C57ADC"/>
    <w:rPr>
      <w:color w:val="808080"/>
    </w:rPr>
  </w:style>
  <w:style w:type="paragraph" w:styleId="Citao">
    <w:name w:val="Quote"/>
    <w:basedOn w:val="Normal"/>
    <w:next w:val="Normal"/>
    <w:link w:val="CitaoChar"/>
    <w:uiPriority w:val="29"/>
    <w:qFormat/>
    <w:rsid w:val="00C57ADC"/>
    <w:pPr>
      <w:tabs>
        <w:tab w:val="left" w:pos="1845"/>
      </w:tabs>
      <w:ind w:firstLine="360"/>
    </w:pPr>
    <w:rPr>
      <w:rFonts w:cs="Arial"/>
      <w:i/>
      <w:sz w:val="22"/>
      <w:szCs w:val="24"/>
      <w:shd w:val="clear" w:color="auto" w:fill="FFFFFF"/>
    </w:rPr>
  </w:style>
  <w:style w:type="character" w:customStyle="1" w:styleId="CitaoChar">
    <w:name w:val="Citação Char"/>
    <w:basedOn w:val="Fontepargpadro"/>
    <w:link w:val="Citao"/>
    <w:uiPriority w:val="29"/>
    <w:rsid w:val="00C57ADC"/>
    <w:rPr>
      <w:rFonts w:ascii="Arial" w:hAnsi="Arial" w:cs="Arial"/>
      <w:i/>
      <w:sz w:val="22"/>
      <w:szCs w:val="24"/>
      <w:lang w:eastAsia="en-US"/>
    </w:rPr>
  </w:style>
  <w:style w:type="character" w:styleId="Refdenotaderodap">
    <w:name w:val="footnote reference"/>
    <w:uiPriority w:val="99"/>
    <w:semiHidden/>
    <w:unhideWhenUsed/>
    <w:rsid w:val="00C57ADC"/>
    <w:rPr>
      <w:vertAlign w:val="superscript"/>
    </w:rPr>
  </w:style>
  <w:style w:type="paragraph" w:customStyle="1" w:styleId="texto1">
    <w:name w:val="texto1"/>
    <w:basedOn w:val="Normal"/>
    <w:rsid w:val="00C57ADC"/>
    <w:pPr>
      <w:spacing w:before="100" w:beforeAutospacing="1" w:after="100" w:afterAutospacing="1" w:line="240" w:lineRule="auto"/>
      <w:jc w:val="left"/>
    </w:pPr>
    <w:rPr>
      <w:rFonts w:ascii="Times New Roman" w:eastAsia="Times New Roman" w:hAnsi="Times New Roman"/>
      <w:szCs w:val="24"/>
      <w:lang w:eastAsia="pt-BR"/>
    </w:rPr>
  </w:style>
  <w:style w:type="character" w:styleId="HiperlinkVisitado">
    <w:name w:val="FollowedHyperlink"/>
    <w:uiPriority w:val="99"/>
    <w:semiHidden/>
    <w:unhideWhenUsed/>
    <w:rsid w:val="00C57ADC"/>
    <w:rPr>
      <w:color w:val="800080"/>
      <w:u w:val="single"/>
    </w:rPr>
  </w:style>
  <w:style w:type="character" w:customStyle="1" w:styleId="Ttulo2Char1">
    <w:name w:val="Título 2 Char1"/>
    <w:aliases w:val="Título 2 NUMERADO Char1"/>
    <w:uiPriority w:val="9"/>
    <w:semiHidden/>
    <w:rsid w:val="00C57ADC"/>
    <w:rPr>
      <w:rFonts w:ascii="Cambria" w:eastAsia="Times New Roman" w:hAnsi="Cambria" w:cs="Times New Roman"/>
      <w:b/>
      <w:bCs/>
      <w:color w:val="4F81BD"/>
      <w:sz w:val="26"/>
      <w:szCs w:val="26"/>
    </w:rPr>
  </w:style>
  <w:style w:type="paragraph" w:styleId="SemEspaamento">
    <w:name w:val="No Spacing"/>
    <w:link w:val="SemEspaamentoChar"/>
    <w:uiPriority w:val="1"/>
    <w:qFormat/>
    <w:rsid w:val="00C57ADC"/>
    <w:pPr>
      <w:spacing w:before="120" w:after="120" w:line="360" w:lineRule="auto"/>
    </w:pPr>
    <w:rPr>
      <w:rFonts w:ascii="Arial" w:hAnsi="Arial"/>
      <w:sz w:val="22"/>
      <w:szCs w:val="22"/>
      <w:lang w:eastAsia="en-US"/>
    </w:rPr>
  </w:style>
  <w:style w:type="character" w:styleId="nfase">
    <w:name w:val="Emphasis"/>
    <w:aliases w:val="Sem numeração"/>
    <w:uiPriority w:val="20"/>
    <w:qFormat/>
    <w:rsid w:val="00DC302E"/>
    <w:rPr>
      <w:i/>
      <w:iCs/>
    </w:rPr>
  </w:style>
  <w:style w:type="character" w:customStyle="1" w:styleId="Ttulo1Char1">
    <w:name w:val="Título 1 Char1"/>
    <w:aliases w:val="Título 1 - SHS Char1,Títuloy numerado Char1,Título 2_novo Char1"/>
    <w:uiPriority w:val="9"/>
    <w:rsid w:val="00DC302E"/>
    <w:rPr>
      <w:rFonts w:ascii="Cambria" w:eastAsia="Times New Roman" w:hAnsi="Cambria" w:cs="Times New Roman"/>
      <w:b/>
      <w:bCs/>
      <w:color w:val="365F91"/>
      <w:sz w:val="28"/>
      <w:szCs w:val="28"/>
    </w:rPr>
  </w:style>
  <w:style w:type="paragraph" w:styleId="Ttulo">
    <w:name w:val="Title"/>
    <w:basedOn w:val="Normal"/>
    <w:next w:val="Normal"/>
    <w:link w:val="TtuloChar"/>
    <w:uiPriority w:val="10"/>
    <w:qFormat/>
    <w:rsid w:val="00DC302E"/>
    <w:pPr>
      <w:spacing w:before="240" w:after="60"/>
      <w:ind w:firstLine="709"/>
      <w:jc w:val="center"/>
      <w:outlineLvl w:val="0"/>
    </w:pPr>
    <w:rPr>
      <w:rFonts w:ascii="Cambria" w:eastAsia="Times New Roman" w:hAnsi="Cambria"/>
      <w:b/>
      <w:bCs/>
      <w:kern w:val="28"/>
      <w:sz w:val="32"/>
      <w:szCs w:val="32"/>
      <w:lang w:eastAsia="pt-BR"/>
    </w:rPr>
  </w:style>
  <w:style w:type="character" w:customStyle="1" w:styleId="TtuloChar">
    <w:name w:val="Título Char"/>
    <w:basedOn w:val="Fontepargpadro"/>
    <w:link w:val="Ttulo"/>
    <w:uiPriority w:val="10"/>
    <w:rsid w:val="00DC302E"/>
    <w:rPr>
      <w:rFonts w:ascii="Cambria" w:eastAsia="Times New Roman" w:hAnsi="Cambria"/>
      <w:b/>
      <w:bCs/>
      <w:kern w:val="28"/>
      <w:sz w:val="32"/>
      <w:szCs w:val="32"/>
    </w:rPr>
  </w:style>
  <w:style w:type="paragraph" w:styleId="Subttulo">
    <w:name w:val="Subtitle"/>
    <w:basedOn w:val="Normal"/>
    <w:next w:val="Normal"/>
    <w:link w:val="SubttuloChar"/>
    <w:uiPriority w:val="11"/>
    <w:qFormat/>
    <w:rsid w:val="00DC302E"/>
    <w:pPr>
      <w:spacing w:after="60"/>
      <w:ind w:firstLine="709"/>
      <w:jc w:val="center"/>
      <w:outlineLvl w:val="1"/>
    </w:pPr>
    <w:rPr>
      <w:rFonts w:ascii="Cambria" w:eastAsia="Times New Roman" w:hAnsi="Cambria"/>
      <w:szCs w:val="24"/>
      <w:lang w:eastAsia="pt-BR"/>
    </w:rPr>
  </w:style>
  <w:style w:type="character" w:customStyle="1" w:styleId="SubttuloChar">
    <w:name w:val="Subtítulo Char"/>
    <w:basedOn w:val="Fontepargpadro"/>
    <w:link w:val="Subttulo"/>
    <w:uiPriority w:val="11"/>
    <w:rsid w:val="00DC302E"/>
    <w:rPr>
      <w:rFonts w:ascii="Cambria" w:eastAsia="Times New Roman" w:hAnsi="Cambria"/>
      <w:sz w:val="24"/>
      <w:szCs w:val="24"/>
    </w:rPr>
  </w:style>
  <w:style w:type="paragraph" w:styleId="CitaoIntensa">
    <w:name w:val="Intense Quote"/>
    <w:basedOn w:val="Normal"/>
    <w:next w:val="Normal"/>
    <w:link w:val="CitaoIntensaChar"/>
    <w:uiPriority w:val="30"/>
    <w:qFormat/>
    <w:rsid w:val="00DC302E"/>
    <w:pPr>
      <w:pBdr>
        <w:bottom w:val="single" w:sz="4" w:space="4" w:color="4F81BD"/>
      </w:pBdr>
      <w:spacing w:before="200" w:after="280"/>
      <w:ind w:left="936" w:right="936" w:firstLine="709"/>
    </w:pPr>
    <w:rPr>
      <w:rFonts w:eastAsia="Times New Roman"/>
      <w:b/>
      <w:bCs/>
      <w:i/>
      <w:iCs/>
      <w:color w:val="4F81BD"/>
      <w:szCs w:val="20"/>
      <w:lang w:eastAsia="pt-BR"/>
    </w:rPr>
  </w:style>
  <w:style w:type="character" w:customStyle="1" w:styleId="CitaoIntensaChar">
    <w:name w:val="Citação Intensa Char"/>
    <w:basedOn w:val="Fontepargpadro"/>
    <w:link w:val="CitaoIntensa"/>
    <w:uiPriority w:val="30"/>
    <w:rsid w:val="00DC302E"/>
    <w:rPr>
      <w:rFonts w:ascii="Arial" w:eastAsia="Times New Roman" w:hAnsi="Arial"/>
      <w:b/>
      <w:bCs/>
      <w:i/>
      <w:iCs/>
      <w:color w:val="4F81BD"/>
      <w:sz w:val="24"/>
    </w:rPr>
  </w:style>
  <w:style w:type="paragraph" w:customStyle="1" w:styleId="Estilo2">
    <w:name w:val="Estilo2"/>
    <w:basedOn w:val="SHS-Ttulo02"/>
    <w:qFormat/>
    <w:rsid w:val="00DC302E"/>
    <w:pPr>
      <w:widowControl/>
      <w:numPr>
        <w:ilvl w:val="0"/>
        <w:numId w:val="0"/>
      </w:numPr>
      <w:tabs>
        <w:tab w:val="num" w:pos="1566"/>
      </w:tabs>
      <w:spacing w:before="120" w:after="120"/>
      <w:ind w:left="1566" w:hanging="432"/>
    </w:pPr>
    <w:rPr>
      <w:rFonts w:cs="Times New Roman"/>
    </w:rPr>
  </w:style>
  <w:style w:type="paragraph" w:customStyle="1" w:styleId="LegendaBaixo">
    <w:name w:val="Legenda Baixo"/>
    <w:basedOn w:val="Legenda"/>
    <w:next w:val="Legenda"/>
    <w:autoRedefine/>
    <w:qFormat/>
    <w:rsid w:val="00DC302E"/>
    <w:pPr>
      <w:tabs>
        <w:tab w:val="left" w:pos="142"/>
      </w:tabs>
      <w:spacing w:before="0" w:after="0"/>
      <w:contextualSpacing/>
    </w:pPr>
    <w:rPr>
      <w:rFonts w:eastAsia="Calibri" w:cs="Times New Roman"/>
      <w:sz w:val="22"/>
      <w:szCs w:val="22"/>
      <w:lang w:val="pt-BR" w:eastAsia="pt-BR"/>
    </w:rPr>
  </w:style>
  <w:style w:type="character" w:styleId="nfaseIntensa">
    <w:name w:val="Intense Emphasis"/>
    <w:uiPriority w:val="21"/>
    <w:qFormat/>
    <w:rsid w:val="00DC302E"/>
    <w:rPr>
      <w:b/>
      <w:bCs/>
      <w:i/>
      <w:iCs/>
      <w:color w:val="4F81BD"/>
    </w:rPr>
  </w:style>
  <w:style w:type="character" w:styleId="RefernciaSutil">
    <w:name w:val="Subtle Reference"/>
    <w:uiPriority w:val="31"/>
    <w:qFormat/>
    <w:rsid w:val="00DC302E"/>
    <w:rPr>
      <w:smallCaps/>
      <w:color w:val="C0504D"/>
      <w:u w:val="single"/>
    </w:rPr>
  </w:style>
  <w:style w:type="character" w:styleId="RefernciaIntensa">
    <w:name w:val="Intense Reference"/>
    <w:uiPriority w:val="32"/>
    <w:qFormat/>
    <w:rsid w:val="00DC302E"/>
    <w:rPr>
      <w:b/>
      <w:bCs/>
      <w:smallCaps/>
      <w:color w:val="C0504D"/>
      <w:spacing w:val="5"/>
      <w:u w:val="single"/>
    </w:rPr>
  </w:style>
  <w:style w:type="character" w:styleId="TtulodoLivro">
    <w:name w:val="Book Title"/>
    <w:uiPriority w:val="33"/>
    <w:qFormat/>
    <w:rsid w:val="00DC302E"/>
    <w:rPr>
      <w:b/>
      <w:bCs/>
      <w:smallCaps/>
      <w:spacing w:val="5"/>
    </w:rPr>
  </w:style>
  <w:style w:type="paragraph" w:customStyle="1" w:styleId="tabela-cab">
    <w:name w:val="tabela-cab"/>
    <w:basedOn w:val="Normal"/>
    <w:link w:val="tabela-cabChar"/>
    <w:qFormat/>
    <w:rsid w:val="00601752"/>
    <w:pPr>
      <w:spacing w:before="60" w:after="60" w:line="240" w:lineRule="auto"/>
      <w:jc w:val="center"/>
    </w:pPr>
    <w:rPr>
      <w:rFonts w:eastAsia="Times New Roman" w:cs="Arial"/>
      <w:b/>
      <w:color w:val="000000"/>
      <w:sz w:val="20"/>
      <w:szCs w:val="20"/>
      <w:lang w:eastAsia="pt-BR"/>
    </w:rPr>
  </w:style>
  <w:style w:type="character" w:customStyle="1" w:styleId="tabela-cabChar">
    <w:name w:val="tabela-cab Char"/>
    <w:basedOn w:val="Fontepargpadro"/>
    <w:link w:val="tabela-cab"/>
    <w:rsid w:val="00601752"/>
    <w:rPr>
      <w:rFonts w:ascii="Arial" w:eastAsia="Times New Roman" w:hAnsi="Arial" w:cs="Arial"/>
      <w:b/>
      <w:color w:val="000000"/>
    </w:rPr>
  </w:style>
  <w:style w:type="paragraph" w:customStyle="1" w:styleId="Legendas">
    <w:name w:val="Legendas"/>
    <w:basedOn w:val="Normal"/>
    <w:link w:val="LegendasChar"/>
    <w:qFormat/>
    <w:rsid w:val="00796D32"/>
    <w:pPr>
      <w:spacing w:line="240" w:lineRule="auto"/>
      <w:jc w:val="center"/>
    </w:pPr>
    <w:rPr>
      <w:rFonts w:cs="Arial"/>
      <w:b/>
      <w:bCs/>
      <w:sz w:val="22"/>
    </w:rPr>
  </w:style>
  <w:style w:type="character" w:customStyle="1" w:styleId="LegendasChar">
    <w:name w:val="Legendas Char"/>
    <w:link w:val="Legendas"/>
    <w:locked/>
    <w:rsid w:val="00796D32"/>
    <w:rPr>
      <w:rFonts w:ascii="Arial" w:hAnsi="Arial" w:cs="Arial"/>
      <w:b/>
      <w:bCs/>
      <w:sz w:val="22"/>
      <w:szCs w:val="22"/>
      <w:lang w:eastAsia="en-US"/>
    </w:rPr>
  </w:style>
  <w:style w:type="paragraph" w:customStyle="1" w:styleId="Quadro1">
    <w:name w:val="Quadro1"/>
    <w:basedOn w:val="Normal"/>
    <w:autoRedefine/>
    <w:qFormat/>
    <w:rsid w:val="00796D32"/>
    <w:pPr>
      <w:tabs>
        <w:tab w:val="left" w:pos="2418"/>
      </w:tabs>
      <w:spacing w:line="240" w:lineRule="auto"/>
    </w:pPr>
    <w:rPr>
      <w:rFonts w:eastAsia="Batang" w:cs="Arial"/>
      <w:sz w:val="20"/>
      <w:szCs w:val="20"/>
      <w:lang w:eastAsia="pt-BR"/>
    </w:rPr>
  </w:style>
  <w:style w:type="paragraph" w:customStyle="1" w:styleId="N0Figura">
    <w:name w:val="N0 Figura"/>
    <w:basedOn w:val="Normal"/>
    <w:next w:val="Legenda"/>
    <w:qFormat/>
    <w:rsid w:val="00796D32"/>
    <w:pPr>
      <w:jc w:val="center"/>
    </w:pPr>
    <w:rPr>
      <w:rFonts w:cs="Arial"/>
      <w:noProof/>
      <w:szCs w:val="24"/>
      <w:lang w:eastAsia="pt-BR"/>
    </w:rPr>
  </w:style>
  <w:style w:type="paragraph" w:customStyle="1" w:styleId="N0Fonte">
    <w:name w:val="N0 Fonte"/>
    <w:basedOn w:val="Normal"/>
    <w:qFormat/>
    <w:rsid w:val="00796D32"/>
    <w:pPr>
      <w:spacing w:after="240" w:line="276" w:lineRule="auto"/>
      <w:ind w:left="709"/>
    </w:pPr>
    <w:rPr>
      <w:rFonts w:cs="Arial"/>
      <w:sz w:val="20"/>
      <w:szCs w:val="20"/>
    </w:rPr>
  </w:style>
  <w:style w:type="paragraph" w:customStyle="1" w:styleId="normal2">
    <w:name w:val="normal2"/>
    <w:basedOn w:val="Normal"/>
    <w:qFormat/>
    <w:rsid w:val="00796D32"/>
    <w:pPr>
      <w:spacing w:before="100" w:beforeAutospacing="1" w:after="100" w:afterAutospacing="1" w:line="240" w:lineRule="auto"/>
      <w:jc w:val="center"/>
    </w:pPr>
    <w:rPr>
      <w:rFonts w:eastAsia="Times New Roman" w:cs="Arial"/>
      <w:b/>
      <w:bCs/>
      <w:szCs w:val="24"/>
      <w:lang w:eastAsia="pt-BR"/>
    </w:rPr>
  </w:style>
  <w:style w:type="character" w:customStyle="1" w:styleId="SemEspaamentoChar">
    <w:name w:val="Sem Espaçamento Char"/>
    <w:link w:val="SemEspaamento"/>
    <w:uiPriority w:val="1"/>
    <w:locked/>
    <w:rsid w:val="00796D32"/>
    <w:rPr>
      <w:rFonts w:ascii="Arial" w:hAnsi="Arial"/>
      <w:sz w:val="22"/>
      <w:szCs w:val="22"/>
      <w:lang w:eastAsia="en-US"/>
    </w:rPr>
  </w:style>
  <w:style w:type="character" w:customStyle="1" w:styleId="fontstyle01">
    <w:name w:val="fontstyle01"/>
    <w:basedOn w:val="Fontepargpadro"/>
    <w:rsid w:val="00983E19"/>
    <w:rPr>
      <w:rFonts w:ascii="Helvetica-Bold" w:hAnsi="Helvetica-Bold" w:hint="default"/>
      <w:b/>
      <w:bCs/>
      <w:i w:val="0"/>
      <w:iCs w:val="0"/>
      <w:color w:val="000000"/>
      <w:sz w:val="20"/>
      <w:szCs w:val="20"/>
    </w:rPr>
  </w:style>
  <w:style w:type="character" w:customStyle="1" w:styleId="fontstyle21">
    <w:name w:val="fontstyle21"/>
    <w:basedOn w:val="Fontepargpadro"/>
    <w:rsid w:val="00956738"/>
    <w:rPr>
      <w:rFonts w:ascii="Arial" w:hAnsi="Arial" w:cs="Arial" w:hint="default"/>
      <w:b w:val="0"/>
      <w:bCs w:val="0"/>
      <w:i w:val="0"/>
      <w:iCs w:val="0"/>
      <w:color w:val="000000"/>
      <w:sz w:val="24"/>
      <w:szCs w:val="24"/>
    </w:rPr>
  </w:style>
  <w:style w:type="character" w:customStyle="1" w:styleId="t1">
    <w:name w:val="t1"/>
    <w:basedOn w:val="Fontepargpadro"/>
    <w:rsid w:val="00D62FE7"/>
  </w:style>
  <w:style w:type="table" w:customStyle="1" w:styleId="TabeladeGrade4-nfase11">
    <w:name w:val="Tabela de Grade 4 - Ênfase 11"/>
    <w:basedOn w:val="Tabelanormal"/>
    <w:uiPriority w:val="49"/>
    <w:rsid w:val="00193B74"/>
    <w:rPr>
      <w:rFonts w:ascii="Arial" w:hAnsi="Arial" w:cs="Arial"/>
      <w:color w:val="00B0F0"/>
      <w:sz w:val="22"/>
      <w:szCs w:val="22"/>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FonteChar">
    <w:name w:val="Fonte Char"/>
    <w:link w:val="Fonte"/>
    <w:locked/>
    <w:rsid w:val="00193B74"/>
    <w:rPr>
      <w:rFonts w:ascii="Arial" w:eastAsia="Times New Roman" w:hAnsi="Arial"/>
      <w:sz w:val="22"/>
      <w:szCs w:val="22"/>
    </w:rPr>
  </w:style>
  <w:style w:type="character" w:customStyle="1" w:styleId="TextodenotadefimChar">
    <w:name w:val="Texto de nota de fim Char"/>
    <w:basedOn w:val="Fontepargpadro"/>
    <w:link w:val="Textodenotadefim"/>
    <w:uiPriority w:val="99"/>
    <w:semiHidden/>
    <w:rsid w:val="00193B74"/>
    <w:rPr>
      <w:rFonts w:ascii="Arial" w:hAnsi="Arial"/>
      <w:lang w:val="x-none" w:eastAsia="en-US"/>
    </w:rPr>
  </w:style>
  <w:style w:type="paragraph" w:styleId="Textodenotadefim">
    <w:name w:val="endnote text"/>
    <w:basedOn w:val="Normal"/>
    <w:link w:val="TextodenotadefimChar"/>
    <w:uiPriority w:val="99"/>
    <w:semiHidden/>
    <w:unhideWhenUsed/>
    <w:rsid w:val="00193B74"/>
    <w:pPr>
      <w:jc w:val="left"/>
    </w:pPr>
    <w:rPr>
      <w:sz w:val="20"/>
      <w:szCs w:val="20"/>
      <w:lang w:val="x-none"/>
    </w:rPr>
  </w:style>
  <w:style w:type="character" w:customStyle="1" w:styleId="TextodenotadefimChar1">
    <w:name w:val="Texto de nota de fim Char1"/>
    <w:basedOn w:val="Fontepargpadro"/>
    <w:uiPriority w:val="99"/>
    <w:semiHidden/>
    <w:rsid w:val="00193B74"/>
    <w:rPr>
      <w:rFonts w:ascii="Arial" w:hAnsi="Arial"/>
      <w:lang w:eastAsia="en-US"/>
    </w:rPr>
  </w:style>
  <w:style w:type="table" w:customStyle="1" w:styleId="SombreamentoClaro-nfase11">
    <w:name w:val="Sombreamento Claro - Ênfase 11"/>
    <w:basedOn w:val="Tabelanormal"/>
    <w:uiPriority w:val="60"/>
    <w:rsid w:val="00193B74"/>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xl25">
    <w:name w:val="xl25"/>
    <w:basedOn w:val="Normal"/>
    <w:rsid w:val="00193B74"/>
    <w:pPr>
      <w:pBdr>
        <w:bottom w:val="single" w:sz="4" w:space="0" w:color="auto"/>
      </w:pBdr>
      <w:spacing w:before="100" w:beforeAutospacing="1" w:after="100" w:afterAutospacing="1" w:line="240" w:lineRule="auto"/>
      <w:jc w:val="left"/>
    </w:pPr>
    <w:rPr>
      <w:rFonts w:ascii="Times New Roman" w:eastAsia="Times New Roman" w:hAnsi="Times New Roman"/>
      <w:szCs w:val="24"/>
      <w:lang w:eastAsia="pt-BR"/>
    </w:rPr>
  </w:style>
  <w:style w:type="paragraph" w:customStyle="1" w:styleId="xl31">
    <w:name w:val="xl31"/>
    <w:basedOn w:val="Normal"/>
    <w:rsid w:val="00193B74"/>
    <w:pPr>
      <w:spacing w:before="100" w:beforeAutospacing="1" w:after="100" w:afterAutospacing="1" w:line="240" w:lineRule="auto"/>
      <w:jc w:val="center"/>
    </w:pPr>
    <w:rPr>
      <w:rFonts w:eastAsia="Times New Roman" w:cs="Arial"/>
      <w:b/>
      <w:bCs/>
      <w:szCs w:val="24"/>
      <w:lang w:eastAsia="pt-BR"/>
    </w:rPr>
  </w:style>
  <w:style w:type="character" w:customStyle="1" w:styleId="tema">
    <w:name w:val="tema"/>
    <w:basedOn w:val="Fontepargpadro"/>
    <w:rsid w:val="00193B74"/>
  </w:style>
  <w:style w:type="paragraph" w:customStyle="1" w:styleId="CabealhodoSumrio1">
    <w:name w:val="Cabeçalho do Sumário1"/>
    <w:basedOn w:val="Ttulo1"/>
    <w:next w:val="Normal"/>
    <w:rsid w:val="00193B74"/>
    <w:pPr>
      <w:spacing w:line="276" w:lineRule="auto"/>
      <w:jc w:val="left"/>
      <w:outlineLvl w:val="9"/>
    </w:pPr>
    <w:rPr>
      <w:rFonts w:eastAsia="Calibri" w:cs="Times New Roman"/>
      <w:lang w:eastAsia="pt-BR"/>
    </w:rPr>
  </w:style>
  <w:style w:type="character" w:customStyle="1" w:styleId="nfaseSutil1">
    <w:name w:val="Ênfase Sutil1"/>
    <w:rsid w:val="00193B74"/>
    <w:rPr>
      <w:rFonts w:ascii="Arial" w:hAnsi="Arial"/>
      <w:color w:val="808080"/>
      <w:sz w:val="24"/>
      <w:u w:val="single"/>
    </w:rPr>
  </w:style>
  <w:style w:type="paragraph" w:customStyle="1" w:styleId="SemEspaamento1">
    <w:name w:val="Sem Espaçamento1"/>
    <w:basedOn w:val="Normal"/>
    <w:rsid w:val="00193B74"/>
    <w:pPr>
      <w:spacing w:line="240" w:lineRule="auto"/>
      <w:ind w:firstLine="709"/>
    </w:pPr>
    <w:rPr>
      <w:szCs w:val="20"/>
      <w:lang w:eastAsia="pt-BR"/>
    </w:rPr>
  </w:style>
  <w:style w:type="paragraph" w:customStyle="1" w:styleId="Citao1">
    <w:name w:val="Citação1"/>
    <w:basedOn w:val="Normal"/>
    <w:next w:val="Normal"/>
    <w:link w:val="QuoteChar"/>
    <w:rsid w:val="00193B74"/>
    <w:pPr>
      <w:ind w:firstLine="709"/>
    </w:pPr>
    <w:rPr>
      <w:i/>
      <w:iCs/>
      <w:color w:val="000000"/>
      <w:szCs w:val="20"/>
      <w:lang w:val="x-none" w:eastAsia="x-none"/>
    </w:rPr>
  </w:style>
  <w:style w:type="character" w:customStyle="1" w:styleId="QuoteChar">
    <w:name w:val="Quote Char"/>
    <w:link w:val="Citao1"/>
    <w:locked/>
    <w:rsid w:val="00193B74"/>
    <w:rPr>
      <w:rFonts w:ascii="Arial" w:hAnsi="Arial"/>
      <w:i/>
      <w:iCs/>
      <w:color w:val="000000"/>
      <w:sz w:val="24"/>
      <w:lang w:val="x-none" w:eastAsia="x-none"/>
    </w:rPr>
  </w:style>
  <w:style w:type="paragraph" w:customStyle="1" w:styleId="CitaoIntensa1">
    <w:name w:val="Citação Intensa1"/>
    <w:basedOn w:val="Normal"/>
    <w:next w:val="Normal"/>
    <w:link w:val="IntenseQuoteChar"/>
    <w:rsid w:val="00193B74"/>
    <w:pPr>
      <w:pBdr>
        <w:bottom w:val="single" w:sz="4" w:space="4" w:color="4F81BD"/>
      </w:pBdr>
      <w:spacing w:before="200" w:after="280"/>
      <w:ind w:left="936" w:right="936" w:firstLine="709"/>
    </w:pPr>
    <w:rPr>
      <w:b/>
      <w:bCs/>
      <w:i/>
      <w:iCs/>
      <w:color w:val="4F81BD"/>
      <w:szCs w:val="20"/>
      <w:lang w:val="x-none" w:eastAsia="x-none"/>
    </w:rPr>
  </w:style>
  <w:style w:type="character" w:customStyle="1" w:styleId="IntenseQuoteChar">
    <w:name w:val="Intense Quote Char"/>
    <w:link w:val="CitaoIntensa1"/>
    <w:locked/>
    <w:rsid w:val="00193B74"/>
    <w:rPr>
      <w:rFonts w:ascii="Arial" w:hAnsi="Arial"/>
      <w:b/>
      <w:bCs/>
      <w:i/>
      <w:iCs/>
      <w:color w:val="4F81BD"/>
      <w:sz w:val="24"/>
      <w:lang w:val="x-none" w:eastAsia="x-none"/>
    </w:rPr>
  </w:style>
  <w:style w:type="character" w:customStyle="1" w:styleId="nfaseIntensa1">
    <w:name w:val="Ênfase Intensa1"/>
    <w:rsid w:val="00193B74"/>
    <w:rPr>
      <w:b/>
      <w:i/>
      <w:color w:val="4F81BD"/>
    </w:rPr>
  </w:style>
  <w:style w:type="character" w:customStyle="1" w:styleId="RefernciaSutil1">
    <w:name w:val="Referência Sutil1"/>
    <w:rsid w:val="00193B74"/>
    <w:rPr>
      <w:smallCaps/>
      <w:color w:val="C0504D"/>
      <w:u w:val="single"/>
    </w:rPr>
  </w:style>
  <w:style w:type="character" w:customStyle="1" w:styleId="RefernciaIntensa1">
    <w:name w:val="Referência Intensa1"/>
    <w:rsid w:val="00193B74"/>
    <w:rPr>
      <w:b/>
      <w:smallCaps/>
      <w:color w:val="C0504D"/>
      <w:spacing w:val="5"/>
      <w:u w:val="single"/>
    </w:rPr>
  </w:style>
  <w:style w:type="character" w:customStyle="1" w:styleId="TtulodoLivro1">
    <w:name w:val="Título do Livro1"/>
    <w:rsid w:val="00193B74"/>
    <w:rPr>
      <w:b/>
      <w:smallCaps/>
      <w:spacing w:val="5"/>
    </w:rPr>
  </w:style>
  <w:style w:type="paragraph" w:customStyle="1" w:styleId="Estilo1">
    <w:name w:val="Estilo1"/>
    <w:basedOn w:val="PargrafodaLista"/>
    <w:link w:val="Estilo1Char"/>
    <w:rsid w:val="00193B74"/>
    <w:pPr>
      <w:tabs>
        <w:tab w:val="left" w:pos="891"/>
      </w:tabs>
      <w:spacing w:before="240" w:after="200" w:line="240" w:lineRule="auto"/>
      <w:ind w:left="1069" w:hanging="360"/>
    </w:pPr>
    <w:rPr>
      <w:sz w:val="20"/>
    </w:rPr>
  </w:style>
  <w:style w:type="character" w:customStyle="1" w:styleId="Estilo1Char">
    <w:name w:val="Estilo1 Char"/>
    <w:link w:val="Estilo1"/>
    <w:rsid w:val="00193B74"/>
    <w:rPr>
      <w:rFonts w:ascii="Arial" w:eastAsia="Times New Roman" w:hAnsi="Arial" w:cs="Arial"/>
    </w:rPr>
  </w:style>
  <w:style w:type="paragraph" w:customStyle="1" w:styleId="artigo">
    <w:name w:val="artigo"/>
    <w:basedOn w:val="Normal"/>
    <w:rsid w:val="00193B74"/>
    <w:pPr>
      <w:spacing w:before="100" w:beforeAutospacing="1" w:after="100" w:afterAutospacing="1" w:line="240" w:lineRule="auto"/>
      <w:ind w:firstLine="709"/>
    </w:pPr>
    <w:rPr>
      <w:rFonts w:ascii="Times New Roman" w:eastAsia="Times New Roman" w:hAnsi="Times New Roman"/>
      <w:szCs w:val="24"/>
      <w:lang w:eastAsia="pt-BR"/>
    </w:rPr>
  </w:style>
  <w:style w:type="paragraph" w:customStyle="1" w:styleId="font6">
    <w:name w:val="font6"/>
    <w:basedOn w:val="Normal"/>
    <w:uiPriority w:val="99"/>
    <w:rsid w:val="00193B74"/>
    <w:pPr>
      <w:spacing w:before="100" w:beforeAutospacing="1" w:after="100" w:afterAutospacing="1" w:line="240" w:lineRule="auto"/>
      <w:ind w:firstLine="709"/>
    </w:pPr>
    <w:rPr>
      <w:rFonts w:eastAsia="Times New Roman" w:cs="Arial"/>
      <w:color w:val="000000"/>
      <w:sz w:val="20"/>
      <w:szCs w:val="20"/>
      <w:lang w:eastAsia="pt-BR"/>
    </w:rPr>
  </w:style>
  <w:style w:type="paragraph" w:customStyle="1" w:styleId="font5">
    <w:name w:val="font5"/>
    <w:basedOn w:val="Normal"/>
    <w:uiPriority w:val="99"/>
    <w:rsid w:val="00193B74"/>
    <w:pPr>
      <w:spacing w:before="100" w:beforeAutospacing="1" w:after="100" w:afterAutospacing="1" w:line="240" w:lineRule="auto"/>
      <w:ind w:firstLine="709"/>
    </w:pPr>
    <w:rPr>
      <w:rFonts w:eastAsia="Times New Roman" w:cs="Arial"/>
      <w:color w:val="000000"/>
      <w:sz w:val="20"/>
      <w:szCs w:val="20"/>
      <w:lang w:eastAsia="pt-BR"/>
    </w:rPr>
  </w:style>
  <w:style w:type="paragraph" w:customStyle="1" w:styleId="font7">
    <w:name w:val="font7"/>
    <w:basedOn w:val="Normal"/>
    <w:uiPriority w:val="99"/>
    <w:rsid w:val="00193B74"/>
    <w:pPr>
      <w:spacing w:before="100" w:beforeAutospacing="1" w:after="100" w:afterAutospacing="1" w:line="240" w:lineRule="auto"/>
      <w:ind w:firstLine="709"/>
    </w:pPr>
    <w:rPr>
      <w:rFonts w:eastAsia="Times New Roman" w:cs="Arial"/>
      <w:b/>
      <w:bCs/>
      <w:color w:val="000000"/>
      <w:sz w:val="18"/>
      <w:szCs w:val="18"/>
      <w:lang w:eastAsia="pt-BR"/>
    </w:rPr>
  </w:style>
  <w:style w:type="paragraph" w:customStyle="1" w:styleId="font8">
    <w:name w:val="font8"/>
    <w:basedOn w:val="Normal"/>
    <w:uiPriority w:val="99"/>
    <w:rsid w:val="00193B74"/>
    <w:pPr>
      <w:spacing w:before="100" w:beforeAutospacing="1" w:after="100" w:afterAutospacing="1" w:line="240" w:lineRule="auto"/>
      <w:ind w:firstLine="709"/>
    </w:pPr>
    <w:rPr>
      <w:rFonts w:eastAsia="Times New Roman" w:cs="Arial"/>
      <w:color w:val="000000"/>
      <w:sz w:val="19"/>
      <w:szCs w:val="19"/>
      <w:lang w:eastAsia="pt-BR"/>
    </w:rPr>
  </w:style>
  <w:style w:type="paragraph" w:customStyle="1" w:styleId="xl65">
    <w:name w:val="xl65"/>
    <w:basedOn w:val="Normal"/>
    <w:uiPriority w:val="99"/>
    <w:rsid w:val="00193B74"/>
    <w:pPr>
      <w:pBdr>
        <w:left w:val="single" w:sz="8" w:space="0" w:color="auto"/>
        <w:bottom w:val="single" w:sz="8" w:space="0" w:color="auto"/>
        <w:right w:val="single" w:sz="8" w:space="0" w:color="auto"/>
      </w:pBdr>
      <w:spacing w:before="100" w:beforeAutospacing="1" w:after="100" w:afterAutospacing="1" w:line="240" w:lineRule="auto"/>
      <w:ind w:firstLine="709"/>
      <w:jc w:val="center"/>
    </w:pPr>
    <w:rPr>
      <w:rFonts w:eastAsia="Times New Roman" w:cs="Arial"/>
      <w:color w:val="000000"/>
      <w:sz w:val="20"/>
      <w:szCs w:val="20"/>
      <w:lang w:eastAsia="pt-BR"/>
    </w:rPr>
  </w:style>
  <w:style w:type="paragraph" w:customStyle="1" w:styleId="xl66">
    <w:name w:val="xl66"/>
    <w:basedOn w:val="Normal"/>
    <w:uiPriority w:val="99"/>
    <w:rsid w:val="00193B74"/>
    <w:pPr>
      <w:pBdr>
        <w:top w:val="single" w:sz="8" w:space="0" w:color="auto"/>
        <w:left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cs="Arial"/>
      <w:b/>
      <w:bCs/>
      <w:color w:val="000000"/>
      <w:sz w:val="20"/>
      <w:szCs w:val="20"/>
      <w:lang w:eastAsia="pt-BR"/>
    </w:rPr>
  </w:style>
  <w:style w:type="paragraph" w:customStyle="1" w:styleId="xl67">
    <w:name w:val="xl67"/>
    <w:basedOn w:val="Normal"/>
    <w:uiPriority w:val="99"/>
    <w:rsid w:val="00193B74"/>
    <w:pPr>
      <w:pBdr>
        <w:left w:val="single" w:sz="8" w:space="0" w:color="auto"/>
        <w:bottom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cs="Arial"/>
      <w:b/>
      <w:bCs/>
      <w:color w:val="000000"/>
      <w:sz w:val="20"/>
      <w:szCs w:val="20"/>
      <w:lang w:eastAsia="pt-BR"/>
    </w:rPr>
  </w:style>
  <w:style w:type="paragraph" w:customStyle="1" w:styleId="xl68">
    <w:name w:val="xl68"/>
    <w:basedOn w:val="Normal"/>
    <w:uiPriority w:val="99"/>
    <w:rsid w:val="00193B74"/>
    <w:pPr>
      <w:pBdr>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cs="Arial"/>
      <w:color w:val="000000"/>
      <w:sz w:val="20"/>
      <w:szCs w:val="20"/>
      <w:lang w:eastAsia="pt-BR"/>
    </w:rPr>
  </w:style>
  <w:style w:type="paragraph" w:customStyle="1" w:styleId="xl69">
    <w:name w:val="xl69"/>
    <w:basedOn w:val="Normal"/>
    <w:uiPriority w:val="99"/>
    <w:rsid w:val="00193B74"/>
    <w:pPr>
      <w:pBdr>
        <w:bottom w:val="single" w:sz="8" w:space="0" w:color="auto"/>
        <w:right w:val="single" w:sz="8" w:space="0" w:color="auto"/>
      </w:pBdr>
      <w:spacing w:before="100" w:beforeAutospacing="1" w:after="100" w:afterAutospacing="1" w:line="240" w:lineRule="auto"/>
      <w:ind w:firstLine="709"/>
      <w:jc w:val="center"/>
    </w:pPr>
    <w:rPr>
      <w:rFonts w:eastAsia="Times New Roman" w:cs="Arial"/>
      <w:color w:val="000000"/>
      <w:sz w:val="20"/>
      <w:szCs w:val="20"/>
      <w:lang w:eastAsia="pt-BR"/>
    </w:rPr>
  </w:style>
  <w:style w:type="paragraph" w:customStyle="1" w:styleId="xl70">
    <w:name w:val="xl70"/>
    <w:basedOn w:val="Normal"/>
    <w:uiPriority w:val="99"/>
    <w:rsid w:val="00193B74"/>
    <w:pPr>
      <w:pBdr>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cs="Arial"/>
      <w:color w:val="000000"/>
      <w:sz w:val="20"/>
      <w:szCs w:val="20"/>
      <w:lang w:eastAsia="pt-BR"/>
    </w:rPr>
  </w:style>
  <w:style w:type="paragraph" w:customStyle="1" w:styleId="xl71">
    <w:name w:val="xl71"/>
    <w:basedOn w:val="Normal"/>
    <w:uiPriority w:val="99"/>
    <w:rsid w:val="00193B74"/>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709"/>
      <w:jc w:val="center"/>
    </w:pPr>
    <w:rPr>
      <w:rFonts w:eastAsia="Times New Roman" w:cs="Arial"/>
      <w:color w:val="000000"/>
      <w:sz w:val="20"/>
      <w:szCs w:val="20"/>
      <w:lang w:eastAsia="pt-BR"/>
    </w:rPr>
  </w:style>
  <w:style w:type="paragraph" w:customStyle="1" w:styleId="xl72">
    <w:name w:val="xl72"/>
    <w:basedOn w:val="Normal"/>
    <w:uiPriority w:val="99"/>
    <w:rsid w:val="00193B74"/>
    <w:pPr>
      <w:pBdr>
        <w:top w:val="single" w:sz="8" w:space="0" w:color="auto"/>
        <w:bottom w:val="single" w:sz="8" w:space="0" w:color="auto"/>
        <w:right w:val="single" w:sz="8" w:space="0" w:color="auto"/>
      </w:pBdr>
      <w:spacing w:before="100" w:beforeAutospacing="1" w:after="100" w:afterAutospacing="1" w:line="240" w:lineRule="auto"/>
      <w:ind w:firstLine="709"/>
      <w:jc w:val="center"/>
    </w:pPr>
    <w:rPr>
      <w:rFonts w:eastAsia="Times New Roman" w:cs="Arial"/>
      <w:color w:val="000000"/>
      <w:sz w:val="20"/>
      <w:szCs w:val="20"/>
      <w:lang w:eastAsia="pt-BR"/>
    </w:rPr>
  </w:style>
  <w:style w:type="paragraph" w:customStyle="1" w:styleId="xl73">
    <w:name w:val="xl73"/>
    <w:basedOn w:val="Normal"/>
    <w:uiPriority w:val="99"/>
    <w:rsid w:val="00193B74"/>
    <w:pPr>
      <w:pBdr>
        <w:top w:val="single" w:sz="8" w:space="0" w:color="auto"/>
        <w:bottom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cs="Arial"/>
      <w:color w:val="000000"/>
      <w:sz w:val="20"/>
      <w:szCs w:val="20"/>
      <w:lang w:eastAsia="pt-BR"/>
    </w:rPr>
  </w:style>
  <w:style w:type="paragraph" w:customStyle="1" w:styleId="xl74">
    <w:name w:val="xl74"/>
    <w:basedOn w:val="Normal"/>
    <w:uiPriority w:val="99"/>
    <w:rsid w:val="00193B74"/>
    <w:pPr>
      <w:pBdr>
        <w:bottom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cs="Arial"/>
      <w:color w:val="000000"/>
      <w:sz w:val="20"/>
      <w:szCs w:val="20"/>
      <w:lang w:eastAsia="pt-BR"/>
    </w:rPr>
  </w:style>
  <w:style w:type="paragraph" w:customStyle="1" w:styleId="xl75">
    <w:name w:val="xl75"/>
    <w:basedOn w:val="Normal"/>
    <w:uiPriority w:val="99"/>
    <w:rsid w:val="00193B74"/>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709"/>
    </w:pPr>
    <w:rPr>
      <w:rFonts w:eastAsia="Times New Roman" w:cs="Arial"/>
      <w:sz w:val="20"/>
      <w:szCs w:val="20"/>
      <w:lang w:eastAsia="pt-BR"/>
    </w:rPr>
  </w:style>
  <w:style w:type="paragraph" w:customStyle="1" w:styleId="xl76">
    <w:name w:val="xl76"/>
    <w:basedOn w:val="Normal"/>
    <w:uiPriority w:val="99"/>
    <w:rsid w:val="00193B74"/>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709"/>
    </w:pPr>
    <w:rPr>
      <w:rFonts w:eastAsia="Times New Roman" w:cs="Arial"/>
      <w:sz w:val="20"/>
      <w:szCs w:val="20"/>
      <w:lang w:eastAsia="pt-BR"/>
    </w:rPr>
  </w:style>
  <w:style w:type="paragraph" w:customStyle="1" w:styleId="xl77">
    <w:name w:val="xl77"/>
    <w:basedOn w:val="Normal"/>
    <w:uiPriority w:val="99"/>
    <w:rsid w:val="00193B74"/>
    <w:pPr>
      <w:spacing w:before="100" w:beforeAutospacing="1" w:after="100" w:afterAutospacing="1" w:line="240" w:lineRule="auto"/>
      <w:ind w:firstLine="709"/>
      <w:jc w:val="center"/>
    </w:pPr>
    <w:rPr>
      <w:rFonts w:eastAsia="Times New Roman" w:cs="Arial"/>
      <w:sz w:val="18"/>
      <w:szCs w:val="18"/>
      <w:lang w:eastAsia="pt-BR"/>
    </w:rPr>
  </w:style>
  <w:style w:type="paragraph" w:customStyle="1" w:styleId="xl78">
    <w:name w:val="xl78"/>
    <w:basedOn w:val="Normal"/>
    <w:uiPriority w:val="99"/>
    <w:rsid w:val="00193B74"/>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709"/>
    </w:pPr>
    <w:rPr>
      <w:rFonts w:eastAsia="Times New Roman" w:cs="Arial"/>
      <w:sz w:val="20"/>
      <w:szCs w:val="20"/>
      <w:lang w:eastAsia="pt-BR"/>
    </w:rPr>
  </w:style>
  <w:style w:type="paragraph" w:customStyle="1" w:styleId="xl79">
    <w:name w:val="xl79"/>
    <w:basedOn w:val="Normal"/>
    <w:uiPriority w:val="99"/>
    <w:rsid w:val="00193B74"/>
    <w:pPr>
      <w:pBdr>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cs="Arial"/>
      <w:sz w:val="20"/>
      <w:szCs w:val="20"/>
      <w:lang w:eastAsia="pt-BR"/>
    </w:rPr>
  </w:style>
  <w:style w:type="paragraph" w:customStyle="1" w:styleId="xl80">
    <w:name w:val="xl80"/>
    <w:basedOn w:val="Normal"/>
    <w:uiPriority w:val="99"/>
    <w:rsid w:val="00193B74"/>
    <w:pPr>
      <w:pBdr>
        <w:bottom w:val="single" w:sz="8" w:space="0" w:color="auto"/>
        <w:right w:val="single" w:sz="8" w:space="0" w:color="auto"/>
      </w:pBdr>
      <w:spacing w:before="100" w:beforeAutospacing="1" w:after="100" w:afterAutospacing="1" w:line="240" w:lineRule="auto"/>
      <w:ind w:firstLine="709"/>
      <w:jc w:val="center"/>
    </w:pPr>
    <w:rPr>
      <w:rFonts w:eastAsia="Times New Roman" w:cs="Arial"/>
      <w:sz w:val="20"/>
      <w:szCs w:val="20"/>
      <w:lang w:eastAsia="pt-BR"/>
    </w:rPr>
  </w:style>
  <w:style w:type="paragraph" w:customStyle="1" w:styleId="xl81">
    <w:name w:val="xl81"/>
    <w:basedOn w:val="Normal"/>
    <w:uiPriority w:val="99"/>
    <w:rsid w:val="00193B74"/>
    <w:pPr>
      <w:pBdr>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cs="Arial"/>
      <w:sz w:val="20"/>
      <w:szCs w:val="20"/>
      <w:lang w:eastAsia="pt-BR"/>
    </w:rPr>
  </w:style>
  <w:style w:type="paragraph" w:customStyle="1" w:styleId="xl82">
    <w:name w:val="xl82"/>
    <w:basedOn w:val="Normal"/>
    <w:uiPriority w:val="99"/>
    <w:rsid w:val="00193B74"/>
    <w:pPr>
      <w:pBdr>
        <w:left w:val="single" w:sz="8" w:space="0" w:color="auto"/>
        <w:bottom w:val="single" w:sz="8" w:space="0" w:color="auto"/>
        <w:right w:val="single" w:sz="8" w:space="0" w:color="auto"/>
      </w:pBdr>
      <w:spacing w:before="100" w:beforeAutospacing="1" w:after="100" w:afterAutospacing="1" w:line="240" w:lineRule="auto"/>
      <w:ind w:firstLine="709"/>
      <w:jc w:val="center"/>
    </w:pPr>
    <w:rPr>
      <w:rFonts w:eastAsia="Times New Roman" w:cs="Arial"/>
      <w:sz w:val="20"/>
      <w:szCs w:val="20"/>
      <w:lang w:eastAsia="pt-BR"/>
    </w:rPr>
  </w:style>
  <w:style w:type="paragraph" w:customStyle="1" w:styleId="xl83">
    <w:name w:val="xl83"/>
    <w:basedOn w:val="Normal"/>
    <w:uiPriority w:val="99"/>
    <w:rsid w:val="00193B74"/>
    <w:pPr>
      <w:pBdr>
        <w:bottom w:val="single" w:sz="8" w:space="0" w:color="auto"/>
        <w:right w:val="single" w:sz="8" w:space="0" w:color="auto"/>
      </w:pBdr>
      <w:spacing w:before="100" w:beforeAutospacing="1" w:after="100" w:afterAutospacing="1" w:line="240" w:lineRule="auto"/>
      <w:ind w:firstLine="709"/>
      <w:jc w:val="center"/>
    </w:pPr>
    <w:rPr>
      <w:rFonts w:eastAsia="Times New Roman" w:cs="Arial"/>
      <w:sz w:val="20"/>
      <w:szCs w:val="20"/>
      <w:lang w:eastAsia="pt-BR"/>
    </w:rPr>
  </w:style>
  <w:style w:type="paragraph" w:customStyle="1" w:styleId="xl84">
    <w:name w:val="xl84"/>
    <w:basedOn w:val="Normal"/>
    <w:uiPriority w:val="99"/>
    <w:rsid w:val="00193B74"/>
    <w:pPr>
      <w:spacing w:before="100" w:beforeAutospacing="1" w:after="100" w:afterAutospacing="1" w:line="240" w:lineRule="auto"/>
      <w:ind w:firstLine="709"/>
    </w:pPr>
    <w:rPr>
      <w:rFonts w:ascii="Times New Roman" w:eastAsia="Times New Roman" w:hAnsi="Times New Roman"/>
      <w:szCs w:val="24"/>
      <w:lang w:eastAsia="pt-BR"/>
    </w:rPr>
  </w:style>
  <w:style w:type="paragraph" w:customStyle="1" w:styleId="xl85">
    <w:name w:val="xl85"/>
    <w:basedOn w:val="Normal"/>
    <w:uiPriority w:val="99"/>
    <w:rsid w:val="00193B74"/>
    <w:pPr>
      <w:pBdr>
        <w:top w:val="single" w:sz="8" w:space="0" w:color="auto"/>
        <w:left w:val="single" w:sz="4" w:space="0" w:color="auto"/>
        <w:bottom w:val="single" w:sz="8" w:space="0" w:color="auto"/>
        <w:right w:val="single" w:sz="8" w:space="0" w:color="auto"/>
      </w:pBdr>
      <w:spacing w:before="100" w:beforeAutospacing="1" w:after="100" w:afterAutospacing="1" w:line="240" w:lineRule="auto"/>
      <w:ind w:firstLine="709"/>
      <w:jc w:val="center"/>
    </w:pPr>
    <w:rPr>
      <w:rFonts w:eastAsia="Times New Roman" w:cs="Arial"/>
      <w:color w:val="000000"/>
      <w:sz w:val="20"/>
      <w:szCs w:val="20"/>
      <w:lang w:eastAsia="pt-BR"/>
    </w:rPr>
  </w:style>
  <w:style w:type="paragraph" w:customStyle="1" w:styleId="xl86">
    <w:name w:val="xl86"/>
    <w:basedOn w:val="Normal"/>
    <w:uiPriority w:val="99"/>
    <w:rsid w:val="00193B74"/>
    <w:pPr>
      <w:pBdr>
        <w:top w:val="single" w:sz="8" w:space="0" w:color="auto"/>
        <w:bottom w:val="single" w:sz="8" w:space="0" w:color="auto"/>
        <w:right w:val="single" w:sz="8" w:space="0" w:color="auto"/>
      </w:pBdr>
      <w:spacing w:before="100" w:beforeAutospacing="1" w:after="100" w:afterAutospacing="1" w:line="240" w:lineRule="auto"/>
      <w:ind w:firstLine="709"/>
    </w:pPr>
    <w:rPr>
      <w:rFonts w:ascii="Times New Roman" w:eastAsia="Times New Roman" w:hAnsi="Times New Roman"/>
      <w:b/>
      <w:bCs/>
      <w:sz w:val="14"/>
      <w:szCs w:val="14"/>
      <w:lang w:eastAsia="pt-BR"/>
    </w:rPr>
  </w:style>
  <w:style w:type="paragraph" w:customStyle="1" w:styleId="xl87">
    <w:name w:val="xl87"/>
    <w:basedOn w:val="Normal"/>
    <w:uiPriority w:val="99"/>
    <w:rsid w:val="00193B74"/>
    <w:pPr>
      <w:pBdr>
        <w:bottom w:val="single" w:sz="8" w:space="0" w:color="auto"/>
        <w:right w:val="single" w:sz="8" w:space="0" w:color="auto"/>
      </w:pBdr>
      <w:spacing w:before="100" w:beforeAutospacing="1" w:after="100" w:afterAutospacing="1" w:line="240" w:lineRule="auto"/>
      <w:ind w:firstLine="709"/>
    </w:pPr>
    <w:rPr>
      <w:rFonts w:ascii="Times New Roman" w:eastAsia="Times New Roman" w:hAnsi="Times New Roman"/>
      <w:b/>
      <w:bCs/>
      <w:sz w:val="14"/>
      <w:szCs w:val="14"/>
      <w:lang w:eastAsia="pt-BR"/>
    </w:rPr>
  </w:style>
  <w:style w:type="paragraph" w:customStyle="1" w:styleId="xl88">
    <w:name w:val="xl88"/>
    <w:basedOn w:val="Normal"/>
    <w:uiPriority w:val="99"/>
    <w:rsid w:val="00193B74"/>
    <w:pPr>
      <w:pBdr>
        <w:bottom w:val="single" w:sz="8" w:space="0" w:color="auto"/>
        <w:right w:val="single" w:sz="8" w:space="0" w:color="auto"/>
      </w:pBdr>
      <w:spacing w:before="100" w:beforeAutospacing="1" w:after="100" w:afterAutospacing="1" w:line="240" w:lineRule="auto"/>
      <w:ind w:firstLine="709"/>
    </w:pPr>
    <w:rPr>
      <w:rFonts w:eastAsia="Times New Roman" w:cs="Arial"/>
      <w:b/>
      <w:bCs/>
      <w:sz w:val="18"/>
      <w:szCs w:val="18"/>
      <w:lang w:eastAsia="pt-BR"/>
    </w:rPr>
  </w:style>
  <w:style w:type="paragraph" w:customStyle="1" w:styleId="xl89">
    <w:name w:val="xl89"/>
    <w:basedOn w:val="Normal"/>
    <w:uiPriority w:val="99"/>
    <w:rsid w:val="00193B74"/>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709"/>
      <w:jc w:val="center"/>
    </w:pPr>
    <w:rPr>
      <w:rFonts w:eastAsia="Times New Roman" w:cs="Arial"/>
      <w:color w:val="000000"/>
      <w:sz w:val="19"/>
      <w:szCs w:val="19"/>
      <w:lang w:eastAsia="pt-BR"/>
    </w:rPr>
  </w:style>
  <w:style w:type="paragraph" w:customStyle="1" w:styleId="xl90">
    <w:name w:val="xl90"/>
    <w:basedOn w:val="Normal"/>
    <w:uiPriority w:val="99"/>
    <w:rsid w:val="00193B74"/>
    <w:pPr>
      <w:pBdr>
        <w:top w:val="single" w:sz="8" w:space="0" w:color="auto"/>
        <w:bottom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cs="Arial"/>
      <w:color w:val="000000"/>
      <w:sz w:val="19"/>
      <w:szCs w:val="19"/>
      <w:lang w:eastAsia="pt-BR"/>
    </w:rPr>
  </w:style>
  <w:style w:type="paragraph" w:customStyle="1" w:styleId="xl91">
    <w:name w:val="xl91"/>
    <w:basedOn w:val="Normal"/>
    <w:uiPriority w:val="99"/>
    <w:rsid w:val="00193B74"/>
    <w:pPr>
      <w:pBdr>
        <w:left w:val="single" w:sz="8" w:space="0" w:color="auto"/>
        <w:bottom w:val="single" w:sz="8" w:space="0" w:color="auto"/>
        <w:right w:val="single" w:sz="8" w:space="0" w:color="auto"/>
      </w:pBdr>
      <w:spacing w:before="100" w:beforeAutospacing="1" w:after="100" w:afterAutospacing="1" w:line="240" w:lineRule="auto"/>
      <w:ind w:firstLine="709"/>
      <w:jc w:val="center"/>
    </w:pPr>
    <w:rPr>
      <w:rFonts w:eastAsia="Times New Roman" w:cs="Arial"/>
      <w:color w:val="000000"/>
      <w:sz w:val="19"/>
      <w:szCs w:val="19"/>
      <w:lang w:eastAsia="pt-BR"/>
    </w:rPr>
  </w:style>
  <w:style w:type="paragraph" w:customStyle="1" w:styleId="xl92">
    <w:name w:val="xl92"/>
    <w:basedOn w:val="Normal"/>
    <w:uiPriority w:val="99"/>
    <w:rsid w:val="00193B74"/>
    <w:pPr>
      <w:pBdr>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cs="Arial"/>
      <w:color w:val="000000"/>
      <w:sz w:val="19"/>
      <w:szCs w:val="19"/>
      <w:lang w:eastAsia="pt-BR"/>
    </w:rPr>
  </w:style>
  <w:style w:type="paragraph" w:customStyle="1" w:styleId="xl93">
    <w:name w:val="xl93"/>
    <w:basedOn w:val="Normal"/>
    <w:uiPriority w:val="99"/>
    <w:rsid w:val="00193B74"/>
    <w:pPr>
      <w:pBdr>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cs="Arial"/>
      <w:color w:val="000000"/>
      <w:sz w:val="19"/>
      <w:szCs w:val="19"/>
      <w:lang w:eastAsia="pt-BR"/>
    </w:rPr>
  </w:style>
  <w:style w:type="paragraph" w:customStyle="1" w:styleId="xl94">
    <w:name w:val="xl94"/>
    <w:basedOn w:val="Normal"/>
    <w:uiPriority w:val="99"/>
    <w:rsid w:val="00193B74"/>
    <w:pPr>
      <w:pBdr>
        <w:bottom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cs="Arial"/>
      <w:color w:val="000000"/>
      <w:sz w:val="19"/>
      <w:szCs w:val="19"/>
      <w:lang w:eastAsia="pt-BR"/>
    </w:rPr>
  </w:style>
  <w:style w:type="paragraph" w:customStyle="1" w:styleId="xl95">
    <w:name w:val="xl95"/>
    <w:basedOn w:val="Normal"/>
    <w:uiPriority w:val="99"/>
    <w:rsid w:val="00193B74"/>
    <w:pPr>
      <w:pBdr>
        <w:bottom w:val="single" w:sz="8" w:space="0" w:color="auto"/>
        <w:right w:val="single" w:sz="8" w:space="0" w:color="auto"/>
      </w:pBdr>
      <w:spacing w:before="100" w:beforeAutospacing="1" w:after="100" w:afterAutospacing="1" w:line="240" w:lineRule="auto"/>
      <w:ind w:firstLine="709"/>
      <w:jc w:val="center"/>
    </w:pPr>
    <w:rPr>
      <w:rFonts w:eastAsia="Times New Roman" w:cs="Arial"/>
      <w:color w:val="000000"/>
      <w:sz w:val="19"/>
      <w:szCs w:val="19"/>
      <w:lang w:eastAsia="pt-BR"/>
    </w:rPr>
  </w:style>
  <w:style w:type="paragraph" w:customStyle="1" w:styleId="xl96">
    <w:name w:val="xl96"/>
    <w:basedOn w:val="Normal"/>
    <w:uiPriority w:val="99"/>
    <w:rsid w:val="00193B74"/>
    <w:pPr>
      <w:pBdr>
        <w:bottom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cs="Arial"/>
      <w:sz w:val="20"/>
      <w:szCs w:val="20"/>
      <w:lang w:eastAsia="pt-BR"/>
    </w:rPr>
  </w:style>
  <w:style w:type="paragraph" w:customStyle="1" w:styleId="xl97">
    <w:name w:val="xl97"/>
    <w:basedOn w:val="Normal"/>
    <w:uiPriority w:val="99"/>
    <w:rsid w:val="00193B74"/>
    <w:pPr>
      <w:pBdr>
        <w:top w:val="single" w:sz="8" w:space="0" w:color="auto"/>
        <w:bottom w:val="single" w:sz="8" w:space="0" w:color="auto"/>
        <w:right w:val="single" w:sz="8" w:space="0" w:color="auto"/>
      </w:pBdr>
      <w:spacing w:before="100" w:beforeAutospacing="1" w:after="100" w:afterAutospacing="1" w:line="240" w:lineRule="auto"/>
      <w:ind w:firstLine="709"/>
      <w:jc w:val="center"/>
    </w:pPr>
    <w:rPr>
      <w:rFonts w:eastAsia="Times New Roman" w:cs="Arial"/>
      <w:color w:val="000000"/>
      <w:sz w:val="19"/>
      <w:szCs w:val="19"/>
      <w:lang w:eastAsia="pt-BR"/>
    </w:rPr>
  </w:style>
  <w:style w:type="paragraph" w:customStyle="1" w:styleId="xl98">
    <w:name w:val="xl98"/>
    <w:basedOn w:val="Normal"/>
    <w:uiPriority w:val="99"/>
    <w:rsid w:val="00193B74"/>
    <w:pPr>
      <w:pBdr>
        <w:bottom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cs="Arial"/>
      <w:sz w:val="19"/>
      <w:szCs w:val="19"/>
      <w:lang w:eastAsia="pt-BR"/>
    </w:rPr>
  </w:style>
  <w:style w:type="paragraph" w:customStyle="1" w:styleId="xl99">
    <w:name w:val="xl99"/>
    <w:basedOn w:val="Normal"/>
    <w:uiPriority w:val="99"/>
    <w:rsid w:val="00193B74"/>
    <w:pPr>
      <w:pBdr>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cs="Arial"/>
      <w:sz w:val="19"/>
      <w:szCs w:val="19"/>
      <w:lang w:eastAsia="pt-BR"/>
    </w:rPr>
  </w:style>
  <w:style w:type="paragraph" w:customStyle="1" w:styleId="xl100">
    <w:name w:val="xl100"/>
    <w:basedOn w:val="Normal"/>
    <w:uiPriority w:val="99"/>
    <w:rsid w:val="00193B74"/>
    <w:pPr>
      <w:pBdr>
        <w:bottom w:val="single" w:sz="8" w:space="0" w:color="auto"/>
        <w:right w:val="single" w:sz="8" w:space="0" w:color="auto"/>
      </w:pBdr>
      <w:spacing w:before="100" w:beforeAutospacing="1" w:after="100" w:afterAutospacing="1" w:line="240" w:lineRule="auto"/>
      <w:ind w:firstLine="709"/>
      <w:jc w:val="center"/>
    </w:pPr>
    <w:rPr>
      <w:rFonts w:eastAsia="Times New Roman" w:cs="Arial"/>
      <w:sz w:val="19"/>
      <w:szCs w:val="19"/>
      <w:lang w:eastAsia="pt-BR"/>
    </w:rPr>
  </w:style>
  <w:style w:type="paragraph" w:customStyle="1" w:styleId="xl101">
    <w:name w:val="xl101"/>
    <w:basedOn w:val="Normal"/>
    <w:uiPriority w:val="99"/>
    <w:rsid w:val="00193B74"/>
    <w:pPr>
      <w:pBdr>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cs="Arial"/>
      <w:sz w:val="19"/>
      <w:szCs w:val="19"/>
      <w:lang w:eastAsia="pt-BR"/>
    </w:rPr>
  </w:style>
  <w:style w:type="paragraph" w:customStyle="1" w:styleId="xl102">
    <w:name w:val="xl102"/>
    <w:basedOn w:val="Normal"/>
    <w:uiPriority w:val="99"/>
    <w:rsid w:val="00193B74"/>
    <w:pPr>
      <w:pBdr>
        <w:bottom w:val="single" w:sz="8" w:space="0" w:color="auto"/>
        <w:right w:val="single" w:sz="8" w:space="0" w:color="auto"/>
      </w:pBdr>
      <w:spacing w:before="100" w:beforeAutospacing="1" w:after="100" w:afterAutospacing="1" w:line="240" w:lineRule="auto"/>
      <w:ind w:firstLine="709"/>
      <w:jc w:val="center"/>
    </w:pPr>
    <w:rPr>
      <w:rFonts w:eastAsia="Times New Roman" w:cs="Arial"/>
      <w:sz w:val="19"/>
      <w:szCs w:val="19"/>
      <w:lang w:eastAsia="pt-BR"/>
    </w:rPr>
  </w:style>
  <w:style w:type="paragraph" w:customStyle="1" w:styleId="xl103">
    <w:name w:val="xl103"/>
    <w:basedOn w:val="Normal"/>
    <w:uiPriority w:val="99"/>
    <w:rsid w:val="00193B74"/>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709"/>
      <w:jc w:val="center"/>
    </w:pPr>
    <w:rPr>
      <w:rFonts w:eastAsia="Times New Roman" w:cs="Arial"/>
      <w:color w:val="000000"/>
      <w:sz w:val="18"/>
      <w:szCs w:val="18"/>
      <w:lang w:eastAsia="pt-BR"/>
    </w:rPr>
  </w:style>
  <w:style w:type="paragraph" w:customStyle="1" w:styleId="xl104">
    <w:name w:val="xl104"/>
    <w:basedOn w:val="Normal"/>
    <w:uiPriority w:val="99"/>
    <w:rsid w:val="00193B74"/>
    <w:pPr>
      <w:pBdr>
        <w:top w:val="single" w:sz="8" w:space="0" w:color="auto"/>
        <w:bottom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cs="Arial"/>
      <w:color w:val="000000"/>
      <w:sz w:val="18"/>
      <w:szCs w:val="18"/>
      <w:lang w:eastAsia="pt-BR"/>
    </w:rPr>
  </w:style>
  <w:style w:type="paragraph" w:customStyle="1" w:styleId="xl105">
    <w:name w:val="xl105"/>
    <w:basedOn w:val="Normal"/>
    <w:uiPriority w:val="99"/>
    <w:rsid w:val="00193B74"/>
    <w:pPr>
      <w:pBdr>
        <w:top w:val="single" w:sz="8" w:space="0" w:color="auto"/>
        <w:bottom w:val="single" w:sz="8" w:space="0" w:color="auto"/>
        <w:right w:val="single" w:sz="8" w:space="0" w:color="auto"/>
      </w:pBdr>
      <w:spacing w:before="100" w:beforeAutospacing="1" w:after="100" w:afterAutospacing="1" w:line="240" w:lineRule="auto"/>
      <w:ind w:firstLine="709"/>
      <w:jc w:val="center"/>
    </w:pPr>
    <w:rPr>
      <w:rFonts w:eastAsia="Times New Roman" w:cs="Arial"/>
      <w:color w:val="000000"/>
      <w:sz w:val="18"/>
      <w:szCs w:val="18"/>
      <w:lang w:eastAsia="pt-BR"/>
    </w:rPr>
  </w:style>
  <w:style w:type="paragraph" w:customStyle="1" w:styleId="xl106">
    <w:name w:val="xl106"/>
    <w:basedOn w:val="Normal"/>
    <w:uiPriority w:val="99"/>
    <w:rsid w:val="00193B74"/>
    <w:pPr>
      <w:pBdr>
        <w:left w:val="single" w:sz="8" w:space="0" w:color="auto"/>
        <w:bottom w:val="single" w:sz="8" w:space="0" w:color="auto"/>
        <w:right w:val="single" w:sz="8" w:space="0" w:color="auto"/>
      </w:pBdr>
      <w:spacing w:before="100" w:beforeAutospacing="1" w:after="100" w:afterAutospacing="1" w:line="240" w:lineRule="auto"/>
      <w:ind w:firstLine="709"/>
      <w:jc w:val="center"/>
    </w:pPr>
    <w:rPr>
      <w:rFonts w:eastAsia="Times New Roman" w:cs="Arial"/>
      <w:color w:val="000000"/>
      <w:sz w:val="18"/>
      <w:szCs w:val="18"/>
      <w:lang w:eastAsia="pt-BR"/>
    </w:rPr>
  </w:style>
  <w:style w:type="paragraph" w:customStyle="1" w:styleId="xl107">
    <w:name w:val="xl107"/>
    <w:basedOn w:val="Normal"/>
    <w:uiPriority w:val="99"/>
    <w:rsid w:val="00193B74"/>
    <w:pPr>
      <w:pBdr>
        <w:bottom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cs="Arial"/>
      <w:color w:val="000000"/>
      <w:sz w:val="18"/>
      <w:szCs w:val="18"/>
      <w:lang w:eastAsia="pt-BR"/>
    </w:rPr>
  </w:style>
  <w:style w:type="paragraph" w:customStyle="1" w:styleId="xl108">
    <w:name w:val="xl108"/>
    <w:basedOn w:val="Normal"/>
    <w:uiPriority w:val="99"/>
    <w:rsid w:val="00193B74"/>
    <w:pPr>
      <w:pBdr>
        <w:bottom w:val="single" w:sz="8" w:space="0" w:color="auto"/>
        <w:right w:val="single" w:sz="8" w:space="0" w:color="auto"/>
      </w:pBdr>
      <w:spacing w:before="100" w:beforeAutospacing="1" w:after="100" w:afterAutospacing="1" w:line="240" w:lineRule="auto"/>
      <w:ind w:firstLine="709"/>
      <w:jc w:val="center"/>
    </w:pPr>
    <w:rPr>
      <w:rFonts w:eastAsia="Times New Roman" w:cs="Arial"/>
      <w:color w:val="000000"/>
      <w:sz w:val="18"/>
      <w:szCs w:val="18"/>
      <w:lang w:eastAsia="pt-BR"/>
    </w:rPr>
  </w:style>
  <w:style w:type="paragraph" w:customStyle="1" w:styleId="xl109">
    <w:name w:val="xl109"/>
    <w:basedOn w:val="Normal"/>
    <w:uiPriority w:val="99"/>
    <w:rsid w:val="00193B74"/>
    <w:pPr>
      <w:pBdr>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cs="Arial"/>
      <w:color w:val="000000"/>
      <w:sz w:val="18"/>
      <w:szCs w:val="18"/>
      <w:lang w:eastAsia="pt-BR"/>
    </w:rPr>
  </w:style>
  <w:style w:type="paragraph" w:customStyle="1" w:styleId="xl110">
    <w:name w:val="xl110"/>
    <w:basedOn w:val="Normal"/>
    <w:uiPriority w:val="99"/>
    <w:rsid w:val="00193B74"/>
    <w:pPr>
      <w:pBdr>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cs="Arial"/>
      <w:color w:val="000000"/>
      <w:sz w:val="18"/>
      <w:szCs w:val="18"/>
      <w:lang w:eastAsia="pt-BR"/>
    </w:rPr>
  </w:style>
  <w:style w:type="paragraph" w:customStyle="1" w:styleId="xl111">
    <w:name w:val="xl111"/>
    <w:basedOn w:val="Normal"/>
    <w:uiPriority w:val="99"/>
    <w:rsid w:val="00193B74"/>
    <w:pPr>
      <w:pBdr>
        <w:top w:val="single" w:sz="8" w:space="0" w:color="auto"/>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cs="Arial"/>
      <w:color w:val="000000"/>
      <w:sz w:val="18"/>
      <w:szCs w:val="18"/>
      <w:lang w:eastAsia="pt-BR"/>
    </w:rPr>
  </w:style>
  <w:style w:type="paragraph" w:customStyle="1" w:styleId="xl112">
    <w:name w:val="xl112"/>
    <w:basedOn w:val="Normal"/>
    <w:uiPriority w:val="99"/>
    <w:rsid w:val="00193B74"/>
    <w:pPr>
      <w:pBdr>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cs="Arial"/>
      <w:sz w:val="18"/>
      <w:szCs w:val="18"/>
      <w:lang w:eastAsia="pt-BR"/>
    </w:rPr>
  </w:style>
  <w:style w:type="paragraph" w:customStyle="1" w:styleId="xl113">
    <w:name w:val="xl113"/>
    <w:basedOn w:val="Normal"/>
    <w:uiPriority w:val="99"/>
    <w:rsid w:val="00193B74"/>
    <w:pPr>
      <w:pBdr>
        <w:bottom w:val="single" w:sz="8" w:space="0" w:color="auto"/>
        <w:right w:val="single" w:sz="8" w:space="0" w:color="auto"/>
      </w:pBdr>
      <w:shd w:val="clear" w:color="auto" w:fill="BFBFBF"/>
      <w:spacing w:before="100" w:beforeAutospacing="1" w:after="100" w:afterAutospacing="1" w:line="240" w:lineRule="auto"/>
      <w:ind w:firstLine="709"/>
      <w:jc w:val="center"/>
    </w:pPr>
    <w:rPr>
      <w:rFonts w:eastAsia="Times New Roman" w:cs="Arial"/>
      <w:sz w:val="18"/>
      <w:szCs w:val="18"/>
      <w:lang w:eastAsia="pt-BR"/>
    </w:rPr>
  </w:style>
  <w:style w:type="paragraph" w:customStyle="1" w:styleId="xl114">
    <w:name w:val="xl114"/>
    <w:basedOn w:val="Normal"/>
    <w:uiPriority w:val="99"/>
    <w:rsid w:val="00193B74"/>
    <w:pPr>
      <w:pBdr>
        <w:bottom w:val="single" w:sz="8" w:space="0" w:color="auto"/>
        <w:right w:val="single" w:sz="8" w:space="0" w:color="auto"/>
      </w:pBdr>
      <w:spacing w:before="100" w:beforeAutospacing="1" w:after="100" w:afterAutospacing="1" w:line="240" w:lineRule="auto"/>
      <w:ind w:firstLine="709"/>
      <w:jc w:val="center"/>
    </w:pPr>
    <w:rPr>
      <w:rFonts w:eastAsia="Times New Roman" w:cs="Arial"/>
      <w:sz w:val="18"/>
      <w:szCs w:val="18"/>
      <w:lang w:eastAsia="pt-BR"/>
    </w:rPr>
  </w:style>
  <w:style w:type="paragraph" w:customStyle="1" w:styleId="xl115">
    <w:name w:val="xl115"/>
    <w:basedOn w:val="Normal"/>
    <w:uiPriority w:val="99"/>
    <w:rsid w:val="00193B74"/>
    <w:pPr>
      <w:pBdr>
        <w:bottom w:val="single" w:sz="8" w:space="0" w:color="auto"/>
        <w:right w:val="single" w:sz="8" w:space="0" w:color="auto"/>
      </w:pBdr>
      <w:shd w:val="clear" w:color="auto" w:fill="FFFFFF"/>
      <w:spacing w:before="100" w:beforeAutospacing="1" w:after="100" w:afterAutospacing="1" w:line="240" w:lineRule="auto"/>
      <w:ind w:firstLine="709"/>
      <w:jc w:val="center"/>
    </w:pPr>
    <w:rPr>
      <w:rFonts w:eastAsia="Times New Roman" w:cs="Arial"/>
      <w:sz w:val="18"/>
      <w:szCs w:val="18"/>
      <w:lang w:eastAsia="pt-BR"/>
    </w:rPr>
  </w:style>
  <w:style w:type="paragraph" w:customStyle="1" w:styleId="xl116">
    <w:name w:val="xl116"/>
    <w:basedOn w:val="Normal"/>
    <w:uiPriority w:val="99"/>
    <w:rsid w:val="00193B74"/>
    <w:pPr>
      <w:pBdr>
        <w:top w:val="single" w:sz="8" w:space="0" w:color="auto"/>
        <w:left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cs="Arial"/>
      <w:b/>
      <w:bCs/>
      <w:color w:val="000000"/>
      <w:sz w:val="18"/>
      <w:szCs w:val="18"/>
      <w:lang w:eastAsia="pt-BR"/>
    </w:rPr>
  </w:style>
  <w:style w:type="paragraph" w:customStyle="1" w:styleId="xl117">
    <w:name w:val="xl117"/>
    <w:basedOn w:val="Normal"/>
    <w:uiPriority w:val="99"/>
    <w:rsid w:val="00193B74"/>
    <w:pPr>
      <w:pBdr>
        <w:left w:val="single" w:sz="8" w:space="0" w:color="auto"/>
        <w:bottom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cs="Arial"/>
      <w:b/>
      <w:bCs/>
      <w:color w:val="000000"/>
      <w:sz w:val="18"/>
      <w:szCs w:val="18"/>
      <w:lang w:eastAsia="pt-BR"/>
    </w:rPr>
  </w:style>
  <w:style w:type="paragraph" w:customStyle="1" w:styleId="xl118">
    <w:name w:val="xl118"/>
    <w:basedOn w:val="Normal"/>
    <w:uiPriority w:val="99"/>
    <w:rsid w:val="00193B74"/>
    <w:pPr>
      <w:pBdr>
        <w:left w:val="single" w:sz="8" w:space="0" w:color="auto"/>
        <w:bottom w:val="single" w:sz="8" w:space="0" w:color="auto"/>
        <w:right w:val="single" w:sz="8" w:space="0" w:color="auto"/>
      </w:pBdr>
      <w:shd w:val="clear" w:color="auto" w:fill="C0C0C0"/>
      <w:spacing w:before="100" w:beforeAutospacing="1" w:after="100" w:afterAutospacing="1" w:line="240" w:lineRule="auto"/>
      <w:ind w:firstLine="709"/>
      <w:jc w:val="center"/>
    </w:pPr>
    <w:rPr>
      <w:rFonts w:eastAsia="Times New Roman" w:cs="Arial"/>
      <w:b/>
      <w:bCs/>
      <w:color w:val="000000"/>
      <w:sz w:val="18"/>
      <w:szCs w:val="18"/>
      <w:lang w:eastAsia="pt-BR"/>
    </w:rPr>
  </w:style>
  <w:style w:type="paragraph" w:customStyle="1" w:styleId="xl119">
    <w:name w:val="xl119"/>
    <w:basedOn w:val="Normal"/>
    <w:uiPriority w:val="99"/>
    <w:rsid w:val="00193B74"/>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ind w:firstLine="709"/>
      <w:jc w:val="center"/>
    </w:pPr>
    <w:rPr>
      <w:rFonts w:eastAsia="Times New Roman" w:cs="Arial"/>
      <w:b/>
      <w:bCs/>
      <w:color w:val="000000"/>
      <w:sz w:val="20"/>
      <w:szCs w:val="20"/>
      <w:lang w:eastAsia="pt-BR"/>
    </w:rPr>
  </w:style>
  <w:style w:type="paragraph" w:customStyle="1" w:styleId="xl120">
    <w:name w:val="xl120"/>
    <w:basedOn w:val="Normal"/>
    <w:uiPriority w:val="99"/>
    <w:rsid w:val="00193B74"/>
    <w:pPr>
      <w:pBdr>
        <w:right w:val="single" w:sz="8" w:space="0" w:color="auto"/>
      </w:pBdr>
      <w:spacing w:before="100" w:beforeAutospacing="1" w:after="100" w:afterAutospacing="1" w:line="240" w:lineRule="auto"/>
      <w:ind w:firstLine="709"/>
      <w:jc w:val="center"/>
    </w:pPr>
    <w:rPr>
      <w:rFonts w:eastAsia="Times New Roman" w:cs="Arial"/>
      <w:b/>
      <w:bCs/>
      <w:sz w:val="20"/>
      <w:szCs w:val="20"/>
      <w:lang w:eastAsia="pt-BR"/>
    </w:rPr>
  </w:style>
  <w:style w:type="paragraph" w:customStyle="1" w:styleId="xl121">
    <w:name w:val="xl121"/>
    <w:basedOn w:val="Normal"/>
    <w:uiPriority w:val="99"/>
    <w:rsid w:val="00193B74"/>
    <w:pPr>
      <w:shd w:val="clear" w:color="auto" w:fill="FFFFFF"/>
      <w:spacing w:before="100" w:beforeAutospacing="1" w:after="100" w:afterAutospacing="1" w:line="240" w:lineRule="auto"/>
      <w:ind w:firstLine="709"/>
    </w:pPr>
    <w:rPr>
      <w:rFonts w:eastAsia="Times New Roman" w:cs="Arial"/>
      <w:b/>
      <w:bCs/>
      <w:szCs w:val="24"/>
      <w:lang w:eastAsia="pt-BR"/>
    </w:rPr>
  </w:style>
  <w:style w:type="table" w:customStyle="1" w:styleId="TabeladeGrade4-nfase12">
    <w:name w:val="Tabela de Grade 4 - Ênfase 12"/>
    <w:basedOn w:val="Tabelanormal"/>
    <w:uiPriority w:val="49"/>
    <w:rsid w:val="00C41ACE"/>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Tabelacomgrade3">
    <w:name w:val="Tabela com grade3"/>
    <w:basedOn w:val="Tabelanormal"/>
    <w:next w:val="Tabelacomgrade"/>
    <w:uiPriority w:val="59"/>
    <w:rsid w:val="00D514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
    <w:name w:val="Tabela com grade4"/>
    <w:basedOn w:val="Tabelanormal"/>
    <w:next w:val="Tabelacomgrade"/>
    <w:uiPriority w:val="59"/>
    <w:rsid w:val="00D514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padoDocumentoChar1">
    <w:name w:val="Mapa do Documento Char1"/>
    <w:basedOn w:val="Fontepargpadro"/>
    <w:uiPriority w:val="99"/>
    <w:semiHidden/>
    <w:rsid w:val="001864D3"/>
    <w:rPr>
      <w:rFonts w:ascii="Tahoma" w:eastAsia="Calibri" w:hAnsi="Tahoma" w:cs="Tahoma" w:hint="default"/>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765279">
      <w:bodyDiv w:val="1"/>
      <w:marLeft w:val="0"/>
      <w:marRight w:val="0"/>
      <w:marTop w:val="0"/>
      <w:marBottom w:val="0"/>
      <w:divBdr>
        <w:top w:val="none" w:sz="0" w:space="0" w:color="auto"/>
        <w:left w:val="none" w:sz="0" w:space="0" w:color="auto"/>
        <w:bottom w:val="none" w:sz="0" w:space="0" w:color="auto"/>
        <w:right w:val="none" w:sz="0" w:space="0" w:color="auto"/>
      </w:divBdr>
    </w:div>
    <w:div w:id="68039197">
      <w:bodyDiv w:val="1"/>
      <w:marLeft w:val="0"/>
      <w:marRight w:val="0"/>
      <w:marTop w:val="0"/>
      <w:marBottom w:val="0"/>
      <w:divBdr>
        <w:top w:val="none" w:sz="0" w:space="0" w:color="auto"/>
        <w:left w:val="none" w:sz="0" w:space="0" w:color="auto"/>
        <w:bottom w:val="none" w:sz="0" w:space="0" w:color="auto"/>
        <w:right w:val="none" w:sz="0" w:space="0" w:color="auto"/>
      </w:divBdr>
    </w:div>
    <w:div w:id="85854539">
      <w:bodyDiv w:val="1"/>
      <w:marLeft w:val="0"/>
      <w:marRight w:val="0"/>
      <w:marTop w:val="0"/>
      <w:marBottom w:val="0"/>
      <w:divBdr>
        <w:top w:val="none" w:sz="0" w:space="0" w:color="auto"/>
        <w:left w:val="none" w:sz="0" w:space="0" w:color="auto"/>
        <w:bottom w:val="none" w:sz="0" w:space="0" w:color="auto"/>
        <w:right w:val="none" w:sz="0" w:space="0" w:color="auto"/>
      </w:divBdr>
    </w:div>
    <w:div w:id="110324992">
      <w:bodyDiv w:val="1"/>
      <w:marLeft w:val="0"/>
      <w:marRight w:val="0"/>
      <w:marTop w:val="0"/>
      <w:marBottom w:val="0"/>
      <w:divBdr>
        <w:top w:val="none" w:sz="0" w:space="0" w:color="auto"/>
        <w:left w:val="none" w:sz="0" w:space="0" w:color="auto"/>
        <w:bottom w:val="none" w:sz="0" w:space="0" w:color="auto"/>
        <w:right w:val="none" w:sz="0" w:space="0" w:color="auto"/>
      </w:divBdr>
    </w:div>
    <w:div w:id="110436423">
      <w:bodyDiv w:val="1"/>
      <w:marLeft w:val="0"/>
      <w:marRight w:val="0"/>
      <w:marTop w:val="0"/>
      <w:marBottom w:val="0"/>
      <w:divBdr>
        <w:top w:val="none" w:sz="0" w:space="0" w:color="auto"/>
        <w:left w:val="none" w:sz="0" w:space="0" w:color="auto"/>
        <w:bottom w:val="none" w:sz="0" w:space="0" w:color="auto"/>
        <w:right w:val="none" w:sz="0" w:space="0" w:color="auto"/>
      </w:divBdr>
    </w:div>
    <w:div w:id="123810433">
      <w:bodyDiv w:val="1"/>
      <w:marLeft w:val="0"/>
      <w:marRight w:val="0"/>
      <w:marTop w:val="0"/>
      <w:marBottom w:val="0"/>
      <w:divBdr>
        <w:top w:val="none" w:sz="0" w:space="0" w:color="auto"/>
        <w:left w:val="none" w:sz="0" w:space="0" w:color="auto"/>
        <w:bottom w:val="none" w:sz="0" w:space="0" w:color="auto"/>
        <w:right w:val="none" w:sz="0" w:space="0" w:color="auto"/>
      </w:divBdr>
    </w:div>
    <w:div w:id="131211994">
      <w:bodyDiv w:val="1"/>
      <w:marLeft w:val="0"/>
      <w:marRight w:val="0"/>
      <w:marTop w:val="0"/>
      <w:marBottom w:val="0"/>
      <w:divBdr>
        <w:top w:val="none" w:sz="0" w:space="0" w:color="auto"/>
        <w:left w:val="none" w:sz="0" w:space="0" w:color="auto"/>
        <w:bottom w:val="none" w:sz="0" w:space="0" w:color="auto"/>
        <w:right w:val="none" w:sz="0" w:space="0" w:color="auto"/>
      </w:divBdr>
    </w:div>
    <w:div w:id="138232594">
      <w:bodyDiv w:val="1"/>
      <w:marLeft w:val="0"/>
      <w:marRight w:val="0"/>
      <w:marTop w:val="0"/>
      <w:marBottom w:val="0"/>
      <w:divBdr>
        <w:top w:val="none" w:sz="0" w:space="0" w:color="auto"/>
        <w:left w:val="none" w:sz="0" w:space="0" w:color="auto"/>
        <w:bottom w:val="none" w:sz="0" w:space="0" w:color="auto"/>
        <w:right w:val="none" w:sz="0" w:space="0" w:color="auto"/>
      </w:divBdr>
    </w:div>
    <w:div w:id="138690928">
      <w:bodyDiv w:val="1"/>
      <w:marLeft w:val="0"/>
      <w:marRight w:val="0"/>
      <w:marTop w:val="0"/>
      <w:marBottom w:val="0"/>
      <w:divBdr>
        <w:top w:val="none" w:sz="0" w:space="0" w:color="auto"/>
        <w:left w:val="none" w:sz="0" w:space="0" w:color="auto"/>
        <w:bottom w:val="none" w:sz="0" w:space="0" w:color="auto"/>
        <w:right w:val="none" w:sz="0" w:space="0" w:color="auto"/>
      </w:divBdr>
    </w:div>
    <w:div w:id="158817495">
      <w:bodyDiv w:val="1"/>
      <w:marLeft w:val="0"/>
      <w:marRight w:val="0"/>
      <w:marTop w:val="0"/>
      <w:marBottom w:val="0"/>
      <w:divBdr>
        <w:top w:val="none" w:sz="0" w:space="0" w:color="auto"/>
        <w:left w:val="none" w:sz="0" w:space="0" w:color="auto"/>
        <w:bottom w:val="none" w:sz="0" w:space="0" w:color="auto"/>
        <w:right w:val="none" w:sz="0" w:space="0" w:color="auto"/>
      </w:divBdr>
    </w:div>
    <w:div w:id="191068833">
      <w:bodyDiv w:val="1"/>
      <w:marLeft w:val="0"/>
      <w:marRight w:val="0"/>
      <w:marTop w:val="0"/>
      <w:marBottom w:val="0"/>
      <w:divBdr>
        <w:top w:val="none" w:sz="0" w:space="0" w:color="auto"/>
        <w:left w:val="none" w:sz="0" w:space="0" w:color="auto"/>
        <w:bottom w:val="none" w:sz="0" w:space="0" w:color="auto"/>
        <w:right w:val="none" w:sz="0" w:space="0" w:color="auto"/>
      </w:divBdr>
    </w:div>
    <w:div w:id="230162894">
      <w:bodyDiv w:val="1"/>
      <w:marLeft w:val="0"/>
      <w:marRight w:val="0"/>
      <w:marTop w:val="0"/>
      <w:marBottom w:val="0"/>
      <w:divBdr>
        <w:top w:val="none" w:sz="0" w:space="0" w:color="auto"/>
        <w:left w:val="none" w:sz="0" w:space="0" w:color="auto"/>
        <w:bottom w:val="none" w:sz="0" w:space="0" w:color="auto"/>
        <w:right w:val="none" w:sz="0" w:space="0" w:color="auto"/>
      </w:divBdr>
    </w:div>
    <w:div w:id="245116756">
      <w:bodyDiv w:val="1"/>
      <w:marLeft w:val="0"/>
      <w:marRight w:val="0"/>
      <w:marTop w:val="0"/>
      <w:marBottom w:val="0"/>
      <w:divBdr>
        <w:top w:val="none" w:sz="0" w:space="0" w:color="auto"/>
        <w:left w:val="none" w:sz="0" w:space="0" w:color="auto"/>
        <w:bottom w:val="none" w:sz="0" w:space="0" w:color="auto"/>
        <w:right w:val="none" w:sz="0" w:space="0" w:color="auto"/>
      </w:divBdr>
    </w:div>
    <w:div w:id="254555029">
      <w:bodyDiv w:val="1"/>
      <w:marLeft w:val="0"/>
      <w:marRight w:val="0"/>
      <w:marTop w:val="0"/>
      <w:marBottom w:val="0"/>
      <w:divBdr>
        <w:top w:val="none" w:sz="0" w:space="0" w:color="auto"/>
        <w:left w:val="none" w:sz="0" w:space="0" w:color="auto"/>
        <w:bottom w:val="none" w:sz="0" w:space="0" w:color="auto"/>
        <w:right w:val="none" w:sz="0" w:space="0" w:color="auto"/>
      </w:divBdr>
    </w:div>
    <w:div w:id="258225026">
      <w:bodyDiv w:val="1"/>
      <w:marLeft w:val="0"/>
      <w:marRight w:val="0"/>
      <w:marTop w:val="0"/>
      <w:marBottom w:val="0"/>
      <w:divBdr>
        <w:top w:val="none" w:sz="0" w:space="0" w:color="auto"/>
        <w:left w:val="none" w:sz="0" w:space="0" w:color="auto"/>
        <w:bottom w:val="none" w:sz="0" w:space="0" w:color="auto"/>
        <w:right w:val="none" w:sz="0" w:space="0" w:color="auto"/>
      </w:divBdr>
    </w:div>
    <w:div w:id="301158799">
      <w:bodyDiv w:val="1"/>
      <w:marLeft w:val="0"/>
      <w:marRight w:val="0"/>
      <w:marTop w:val="0"/>
      <w:marBottom w:val="0"/>
      <w:divBdr>
        <w:top w:val="none" w:sz="0" w:space="0" w:color="auto"/>
        <w:left w:val="none" w:sz="0" w:space="0" w:color="auto"/>
        <w:bottom w:val="none" w:sz="0" w:space="0" w:color="auto"/>
        <w:right w:val="none" w:sz="0" w:space="0" w:color="auto"/>
      </w:divBdr>
    </w:div>
    <w:div w:id="311182741">
      <w:bodyDiv w:val="1"/>
      <w:marLeft w:val="0"/>
      <w:marRight w:val="0"/>
      <w:marTop w:val="0"/>
      <w:marBottom w:val="0"/>
      <w:divBdr>
        <w:top w:val="none" w:sz="0" w:space="0" w:color="auto"/>
        <w:left w:val="none" w:sz="0" w:space="0" w:color="auto"/>
        <w:bottom w:val="none" w:sz="0" w:space="0" w:color="auto"/>
        <w:right w:val="none" w:sz="0" w:space="0" w:color="auto"/>
      </w:divBdr>
    </w:div>
    <w:div w:id="323625338">
      <w:bodyDiv w:val="1"/>
      <w:marLeft w:val="0"/>
      <w:marRight w:val="0"/>
      <w:marTop w:val="0"/>
      <w:marBottom w:val="0"/>
      <w:divBdr>
        <w:top w:val="none" w:sz="0" w:space="0" w:color="auto"/>
        <w:left w:val="none" w:sz="0" w:space="0" w:color="auto"/>
        <w:bottom w:val="none" w:sz="0" w:space="0" w:color="auto"/>
        <w:right w:val="none" w:sz="0" w:space="0" w:color="auto"/>
      </w:divBdr>
    </w:div>
    <w:div w:id="325744355">
      <w:bodyDiv w:val="1"/>
      <w:marLeft w:val="0"/>
      <w:marRight w:val="0"/>
      <w:marTop w:val="0"/>
      <w:marBottom w:val="0"/>
      <w:divBdr>
        <w:top w:val="none" w:sz="0" w:space="0" w:color="auto"/>
        <w:left w:val="none" w:sz="0" w:space="0" w:color="auto"/>
        <w:bottom w:val="none" w:sz="0" w:space="0" w:color="auto"/>
        <w:right w:val="none" w:sz="0" w:space="0" w:color="auto"/>
      </w:divBdr>
    </w:div>
    <w:div w:id="334498234">
      <w:bodyDiv w:val="1"/>
      <w:marLeft w:val="0"/>
      <w:marRight w:val="0"/>
      <w:marTop w:val="0"/>
      <w:marBottom w:val="0"/>
      <w:divBdr>
        <w:top w:val="none" w:sz="0" w:space="0" w:color="auto"/>
        <w:left w:val="none" w:sz="0" w:space="0" w:color="auto"/>
        <w:bottom w:val="none" w:sz="0" w:space="0" w:color="auto"/>
        <w:right w:val="none" w:sz="0" w:space="0" w:color="auto"/>
      </w:divBdr>
    </w:div>
    <w:div w:id="341396880">
      <w:bodyDiv w:val="1"/>
      <w:marLeft w:val="0"/>
      <w:marRight w:val="0"/>
      <w:marTop w:val="0"/>
      <w:marBottom w:val="0"/>
      <w:divBdr>
        <w:top w:val="none" w:sz="0" w:space="0" w:color="auto"/>
        <w:left w:val="none" w:sz="0" w:space="0" w:color="auto"/>
        <w:bottom w:val="none" w:sz="0" w:space="0" w:color="auto"/>
        <w:right w:val="none" w:sz="0" w:space="0" w:color="auto"/>
      </w:divBdr>
    </w:div>
    <w:div w:id="343679117">
      <w:bodyDiv w:val="1"/>
      <w:marLeft w:val="0"/>
      <w:marRight w:val="0"/>
      <w:marTop w:val="0"/>
      <w:marBottom w:val="0"/>
      <w:divBdr>
        <w:top w:val="none" w:sz="0" w:space="0" w:color="auto"/>
        <w:left w:val="none" w:sz="0" w:space="0" w:color="auto"/>
        <w:bottom w:val="none" w:sz="0" w:space="0" w:color="auto"/>
        <w:right w:val="none" w:sz="0" w:space="0" w:color="auto"/>
      </w:divBdr>
    </w:div>
    <w:div w:id="377513809">
      <w:bodyDiv w:val="1"/>
      <w:marLeft w:val="0"/>
      <w:marRight w:val="0"/>
      <w:marTop w:val="0"/>
      <w:marBottom w:val="0"/>
      <w:divBdr>
        <w:top w:val="none" w:sz="0" w:space="0" w:color="auto"/>
        <w:left w:val="none" w:sz="0" w:space="0" w:color="auto"/>
        <w:bottom w:val="none" w:sz="0" w:space="0" w:color="auto"/>
        <w:right w:val="none" w:sz="0" w:space="0" w:color="auto"/>
      </w:divBdr>
    </w:div>
    <w:div w:id="404766686">
      <w:bodyDiv w:val="1"/>
      <w:marLeft w:val="0"/>
      <w:marRight w:val="0"/>
      <w:marTop w:val="0"/>
      <w:marBottom w:val="0"/>
      <w:divBdr>
        <w:top w:val="none" w:sz="0" w:space="0" w:color="auto"/>
        <w:left w:val="none" w:sz="0" w:space="0" w:color="auto"/>
        <w:bottom w:val="none" w:sz="0" w:space="0" w:color="auto"/>
        <w:right w:val="none" w:sz="0" w:space="0" w:color="auto"/>
      </w:divBdr>
    </w:div>
    <w:div w:id="408159082">
      <w:bodyDiv w:val="1"/>
      <w:marLeft w:val="0"/>
      <w:marRight w:val="0"/>
      <w:marTop w:val="0"/>
      <w:marBottom w:val="0"/>
      <w:divBdr>
        <w:top w:val="none" w:sz="0" w:space="0" w:color="auto"/>
        <w:left w:val="none" w:sz="0" w:space="0" w:color="auto"/>
        <w:bottom w:val="none" w:sz="0" w:space="0" w:color="auto"/>
        <w:right w:val="none" w:sz="0" w:space="0" w:color="auto"/>
      </w:divBdr>
    </w:div>
    <w:div w:id="408814573">
      <w:bodyDiv w:val="1"/>
      <w:marLeft w:val="0"/>
      <w:marRight w:val="0"/>
      <w:marTop w:val="0"/>
      <w:marBottom w:val="0"/>
      <w:divBdr>
        <w:top w:val="none" w:sz="0" w:space="0" w:color="auto"/>
        <w:left w:val="none" w:sz="0" w:space="0" w:color="auto"/>
        <w:bottom w:val="none" w:sz="0" w:space="0" w:color="auto"/>
        <w:right w:val="none" w:sz="0" w:space="0" w:color="auto"/>
      </w:divBdr>
    </w:div>
    <w:div w:id="415398769">
      <w:bodyDiv w:val="1"/>
      <w:marLeft w:val="0"/>
      <w:marRight w:val="0"/>
      <w:marTop w:val="0"/>
      <w:marBottom w:val="0"/>
      <w:divBdr>
        <w:top w:val="none" w:sz="0" w:space="0" w:color="auto"/>
        <w:left w:val="none" w:sz="0" w:space="0" w:color="auto"/>
        <w:bottom w:val="none" w:sz="0" w:space="0" w:color="auto"/>
        <w:right w:val="none" w:sz="0" w:space="0" w:color="auto"/>
      </w:divBdr>
    </w:div>
    <w:div w:id="428356210">
      <w:bodyDiv w:val="1"/>
      <w:marLeft w:val="0"/>
      <w:marRight w:val="0"/>
      <w:marTop w:val="0"/>
      <w:marBottom w:val="0"/>
      <w:divBdr>
        <w:top w:val="none" w:sz="0" w:space="0" w:color="auto"/>
        <w:left w:val="none" w:sz="0" w:space="0" w:color="auto"/>
        <w:bottom w:val="none" w:sz="0" w:space="0" w:color="auto"/>
        <w:right w:val="none" w:sz="0" w:space="0" w:color="auto"/>
      </w:divBdr>
    </w:div>
    <w:div w:id="442649465">
      <w:bodyDiv w:val="1"/>
      <w:marLeft w:val="0"/>
      <w:marRight w:val="0"/>
      <w:marTop w:val="0"/>
      <w:marBottom w:val="0"/>
      <w:divBdr>
        <w:top w:val="none" w:sz="0" w:space="0" w:color="auto"/>
        <w:left w:val="none" w:sz="0" w:space="0" w:color="auto"/>
        <w:bottom w:val="none" w:sz="0" w:space="0" w:color="auto"/>
        <w:right w:val="none" w:sz="0" w:space="0" w:color="auto"/>
      </w:divBdr>
    </w:div>
    <w:div w:id="448546655">
      <w:bodyDiv w:val="1"/>
      <w:marLeft w:val="0"/>
      <w:marRight w:val="0"/>
      <w:marTop w:val="0"/>
      <w:marBottom w:val="0"/>
      <w:divBdr>
        <w:top w:val="none" w:sz="0" w:space="0" w:color="auto"/>
        <w:left w:val="none" w:sz="0" w:space="0" w:color="auto"/>
        <w:bottom w:val="none" w:sz="0" w:space="0" w:color="auto"/>
        <w:right w:val="none" w:sz="0" w:space="0" w:color="auto"/>
      </w:divBdr>
    </w:div>
    <w:div w:id="474839554">
      <w:bodyDiv w:val="1"/>
      <w:marLeft w:val="0"/>
      <w:marRight w:val="0"/>
      <w:marTop w:val="0"/>
      <w:marBottom w:val="0"/>
      <w:divBdr>
        <w:top w:val="none" w:sz="0" w:space="0" w:color="auto"/>
        <w:left w:val="none" w:sz="0" w:space="0" w:color="auto"/>
        <w:bottom w:val="none" w:sz="0" w:space="0" w:color="auto"/>
        <w:right w:val="none" w:sz="0" w:space="0" w:color="auto"/>
      </w:divBdr>
    </w:div>
    <w:div w:id="490025457">
      <w:bodyDiv w:val="1"/>
      <w:marLeft w:val="0"/>
      <w:marRight w:val="0"/>
      <w:marTop w:val="0"/>
      <w:marBottom w:val="0"/>
      <w:divBdr>
        <w:top w:val="none" w:sz="0" w:space="0" w:color="auto"/>
        <w:left w:val="none" w:sz="0" w:space="0" w:color="auto"/>
        <w:bottom w:val="none" w:sz="0" w:space="0" w:color="auto"/>
        <w:right w:val="none" w:sz="0" w:space="0" w:color="auto"/>
      </w:divBdr>
    </w:div>
    <w:div w:id="505900647">
      <w:bodyDiv w:val="1"/>
      <w:marLeft w:val="0"/>
      <w:marRight w:val="0"/>
      <w:marTop w:val="0"/>
      <w:marBottom w:val="0"/>
      <w:divBdr>
        <w:top w:val="none" w:sz="0" w:space="0" w:color="auto"/>
        <w:left w:val="none" w:sz="0" w:space="0" w:color="auto"/>
        <w:bottom w:val="none" w:sz="0" w:space="0" w:color="auto"/>
        <w:right w:val="none" w:sz="0" w:space="0" w:color="auto"/>
      </w:divBdr>
    </w:div>
    <w:div w:id="520826691">
      <w:bodyDiv w:val="1"/>
      <w:marLeft w:val="0"/>
      <w:marRight w:val="0"/>
      <w:marTop w:val="0"/>
      <w:marBottom w:val="0"/>
      <w:divBdr>
        <w:top w:val="none" w:sz="0" w:space="0" w:color="auto"/>
        <w:left w:val="none" w:sz="0" w:space="0" w:color="auto"/>
        <w:bottom w:val="none" w:sz="0" w:space="0" w:color="auto"/>
        <w:right w:val="none" w:sz="0" w:space="0" w:color="auto"/>
      </w:divBdr>
    </w:div>
    <w:div w:id="543908436">
      <w:bodyDiv w:val="1"/>
      <w:marLeft w:val="0"/>
      <w:marRight w:val="0"/>
      <w:marTop w:val="0"/>
      <w:marBottom w:val="0"/>
      <w:divBdr>
        <w:top w:val="none" w:sz="0" w:space="0" w:color="auto"/>
        <w:left w:val="none" w:sz="0" w:space="0" w:color="auto"/>
        <w:bottom w:val="none" w:sz="0" w:space="0" w:color="auto"/>
        <w:right w:val="none" w:sz="0" w:space="0" w:color="auto"/>
      </w:divBdr>
    </w:div>
    <w:div w:id="558325384">
      <w:bodyDiv w:val="1"/>
      <w:marLeft w:val="0"/>
      <w:marRight w:val="0"/>
      <w:marTop w:val="0"/>
      <w:marBottom w:val="0"/>
      <w:divBdr>
        <w:top w:val="none" w:sz="0" w:space="0" w:color="auto"/>
        <w:left w:val="none" w:sz="0" w:space="0" w:color="auto"/>
        <w:bottom w:val="none" w:sz="0" w:space="0" w:color="auto"/>
        <w:right w:val="none" w:sz="0" w:space="0" w:color="auto"/>
      </w:divBdr>
    </w:div>
    <w:div w:id="559486964">
      <w:bodyDiv w:val="1"/>
      <w:marLeft w:val="0"/>
      <w:marRight w:val="0"/>
      <w:marTop w:val="0"/>
      <w:marBottom w:val="0"/>
      <w:divBdr>
        <w:top w:val="none" w:sz="0" w:space="0" w:color="auto"/>
        <w:left w:val="none" w:sz="0" w:space="0" w:color="auto"/>
        <w:bottom w:val="none" w:sz="0" w:space="0" w:color="auto"/>
        <w:right w:val="none" w:sz="0" w:space="0" w:color="auto"/>
      </w:divBdr>
    </w:div>
    <w:div w:id="561718772">
      <w:bodyDiv w:val="1"/>
      <w:marLeft w:val="0"/>
      <w:marRight w:val="0"/>
      <w:marTop w:val="0"/>
      <w:marBottom w:val="0"/>
      <w:divBdr>
        <w:top w:val="none" w:sz="0" w:space="0" w:color="auto"/>
        <w:left w:val="none" w:sz="0" w:space="0" w:color="auto"/>
        <w:bottom w:val="none" w:sz="0" w:space="0" w:color="auto"/>
        <w:right w:val="none" w:sz="0" w:space="0" w:color="auto"/>
      </w:divBdr>
    </w:div>
    <w:div w:id="568805962">
      <w:bodyDiv w:val="1"/>
      <w:marLeft w:val="0"/>
      <w:marRight w:val="0"/>
      <w:marTop w:val="0"/>
      <w:marBottom w:val="0"/>
      <w:divBdr>
        <w:top w:val="none" w:sz="0" w:space="0" w:color="auto"/>
        <w:left w:val="none" w:sz="0" w:space="0" w:color="auto"/>
        <w:bottom w:val="none" w:sz="0" w:space="0" w:color="auto"/>
        <w:right w:val="none" w:sz="0" w:space="0" w:color="auto"/>
      </w:divBdr>
    </w:div>
    <w:div w:id="573272619">
      <w:bodyDiv w:val="1"/>
      <w:marLeft w:val="0"/>
      <w:marRight w:val="0"/>
      <w:marTop w:val="0"/>
      <w:marBottom w:val="0"/>
      <w:divBdr>
        <w:top w:val="none" w:sz="0" w:space="0" w:color="auto"/>
        <w:left w:val="none" w:sz="0" w:space="0" w:color="auto"/>
        <w:bottom w:val="none" w:sz="0" w:space="0" w:color="auto"/>
        <w:right w:val="none" w:sz="0" w:space="0" w:color="auto"/>
      </w:divBdr>
    </w:div>
    <w:div w:id="574822548">
      <w:bodyDiv w:val="1"/>
      <w:marLeft w:val="0"/>
      <w:marRight w:val="0"/>
      <w:marTop w:val="0"/>
      <w:marBottom w:val="0"/>
      <w:divBdr>
        <w:top w:val="none" w:sz="0" w:space="0" w:color="auto"/>
        <w:left w:val="none" w:sz="0" w:space="0" w:color="auto"/>
        <w:bottom w:val="none" w:sz="0" w:space="0" w:color="auto"/>
        <w:right w:val="none" w:sz="0" w:space="0" w:color="auto"/>
      </w:divBdr>
    </w:div>
    <w:div w:id="579604803">
      <w:bodyDiv w:val="1"/>
      <w:marLeft w:val="0"/>
      <w:marRight w:val="0"/>
      <w:marTop w:val="0"/>
      <w:marBottom w:val="0"/>
      <w:divBdr>
        <w:top w:val="none" w:sz="0" w:space="0" w:color="auto"/>
        <w:left w:val="none" w:sz="0" w:space="0" w:color="auto"/>
        <w:bottom w:val="none" w:sz="0" w:space="0" w:color="auto"/>
        <w:right w:val="none" w:sz="0" w:space="0" w:color="auto"/>
      </w:divBdr>
    </w:div>
    <w:div w:id="591745326">
      <w:bodyDiv w:val="1"/>
      <w:marLeft w:val="0"/>
      <w:marRight w:val="0"/>
      <w:marTop w:val="0"/>
      <w:marBottom w:val="0"/>
      <w:divBdr>
        <w:top w:val="none" w:sz="0" w:space="0" w:color="auto"/>
        <w:left w:val="none" w:sz="0" w:space="0" w:color="auto"/>
        <w:bottom w:val="none" w:sz="0" w:space="0" w:color="auto"/>
        <w:right w:val="none" w:sz="0" w:space="0" w:color="auto"/>
      </w:divBdr>
    </w:div>
    <w:div w:id="665402215">
      <w:bodyDiv w:val="1"/>
      <w:marLeft w:val="0"/>
      <w:marRight w:val="0"/>
      <w:marTop w:val="0"/>
      <w:marBottom w:val="0"/>
      <w:divBdr>
        <w:top w:val="none" w:sz="0" w:space="0" w:color="auto"/>
        <w:left w:val="none" w:sz="0" w:space="0" w:color="auto"/>
        <w:bottom w:val="none" w:sz="0" w:space="0" w:color="auto"/>
        <w:right w:val="none" w:sz="0" w:space="0" w:color="auto"/>
      </w:divBdr>
    </w:div>
    <w:div w:id="675307430">
      <w:bodyDiv w:val="1"/>
      <w:marLeft w:val="0"/>
      <w:marRight w:val="0"/>
      <w:marTop w:val="0"/>
      <w:marBottom w:val="0"/>
      <w:divBdr>
        <w:top w:val="none" w:sz="0" w:space="0" w:color="auto"/>
        <w:left w:val="none" w:sz="0" w:space="0" w:color="auto"/>
        <w:bottom w:val="none" w:sz="0" w:space="0" w:color="auto"/>
        <w:right w:val="none" w:sz="0" w:space="0" w:color="auto"/>
      </w:divBdr>
    </w:div>
    <w:div w:id="675503170">
      <w:bodyDiv w:val="1"/>
      <w:marLeft w:val="0"/>
      <w:marRight w:val="0"/>
      <w:marTop w:val="0"/>
      <w:marBottom w:val="0"/>
      <w:divBdr>
        <w:top w:val="none" w:sz="0" w:space="0" w:color="auto"/>
        <w:left w:val="none" w:sz="0" w:space="0" w:color="auto"/>
        <w:bottom w:val="none" w:sz="0" w:space="0" w:color="auto"/>
        <w:right w:val="none" w:sz="0" w:space="0" w:color="auto"/>
      </w:divBdr>
    </w:div>
    <w:div w:id="679896190">
      <w:bodyDiv w:val="1"/>
      <w:marLeft w:val="0"/>
      <w:marRight w:val="0"/>
      <w:marTop w:val="0"/>
      <w:marBottom w:val="0"/>
      <w:divBdr>
        <w:top w:val="none" w:sz="0" w:space="0" w:color="auto"/>
        <w:left w:val="none" w:sz="0" w:space="0" w:color="auto"/>
        <w:bottom w:val="none" w:sz="0" w:space="0" w:color="auto"/>
        <w:right w:val="none" w:sz="0" w:space="0" w:color="auto"/>
      </w:divBdr>
    </w:div>
    <w:div w:id="758909414">
      <w:bodyDiv w:val="1"/>
      <w:marLeft w:val="0"/>
      <w:marRight w:val="0"/>
      <w:marTop w:val="0"/>
      <w:marBottom w:val="0"/>
      <w:divBdr>
        <w:top w:val="none" w:sz="0" w:space="0" w:color="auto"/>
        <w:left w:val="none" w:sz="0" w:space="0" w:color="auto"/>
        <w:bottom w:val="none" w:sz="0" w:space="0" w:color="auto"/>
        <w:right w:val="none" w:sz="0" w:space="0" w:color="auto"/>
      </w:divBdr>
    </w:div>
    <w:div w:id="805977158">
      <w:bodyDiv w:val="1"/>
      <w:marLeft w:val="0"/>
      <w:marRight w:val="0"/>
      <w:marTop w:val="0"/>
      <w:marBottom w:val="0"/>
      <w:divBdr>
        <w:top w:val="none" w:sz="0" w:space="0" w:color="auto"/>
        <w:left w:val="none" w:sz="0" w:space="0" w:color="auto"/>
        <w:bottom w:val="none" w:sz="0" w:space="0" w:color="auto"/>
        <w:right w:val="none" w:sz="0" w:space="0" w:color="auto"/>
      </w:divBdr>
    </w:div>
    <w:div w:id="819690467">
      <w:bodyDiv w:val="1"/>
      <w:marLeft w:val="0"/>
      <w:marRight w:val="0"/>
      <w:marTop w:val="0"/>
      <w:marBottom w:val="0"/>
      <w:divBdr>
        <w:top w:val="none" w:sz="0" w:space="0" w:color="auto"/>
        <w:left w:val="none" w:sz="0" w:space="0" w:color="auto"/>
        <w:bottom w:val="none" w:sz="0" w:space="0" w:color="auto"/>
        <w:right w:val="none" w:sz="0" w:space="0" w:color="auto"/>
      </w:divBdr>
    </w:div>
    <w:div w:id="847058879">
      <w:bodyDiv w:val="1"/>
      <w:marLeft w:val="0"/>
      <w:marRight w:val="0"/>
      <w:marTop w:val="0"/>
      <w:marBottom w:val="0"/>
      <w:divBdr>
        <w:top w:val="none" w:sz="0" w:space="0" w:color="auto"/>
        <w:left w:val="none" w:sz="0" w:space="0" w:color="auto"/>
        <w:bottom w:val="none" w:sz="0" w:space="0" w:color="auto"/>
        <w:right w:val="none" w:sz="0" w:space="0" w:color="auto"/>
      </w:divBdr>
    </w:div>
    <w:div w:id="848983316">
      <w:bodyDiv w:val="1"/>
      <w:marLeft w:val="0"/>
      <w:marRight w:val="0"/>
      <w:marTop w:val="0"/>
      <w:marBottom w:val="0"/>
      <w:divBdr>
        <w:top w:val="none" w:sz="0" w:space="0" w:color="auto"/>
        <w:left w:val="none" w:sz="0" w:space="0" w:color="auto"/>
        <w:bottom w:val="none" w:sz="0" w:space="0" w:color="auto"/>
        <w:right w:val="none" w:sz="0" w:space="0" w:color="auto"/>
      </w:divBdr>
    </w:div>
    <w:div w:id="871267318">
      <w:bodyDiv w:val="1"/>
      <w:marLeft w:val="0"/>
      <w:marRight w:val="0"/>
      <w:marTop w:val="0"/>
      <w:marBottom w:val="0"/>
      <w:divBdr>
        <w:top w:val="none" w:sz="0" w:space="0" w:color="auto"/>
        <w:left w:val="none" w:sz="0" w:space="0" w:color="auto"/>
        <w:bottom w:val="none" w:sz="0" w:space="0" w:color="auto"/>
        <w:right w:val="none" w:sz="0" w:space="0" w:color="auto"/>
      </w:divBdr>
    </w:div>
    <w:div w:id="891575111">
      <w:bodyDiv w:val="1"/>
      <w:marLeft w:val="0"/>
      <w:marRight w:val="0"/>
      <w:marTop w:val="0"/>
      <w:marBottom w:val="0"/>
      <w:divBdr>
        <w:top w:val="none" w:sz="0" w:space="0" w:color="auto"/>
        <w:left w:val="none" w:sz="0" w:space="0" w:color="auto"/>
        <w:bottom w:val="none" w:sz="0" w:space="0" w:color="auto"/>
        <w:right w:val="none" w:sz="0" w:space="0" w:color="auto"/>
      </w:divBdr>
    </w:div>
    <w:div w:id="893590154">
      <w:bodyDiv w:val="1"/>
      <w:marLeft w:val="0"/>
      <w:marRight w:val="0"/>
      <w:marTop w:val="0"/>
      <w:marBottom w:val="0"/>
      <w:divBdr>
        <w:top w:val="none" w:sz="0" w:space="0" w:color="auto"/>
        <w:left w:val="none" w:sz="0" w:space="0" w:color="auto"/>
        <w:bottom w:val="none" w:sz="0" w:space="0" w:color="auto"/>
        <w:right w:val="none" w:sz="0" w:space="0" w:color="auto"/>
      </w:divBdr>
    </w:div>
    <w:div w:id="897325098">
      <w:bodyDiv w:val="1"/>
      <w:marLeft w:val="0"/>
      <w:marRight w:val="0"/>
      <w:marTop w:val="0"/>
      <w:marBottom w:val="0"/>
      <w:divBdr>
        <w:top w:val="none" w:sz="0" w:space="0" w:color="auto"/>
        <w:left w:val="none" w:sz="0" w:space="0" w:color="auto"/>
        <w:bottom w:val="none" w:sz="0" w:space="0" w:color="auto"/>
        <w:right w:val="none" w:sz="0" w:space="0" w:color="auto"/>
      </w:divBdr>
    </w:div>
    <w:div w:id="902569001">
      <w:bodyDiv w:val="1"/>
      <w:marLeft w:val="0"/>
      <w:marRight w:val="0"/>
      <w:marTop w:val="0"/>
      <w:marBottom w:val="0"/>
      <w:divBdr>
        <w:top w:val="none" w:sz="0" w:space="0" w:color="auto"/>
        <w:left w:val="none" w:sz="0" w:space="0" w:color="auto"/>
        <w:bottom w:val="none" w:sz="0" w:space="0" w:color="auto"/>
        <w:right w:val="none" w:sz="0" w:space="0" w:color="auto"/>
      </w:divBdr>
    </w:div>
    <w:div w:id="913130551">
      <w:bodyDiv w:val="1"/>
      <w:marLeft w:val="0"/>
      <w:marRight w:val="0"/>
      <w:marTop w:val="0"/>
      <w:marBottom w:val="0"/>
      <w:divBdr>
        <w:top w:val="none" w:sz="0" w:space="0" w:color="auto"/>
        <w:left w:val="none" w:sz="0" w:space="0" w:color="auto"/>
        <w:bottom w:val="none" w:sz="0" w:space="0" w:color="auto"/>
        <w:right w:val="none" w:sz="0" w:space="0" w:color="auto"/>
      </w:divBdr>
    </w:div>
    <w:div w:id="935096382">
      <w:bodyDiv w:val="1"/>
      <w:marLeft w:val="0"/>
      <w:marRight w:val="0"/>
      <w:marTop w:val="0"/>
      <w:marBottom w:val="0"/>
      <w:divBdr>
        <w:top w:val="none" w:sz="0" w:space="0" w:color="auto"/>
        <w:left w:val="none" w:sz="0" w:space="0" w:color="auto"/>
        <w:bottom w:val="none" w:sz="0" w:space="0" w:color="auto"/>
        <w:right w:val="none" w:sz="0" w:space="0" w:color="auto"/>
      </w:divBdr>
    </w:div>
    <w:div w:id="942885020">
      <w:bodyDiv w:val="1"/>
      <w:marLeft w:val="0"/>
      <w:marRight w:val="0"/>
      <w:marTop w:val="0"/>
      <w:marBottom w:val="0"/>
      <w:divBdr>
        <w:top w:val="none" w:sz="0" w:space="0" w:color="auto"/>
        <w:left w:val="none" w:sz="0" w:space="0" w:color="auto"/>
        <w:bottom w:val="none" w:sz="0" w:space="0" w:color="auto"/>
        <w:right w:val="none" w:sz="0" w:space="0" w:color="auto"/>
      </w:divBdr>
    </w:div>
    <w:div w:id="999194069">
      <w:bodyDiv w:val="1"/>
      <w:marLeft w:val="0"/>
      <w:marRight w:val="0"/>
      <w:marTop w:val="0"/>
      <w:marBottom w:val="0"/>
      <w:divBdr>
        <w:top w:val="none" w:sz="0" w:space="0" w:color="auto"/>
        <w:left w:val="none" w:sz="0" w:space="0" w:color="auto"/>
        <w:bottom w:val="none" w:sz="0" w:space="0" w:color="auto"/>
        <w:right w:val="none" w:sz="0" w:space="0" w:color="auto"/>
      </w:divBdr>
    </w:div>
    <w:div w:id="1000504251">
      <w:bodyDiv w:val="1"/>
      <w:marLeft w:val="0"/>
      <w:marRight w:val="0"/>
      <w:marTop w:val="0"/>
      <w:marBottom w:val="0"/>
      <w:divBdr>
        <w:top w:val="none" w:sz="0" w:space="0" w:color="auto"/>
        <w:left w:val="none" w:sz="0" w:space="0" w:color="auto"/>
        <w:bottom w:val="none" w:sz="0" w:space="0" w:color="auto"/>
        <w:right w:val="none" w:sz="0" w:space="0" w:color="auto"/>
      </w:divBdr>
    </w:div>
    <w:div w:id="1017462389">
      <w:bodyDiv w:val="1"/>
      <w:marLeft w:val="0"/>
      <w:marRight w:val="0"/>
      <w:marTop w:val="0"/>
      <w:marBottom w:val="0"/>
      <w:divBdr>
        <w:top w:val="none" w:sz="0" w:space="0" w:color="auto"/>
        <w:left w:val="none" w:sz="0" w:space="0" w:color="auto"/>
        <w:bottom w:val="none" w:sz="0" w:space="0" w:color="auto"/>
        <w:right w:val="none" w:sz="0" w:space="0" w:color="auto"/>
      </w:divBdr>
    </w:div>
    <w:div w:id="1036396303">
      <w:bodyDiv w:val="1"/>
      <w:marLeft w:val="0"/>
      <w:marRight w:val="0"/>
      <w:marTop w:val="0"/>
      <w:marBottom w:val="0"/>
      <w:divBdr>
        <w:top w:val="none" w:sz="0" w:space="0" w:color="auto"/>
        <w:left w:val="none" w:sz="0" w:space="0" w:color="auto"/>
        <w:bottom w:val="none" w:sz="0" w:space="0" w:color="auto"/>
        <w:right w:val="none" w:sz="0" w:space="0" w:color="auto"/>
      </w:divBdr>
    </w:div>
    <w:div w:id="1049114342">
      <w:bodyDiv w:val="1"/>
      <w:marLeft w:val="0"/>
      <w:marRight w:val="0"/>
      <w:marTop w:val="0"/>
      <w:marBottom w:val="0"/>
      <w:divBdr>
        <w:top w:val="none" w:sz="0" w:space="0" w:color="auto"/>
        <w:left w:val="none" w:sz="0" w:space="0" w:color="auto"/>
        <w:bottom w:val="none" w:sz="0" w:space="0" w:color="auto"/>
        <w:right w:val="none" w:sz="0" w:space="0" w:color="auto"/>
      </w:divBdr>
    </w:div>
    <w:div w:id="1072238606">
      <w:bodyDiv w:val="1"/>
      <w:marLeft w:val="0"/>
      <w:marRight w:val="0"/>
      <w:marTop w:val="0"/>
      <w:marBottom w:val="0"/>
      <w:divBdr>
        <w:top w:val="none" w:sz="0" w:space="0" w:color="auto"/>
        <w:left w:val="none" w:sz="0" w:space="0" w:color="auto"/>
        <w:bottom w:val="none" w:sz="0" w:space="0" w:color="auto"/>
        <w:right w:val="none" w:sz="0" w:space="0" w:color="auto"/>
      </w:divBdr>
    </w:div>
    <w:div w:id="1085493806">
      <w:bodyDiv w:val="1"/>
      <w:marLeft w:val="0"/>
      <w:marRight w:val="0"/>
      <w:marTop w:val="0"/>
      <w:marBottom w:val="0"/>
      <w:divBdr>
        <w:top w:val="none" w:sz="0" w:space="0" w:color="auto"/>
        <w:left w:val="none" w:sz="0" w:space="0" w:color="auto"/>
        <w:bottom w:val="none" w:sz="0" w:space="0" w:color="auto"/>
        <w:right w:val="none" w:sz="0" w:space="0" w:color="auto"/>
      </w:divBdr>
    </w:div>
    <w:div w:id="1106657186">
      <w:bodyDiv w:val="1"/>
      <w:marLeft w:val="0"/>
      <w:marRight w:val="0"/>
      <w:marTop w:val="0"/>
      <w:marBottom w:val="0"/>
      <w:divBdr>
        <w:top w:val="none" w:sz="0" w:space="0" w:color="auto"/>
        <w:left w:val="none" w:sz="0" w:space="0" w:color="auto"/>
        <w:bottom w:val="none" w:sz="0" w:space="0" w:color="auto"/>
        <w:right w:val="none" w:sz="0" w:space="0" w:color="auto"/>
      </w:divBdr>
    </w:div>
    <w:div w:id="1125736325">
      <w:bodyDiv w:val="1"/>
      <w:marLeft w:val="0"/>
      <w:marRight w:val="0"/>
      <w:marTop w:val="0"/>
      <w:marBottom w:val="0"/>
      <w:divBdr>
        <w:top w:val="none" w:sz="0" w:space="0" w:color="auto"/>
        <w:left w:val="none" w:sz="0" w:space="0" w:color="auto"/>
        <w:bottom w:val="none" w:sz="0" w:space="0" w:color="auto"/>
        <w:right w:val="none" w:sz="0" w:space="0" w:color="auto"/>
      </w:divBdr>
    </w:div>
    <w:div w:id="1128205112">
      <w:bodyDiv w:val="1"/>
      <w:marLeft w:val="0"/>
      <w:marRight w:val="0"/>
      <w:marTop w:val="0"/>
      <w:marBottom w:val="0"/>
      <w:divBdr>
        <w:top w:val="none" w:sz="0" w:space="0" w:color="auto"/>
        <w:left w:val="none" w:sz="0" w:space="0" w:color="auto"/>
        <w:bottom w:val="none" w:sz="0" w:space="0" w:color="auto"/>
        <w:right w:val="none" w:sz="0" w:space="0" w:color="auto"/>
      </w:divBdr>
    </w:div>
    <w:div w:id="1160388517">
      <w:bodyDiv w:val="1"/>
      <w:marLeft w:val="0"/>
      <w:marRight w:val="0"/>
      <w:marTop w:val="0"/>
      <w:marBottom w:val="0"/>
      <w:divBdr>
        <w:top w:val="none" w:sz="0" w:space="0" w:color="auto"/>
        <w:left w:val="none" w:sz="0" w:space="0" w:color="auto"/>
        <w:bottom w:val="none" w:sz="0" w:space="0" w:color="auto"/>
        <w:right w:val="none" w:sz="0" w:space="0" w:color="auto"/>
      </w:divBdr>
    </w:div>
    <w:div w:id="1176309713">
      <w:bodyDiv w:val="1"/>
      <w:marLeft w:val="0"/>
      <w:marRight w:val="0"/>
      <w:marTop w:val="0"/>
      <w:marBottom w:val="0"/>
      <w:divBdr>
        <w:top w:val="none" w:sz="0" w:space="0" w:color="auto"/>
        <w:left w:val="none" w:sz="0" w:space="0" w:color="auto"/>
        <w:bottom w:val="none" w:sz="0" w:space="0" w:color="auto"/>
        <w:right w:val="none" w:sz="0" w:space="0" w:color="auto"/>
      </w:divBdr>
    </w:div>
    <w:div w:id="1224217385">
      <w:bodyDiv w:val="1"/>
      <w:marLeft w:val="0"/>
      <w:marRight w:val="0"/>
      <w:marTop w:val="0"/>
      <w:marBottom w:val="0"/>
      <w:divBdr>
        <w:top w:val="none" w:sz="0" w:space="0" w:color="auto"/>
        <w:left w:val="none" w:sz="0" w:space="0" w:color="auto"/>
        <w:bottom w:val="none" w:sz="0" w:space="0" w:color="auto"/>
        <w:right w:val="none" w:sz="0" w:space="0" w:color="auto"/>
      </w:divBdr>
    </w:div>
    <w:div w:id="1224409571">
      <w:bodyDiv w:val="1"/>
      <w:marLeft w:val="0"/>
      <w:marRight w:val="0"/>
      <w:marTop w:val="0"/>
      <w:marBottom w:val="0"/>
      <w:divBdr>
        <w:top w:val="none" w:sz="0" w:space="0" w:color="auto"/>
        <w:left w:val="none" w:sz="0" w:space="0" w:color="auto"/>
        <w:bottom w:val="none" w:sz="0" w:space="0" w:color="auto"/>
        <w:right w:val="none" w:sz="0" w:space="0" w:color="auto"/>
      </w:divBdr>
    </w:div>
    <w:div w:id="1225291255">
      <w:bodyDiv w:val="1"/>
      <w:marLeft w:val="0"/>
      <w:marRight w:val="0"/>
      <w:marTop w:val="0"/>
      <w:marBottom w:val="0"/>
      <w:divBdr>
        <w:top w:val="none" w:sz="0" w:space="0" w:color="auto"/>
        <w:left w:val="none" w:sz="0" w:space="0" w:color="auto"/>
        <w:bottom w:val="none" w:sz="0" w:space="0" w:color="auto"/>
        <w:right w:val="none" w:sz="0" w:space="0" w:color="auto"/>
      </w:divBdr>
    </w:div>
    <w:div w:id="1237981999">
      <w:bodyDiv w:val="1"/>
      <w:marLeft w:val="0"/>
      <w:marRight w:val="0"/>
      <w:marTop w:val="0"/>
      <w:marBottom w:val="0"/>
      <w:divBdr>
        <w:top w:val="none" w:sz="0" w:space="0" w:color="auto"/>
        <w:left w:val="none" w:sz="0" w:space="0" w:color="auto"/>
        <w:bottom w:val="none" w:sz="0" w:space="0" w:color="auto"/>
        <w:right w:val="none" w:sz="0" w:space="0" w:color="auto"/>
      </w:divBdr>
    </w:div>
    <w:div w:id="1249116761">
      <w:bodyDiv w:val="1"/>
      <w:marLeft w:val="0"/>
      <w:marRight w:val="0"/>
      <w:marTop w:val="0"/>
      <w:marBottom w:val="0"/>
      <w:divBdr>
        <w:top w:val="none" w:sz="0" w:space="0" w:color="auto"/>
        <w:left w:val="none" w:sz="0" w:space="0" w:color="auto"/>
        <w:bottom w:val="none" w:sz="0" w:space="0" w:color="auto"/>
        <w:right w:val="none" w:sz="0" w:space="0" w:color="auto"/>
      </w:divBdr>
    </w:div>
    <w:div w:id="1282414272">
      <w:bodyDiv w:val="1"/>
      <w:marLeft w:val="0"/>
      <w:marRight w:val="0"/>
      <w:marTop w:val="0"/>
      <w:marBottom w:val="0"/>
      <w:divBdr>
        <w:top w:val="none" w:sz="0" w:space="0" w:color="auto"/>
        <w:left w:val="none" w:sz="0" w:space="0" w:color="auto"/>
        <w:bottom w:val="none" w:sz="0" w:space="0" w:color="auto"/>
        <w:right w:val="none" w:sz="0" w:space="0" w:color="auto"/>
      </w:divBdr>
    </w:div>
    <w:div w:id="1285186228">
      <w:bodyDiv w:val="1"/>
      <w:marLeft w:val="0"/>
      <w:marRight w:val="0"/>
      <w:marTop w:val="0"/>
      <w:marBottom w:val="0"/>
      <w:divBdr>
        <w:top w:val="none" w:sz="0" w:space="0" w:color="auto"/>
        <w:left w:val="none" w:sz="0" w:space="0" w:color="auto"/>
        <w:bottom w:val="none" w:sz="0" w:space="0" w:color="auto"/>
        <w:right w:val="none" w:sz="0" w:space="0" w:color="auto"/>
      </w:divBdr>
    </w:div>
    <w:div w:id="1311053742">
      <w:bodyDiv w:val="1"/>
      <w:marLeft w:val="0"/>
      <w:marRight w:val="0"/>
      <w:marTop w:val="0"/>
      <w:marBottom w:val="0"/>
      <w:divBdr>
        <w:top w:val="none" w:sz="0" w:space="0" w:color="auto"/>
        <w:left w:val="none" w:sz="0" w:space="0" w:color="auto"/>
        <w:bottom w:val="none" w:sz="0" w:space="0" w:color="auto"/>
        <w:right w:val="none" w:sz="0" w:space="0" w:color="auto"/>
      </w:divBdr>
    </w:div>
    <w:div w:id="1326861411">
      <w:bodyDiv w:val="1"/>
      <w:marLeft w:val="0"/>
      <w:marRight w:val="0"/>
      <w:marTop w:val="0"/>
      <w:marBottom w:val="0"/>
      <w:divBdr>
        <w:top w:val="none" w:sz="0" w:space="0" w:color="auto"/>
        <w:left w:val="none" w:sz="0" w:space="0" w:color="auto"/>
        <w:bottom w:val="none" w:sz="0" w:space="0" w:color="auto"/>
        <w:right w:val="none" w:sz="0" w:space="0" w:color="auto"/>
      </w:divBdr>
    </w:div>
    <w:div w:id="1357460905">
      <w:bodyDiv w:val="1"/>
      <w:marLeft w:val="0"/>
      <w:marRight w:val="0"/>
      <w:marTop w:val="0"/>
      <w:marBottom w:val="0"/>
      <w:divBdr>
        <w:top w:val="none" w:sz="0" w:space="0" w:color="auto"/>
        <w:left w:val="none" w:sz="0" w:space="0" w:color="auto"/>
        <w:bottom w:val="none" w:sz="0" w:space="0" w:color="auto"/>
        <w:right w:val="none" w:sz="0" w:space="0" w:color="auto"/>
      </w:divBdr>
    </w:div>
    <w:div w:id="1358042380">
      <w:bodyDiv w:val="1"/>
      <w:marLeft w:val="0"/>
      <w:marRight w:val="0"/>
      <w:marTop w:val="0"/>
      <w:marBottom w:val="0"/>
      <w:divBdr>
        <w:top w:val="none" w:sz="0" w:space="0" w:color="auto"/>
        <w:left w:val="none" w:sz="0" w:space="0" w:color="auto"/>
        <w:bottom w:val="none" w:sz="0" w:space="0" w:color="auto"/>
        <w:right w:val="none" w:sz="0" w:space="0" w:color="auto"/>
      </w:divBdr>
    </w:div>
    <w:div w:id="1358577383">
      <w:bodyDiv w:val="1"/>
      <w:marLeft w:val="0"/>
      <w:marRight w:val="0"/>
      <w:marTop w:val="0"/>
      <w:marBottom w:val="0"/>
      <w:divBdr>
        <w:top w:val="none" w:sz="0" w:space="0" w:color="auto"/>
        <w:left w:val="none" w:sz="0" w:space="0" w:color="auto"/>
        <w:bottom w:val="none" w:sz="0" w:space="0" w:color="auto"/>
        <w:right w:val="none" w:sz="0" w:space="0" w:color="auto"/>
      </w:divBdr>
    </w:div>
    <w:div w:id="1378582205">
      <w:bodyDiv w:val="1"/>
      <w:marLeft w:val="0"/>
      <w:marRight w:val="0"/>
      <w:marTop w:val="0"/>
      <w:marBottom w:val="0"/>
      <w:divBdr>
        <w:top w:val="none" w:sz="0" w:space="0" w:color="auto"/>
        <w:left w:val="none" w:sz="0" w:space="0" w:color="auto"/>
        <w:bottom w:val="none" w:sz="0" w:space="0" w:color="auto"/>
        <w:right w:val="none" w:sz="0" w:space="0" w:color="auto"/>
      </w:divBdr>
    </w:div>
    <w:div w:id="1407874956">
      <w:bodyDiv w:val="1"/>
      <w:marLeft w:val="0"/>
      <w:marRight w:val="0"/>
      <w:marTop w:val="0"/>
      <w:marBottom w:val="0"/>
      <w:divBdr>
        <w:top w:val="none" w:sz="0" w:space="0" w:color="auto"/>
        <w:left w:val="none" w:sz="0" w:space="0" w:color="auto"/>
        <w:bottom w:val="none" w:sz="0" w:space="0" w:color="auto"/>
        <w:right w:val="none" w:sz="0" w:space="0" w:color="auto"/>
      </w:divBdr>
    </w:div>
    <w:div w:id="1420787233">
      <w:bodyDiv w:val="1"/>
      <w:marLeft w:val="0"/>
      <w:marRight w:val="0"/>
      <w:marTop w:val="0"/>
      <w:marBottom w:val="0"/>
      <w:divBdr>
        <w:top w:val="none" w:sz="0" w:space="0" w:color="auto"/>
        <w:left w:val="none" w:sz="0" w:space="0" w:color="auto"/>
        <w:bottom w:val="none" w:sz="0" w:space="0" w:color="auto"/>
        <w:right w:val="none" w:sz="0" w:space="0" w:color="auto"/>
      </w:divBdr>
    </w:div>
    <w:div w:id="1451512169">
      <w:bodyDiv w:val="1"/>
      <w:marLeft w:val="0"/>
      <w:marRight w:val="0"/>
      <w:marTop w:val="0"/>
      <w:marBottom w:val="0"/>
      <w:divBdr>
        <w:top w:val="none" w:sz="0" w:space="0" w:color="auto"/>
        <w:left w:val="none" w:sz="0" w:space="0" w:color="auto"/>
        <w:bottom w:val="none" w:sz="0" w:space="0" w:color="auto"/>
        <w:right w:val="none" w:sz="0" w:space="0" w:color="auto"/>
      </w:divBdr>
    </w:div>
    <w:div w:id="1460800578">
      <w:bodyDiv w:val="1"/>
      <w:marLeft w:val="0"/>
      <w:marRight w:val="0"/>
      <w:marTop w:val="0"/>
      <w:marBottom w:val="0"/>
      <w:divBdr>
        <w:top w:val="none" w:sz="0" w:space="0" w:color="auto"/>
        <w:left w:val="none" w:sz="0" w:space="0" w:color="auto"/>
        <w:bottom w:val="none" w:sz="0" w:space="0" w:color="auto"/>
        <w:right w:val="none" w:sz="0" w:space="0" w:color="auto"/>
      </w:divBdr>
    </w:div>
    <w:div w:id="1470318721">
      <w:bodyDiv w:val="1"/>
      <w:marLeft w:val="0"/>
      <w:marRight w:val="0"/>
      <w:marTop w:val="0"/>
      <w:marBottom w:val="0"/>
      <w:divBdr>
        <w:top w:val="none" w:sz="0" w:space="0" w:color="auto"/>
        <w:left w:val="none" w:sz="0" w:space="0" w:color="auto"/>
        <w:bottom w:val="none" w:sz="0" w:space="0" w:color="auto"/>
        <w:right w:val="none" w:sz="0" w:space="0" w:color="auto"/>
      </w:divBdr>
    </w:div>
    <w:div w:id="1470397667">
      <w:bodyDiv w:val="1"/>
      <w:marLeft w:val="0"/>
      <w:marRight w:val="0"/>
      <w:marTop w:val="0"/>
      <w:marBottom w:val="0"/>
      <w:divBdr>
        <w:top w:val="none" w:sz="0" w:space="0" w:color="auto"/>
        <w:left w:val="none" w:sz="0" w:space="0" w:color="auto"/>
        <w:bottom w:val="none" w:sz="0" w:space="0" w:color="auto"/>
        <w:right w:val="none" w:sz="0" w:space="0" w:color="auto"/>
      </w:divBdr>
    </w:div>
    <w:div w:id="1533105671">
      <w:bodyDiv w:val="1"/>
      <w:marLeft w:val="0"/>
      <w:marRight w:val="0"/>
      <w:marTop w:val="0"/>
      <w:marBottom w:val="0"/>
      <w:divBdr>
        <w:top w:val="none" w:sz="0" w:space="0" w:color="auto"/>
        <w:left w:val="none" w:sz="0" w:space="0" w:color="auto"/>
        <w:bottom w:val="none" w:sz="0" w:space="0" w:color="auto"/>
        <w:right w:val="none" w:sz="0" w:space="0" w:color="auto"/>
      </w:divBdr>
    </w:div>
    <w:div w:id="1538009519">
      <w:bodyDiv w:val="1"/>
      <w:marLeft w:val="0"/>
      <w:marRight w:val="0"/>
      <w:marTop w:val="0"/>
      <w:marBottom w:val="0"/>
      <w:divBdr>
        <w:top w:val="none" w:sz="0" w:space="0" w:color="auto"/>
        <w:left w:val="none" w:sz="0" w:space="0" w:color="auto"/>
        <w:bottom w:val="none" w:sz="0" w:space="0" w:color="auto"/>
        <w:right w:val="none" w:sz="0" w:space="0" w:color="auto"/>
      </w:divBdr>
    </w:div>
    <w:div w:id="1561595867">
      <w:bodyDiv w:val="1"/>
      <w:marLeft w:val="0"/>
      <w:marRight w:val="0"/>
      <w:marTop w:val="0"/>
      <w:marBottom w:val="0"/>
      <w:divBdr>
        <w:top w:val="none" w:sz="0" w:space="0" w:color="auto"/>
        <w:left w:val="none" w:sz="0" w:space="0" w:color="auto"/>
        <w:bottom w:val="none" w:sz="0" w:space="0" w:color="auto"/>
        <w:right w:val="none" w:sz="0" w:space="0" w:color="auto"/>
      </w:divBdr>
    </w:div>
    <w:div w:id="1591738807">
      <w:bodyDiv w:val="1"/>
      <w:marLeft w:val="0"/>
      <w:marRight w:val="0"/>
      <w:marTop w:val="0"/>
      <w:marBottom w:val="0"/>
      <w:divBdr>
        <w:top w:val="none" w:sz="0" w:space="0" w:color="auto"/>
        <w:left w:val="none" w:sz="0" w:space="0" w:color="auto"/>
        <w:bottom w:val="none" w:sz="0" w:space="0" w:color="auto"/>
        <w:right w:val="none" w:sz="0" w:space="0" w:color="auto"/>
      </w:divBdr>
    </w:div>
    <w:div w:id="1603798111">
      <w:bodyDiv w:val="1"/>
      <w:marLeft w:val="0"/>
      <w:marRight w:val="0"/>
      <w:marTop w:val="0"/>
      <w:marBottom w:val="0"/>
      <w:divBdr>
        <w:top w:val="none" w:sz="0" w:space="0" w:color="auto"/>
        <w:left w:val="none" w:sz="0" w:space="0" w:color="auto"/>
        <w:bottom w:val="none" w:sz="0" w:space="0" w:color="auto"/>
        <w:right w:val="none" w:sz="0" w:space="0" w:color="auto"/>
      </w:divBdr>
    </w:div>
    <w:div w:id="1622613223">
      <w:bodyDiv w:val="1"/>
      <w:marLeft w:val="0"/>
      <w:marRight w:val="0"/>
      <w:marTop w:val="0"/>
      <w:marBottom w:val="0"/>
      <w:divBdr>
        <w:top w:val="none" w:sz="0" w:space="0" w:color="auto"/>
        <w:left w:val="none" w:sz="0" w:space="0" w:color="auto"/>
        <w:bottom w:val="none" w:sz="0" w:space="0" w:color="auto"/>
        <w:right w:val="none" w:sz="0" w:space="0" w:color="auto"/>
      </w:divBdr>
    </w:div>
    <w:div w:id="1668899342">
      <w:bodyDiv w:val="1"/>
      <w:marLeft w:val="0"/>
      <w:marRight w:val="0"/>
      <w:marTop w:val="0"/>
      <w:marBottom w:val="0"/>
      <w:divBdr>
        <w:top w:val="none" w:sz="0" w:space="0" w:color="auto"/>
        <w:left w:val="none" w:sz="0" w:space="0" w:color="auto"/>
        <w:bottom w:val="none" w:sz="0" w:space="0" w:color="auto"/>
        <w:right w:val="none" w:sz="0" w:space="0" w:color="auto"/>
      </w:divBdr>
    </w:div>
    <w:div w:id="1671249418">
      <w:bodyDiv w:val="1"/>
      <w:marLeft w:val="0"/>
      <w:marRight w:val="0"/>
      <w:marTop w:val="0"/>
      <w:marBottom w:val="0"/>
      <w:divBdr>
        <w:top w:val="none" w:sz="0" w:space="0" w:color="auto"/>
        <w:left w:val="none" w:sz="0" w:space="0" w:color="auto"/>
        <w:bottom w:val="none" w:sz="0" w:space="0" w:color="auto"/>
        <w:right w:val="none" w:sz="0" w:space="0" w:color="auto"/>
      </w:divBdr>
    </w:div>
    <w:div w:id="1696269407">
      <w:bodyDiv w:val="1"/>
      <w:marLeft w:val="0"/>
      <w:marRight w:val="0"/>
      <w:marTop w:val="0"/>
      <w:marBottom w:val="0"/>
      <w:divBdr>
        <w:top w:val="none" w:sz="0" w:space="0" w:color="auto"/>
        <w:left w:val="none" w:sz="0" w:space="0" w:color="auto"/>
        <w:bottom w:val="none" w:sz="0" w:space="0" w:color="auto"/>
        <w:right w:val="none" w:sz="0" w:space="0" w:color="auto"/>
      </w:divBdr>
    </w:div>
    <w:div w:id="1696690431">
      <w:bodyDiv w:val="1"/>
      <w:marLeft w:val="0"/>
      <w:marRight w:val="0"/>
      <w:marTop w:val="0"/>
      <w:marBottom w:val="0"/>
      <w:divBdr>
        <w:top w:val="none" w:sz="0" w:space="0" w:color="auto"/>
        <w:left w:val="none" w:sz="0" w:space="0" w:color="auto"/>
        <w:bottom w:val="none" w:sz="0" w:space="0" w:color="auto"/>
        <w:right w:val="none" w:sz="0" w:space="0" w:color="auto"/>
      </w:divBdr>
    </w:div>
    <w:div w:id="1727488946">
      <w:bodyDiv w:val="1"/>
      <w:marLeft w:val="0"/>
      <w:marRight w:val="0"/>
      <w:marTop w:val="0"/>
      <w:marBottom w:val="0"/>
      <w:divBdr>
        <w:top w:val="none" w:sz="0" w:space="0" w:color="auto"/>
        <w:left w:val="none" w:sz="0" w:space="0" w:color="auto"/>
        <w:bottom w:val="none" w:sz="0" w:space="0" w:color="auto"/>
        <w:right w:val="none" w:sz="0" w:space="0" w:color="auto"/>
      </w:divBdr>
    </w:div>
    <w:div w:id="1770541954">
      <w:bodyDiv w:val="1"/>
      <w:marLeft w:val="0"/>
      <w:marRight w:val="0"/>
      <w:marTop w:val="0"/>
      <w:marBottom w:val="0"/>
      <w:divBdr>
        <w:top w:val="none" w:sz="0" w:space="0" w:color="auto"/>
        <w:left w:val="none" w:sz="0" w:space="0" w:color="auto"/>
        <w:bottom w:val="none" w:sz="0" w:space="0" w:color="auto"/>
        <w:right w:val="none" w:sz="0" w:space="0" w:color="auto"/>
      </w:divBdr>
    </w:div>
    <w:div w:id="1781073492">
      <w:bodyDiv w:val="1"/>
      <w:marLeft w:val="0"/>
      <w:marRight w:val="0"/>
      <w:marTop w:val="0"/>
      <w:marBottom w:val="0"/>
      <w:divBdr>
        <w:top w:val="none" w:sz="0" w:space="0" w:color="auto"/>
        <w:left w:val="none" w:sz="0" w:space="0" w:color="auto"/>
        <w:bottom w:val="none" w:sz="0" w:space="0" w:color="auto"/>
        <w:right w:val="none" w:sz="0" w:space="0" w:color="auto"/>
      </w:divBdr>
    </w:div>
    <w:div w:id="1781684532">
      <w:bodyDiv w:val="1"/>
      <w:marLeft w:val="0"/>
      <w:marRight w:val="0"/>
      <w:marTop w:val="0"/>
      <w:marBottom w:val="0"/>
      <w:divBdr>
        <w:top w:val="none" w:sz="0" w:space="0" w:color="auto"/>
        <w:left w:val="none" w:sz="0" w:space="0" w:color="auto"/>
        <w:bottom w:val="none" w:sz="0" w:space="0" w:color="auto"/>
        <w:right w:val="none" w:sz="0" w:space="0" w:color="auto"/>
      </w:divBdr>
    </w:div>
    <w:div w:id="1792823322">
      <w:bodyDiv w:val="1"/>
      <w:marLeft w:val="0"/>
      <w:marRight w:val="0"/>
      <w:marTop w:val="0"/>
      <w:marBottom w:val="0"/>
      <w:divBdr>
        <w:top w:val="none" w:sz="0" w:space="0" w:color="auto"/>
        <w:left w:val="none" w:sz="0" w:space="0" w:color="auto"/>
        <w:bottom w:val="none" w:sz="0" w:space="0" w:color="auto"/>
        <w:right w:val="none" w:sz="0" w:space="0" w:color="auto"/>
      </w:divBdr>
    </w:div>
    <w:div w:id="1800220988">
      <w:bodyDiv w:val="1"/>
      <w:marLeft w:val="0"/>
      <w:marRight w:val="0"/>
      <w:marTop w:val="0"/>
      <w:marBottom w:val="0"/>
      <w:divBdr>
        <w:top w:val="none" w:sz="0" w:space="0" w:color="auto"/>
        <w:left w:val="none" w:sz="0" w:space="0" w:color="auto"/>
        <w:bottom w:val="none" w:sz="0" w:space="0" w:color="auto"/>
        <w:right w:val="none" w:sz="0" w:space="0" w:color="auto"/>
      </w:divBdr>
    </w:div>
    <w:div w:id="1805922202">
      <w:bodyDiv w:val="1"/>
      <w:marLeft w:val="0"/>
      <w:marRight w:val="0"/>
      <w:marTop w:val="0"/>
      <w:marBottom w:val="0"/>
      <w:divBdr>
        <w:top w:val="none" w:sz="0" w:space="0" w:color="auto"/>
        <w:left w:val="none" w:sz="0" w:space="0" w:color="auto"/>
        <w:bottom w:val="none" w:sz="0" w:space="0" w:color="auto"/>
        <w:right w:val="none" w:sz="0" w:space="0" w:color="auto"/>
      </w:divBdr>
    </w:div>
    <w:div w:id="1819612906">
      <w:bodyDiv w:val="1"/>
      <w:marLeft w:val="0"/>
      <w:marRight w:val="0"/>
      <w:marTop w:val="0"/>
      <w:marBottom w:val="0"/>
      <w:divBdr>
        <w:top w:val="none" w:sz="0" w:space="0" w:color="auto"/>
        <w:left w:val="none" w:sz="0" w:space="0" w:color="auto"/>
        <w:bottom w:val="none" w:sz="0" w:space="0" w:color="auto"/>
        <w:right w:val="none" w:sz="0" w:space="0" w:color="auto"/>
      </w:divBdr>
    </w:div>
    <w:div w:id="1821732909">
      <w:bodyDiv w:val="1"/>
      <w:marLeft w:val="0"/>
      <w:marRight w:val="0"/>
      <w:marTop w:val="0"/>
      <w:marBottom w:val="0"/>
      <w:divBdr>
        <w:top w:val="none" w:sz="0" w:space="0" w:color="auto"/>
        <w:left w:val="none" w:sz="0" w:space="0" w:color="auto"/>
        <w:bottom w:val="none" w:sz="0" w:space="0" w:color="auto"/>
        <w:right w:val="none" w:sz="0" w:space="0" w:color="auto"/>
      </w:divBdr>
    </w:div>
    <w:div w:id="1826505999">
      <w:bodyDiv w:val="1"/>
      <w:marLeft w:val="0"/>
      <w:marRight w:val="0"/>
      <w:marTop w:val="0"/>
      <w:marBottom w:val="0"/>
      <w:divBdr>
        <w:top w:val="none" w:sz="0" w:space="0" w:color="auto"/>
        <w:left w:val="none" w:sz="0" w:space="0" w:color="auto"/>
        <w:bottom w:val="none" w:sz="0" w:space="0" w:color="auto"/>
        <w:right w:val="none" w:sz="0" w:space="0" w:color="auto"/>
      </w:divBdr>
    </w:div>
    <w:div w:id="1834031144">
      <w:bodyDiv w:val="1"/>
      <w:marLeft w:val="0"/>
      <w:marRight w:val="0"/>
      <w:marTop w:val="0"/>
      <w:marBottom w:val="0"/>
      <w:divBdr>
        <w:top w:val="none" w:sz="0" w:space="0" w:color="auto"/>
        <w:left w:val="none" w:sz="0" w:space="0" w:color="auto"/>
        <w:bottom w:val="none" w:sz="0" w:space="0" w:color="auto"/>
        <w:right w:val="none" w:sz="0" w:space="0" w:color="auto"/>
      </w:divBdr>
    </w:div>
    <w:div w:id="1844126491">
      <w:bodyDiv w:val="1"/>
      <w:marLeft w:val="0"/>
      <w:marRight w:val="0"/>
      <w:marTop w:val="0"/>
      <w:marBottom w:val="0"/>
      <w:divBdr>
        <w:top w:val="none" w:sz="0" w:space="0" w:color="auto"/>
        <w:left w:val="none" w:sz="0" w:space="0" w:color="auto"/>
        <w:bottom w:val="none" w:sz="0" w:space="0" w:color="auto"/>
        <w:right w:val="none" w:sz="0" w:space="0" w:color="auto"/>
      </w:divBdr>
    </w:div>
    <w:div w:id="1860318113">
      <w:bodyDiv w:val="1"/>
      <w:marLeft w:val="0"/>
      <w:marRight w:val="0"/>
      <w:marTop w:val="0"/>
      <w:marBottom w:val="0"/>
      <w:divBdr>
        <w:top w:val="none" w:sz="0" w:space="0" w:color="auto"/>
        <w:left w:val="none" w:sz="0" w:space="0" w:color="auto"/>
        <w:bottom w:val="none" w:sz="0" w:space="0" w:color="auto"/>
        <w:right w:val="none" w:sz="0" w:space="0" w:color="auto"/>
      </w:divBdr>
    </w:div>
    <w:div w:id="1872960709">
      <w:bodyDiv w:val="1"/>
      <w:marLeft w:val="0"/>
      <w:marRight w:val="0"/>
      <w:marTop w:val="0"/>
      <w:marBottom w:val="0"/>
      <w:divBdr>
        <w:top w:val="none" w:sz="0" w:space="0" w:color="auto"/>
        <w:left w:val="none" w:sz="0" w:space="0" w:color="auto"/>
        <w:bottom w:val="none" w:sz="0" w:space="0" w:color="auto"/>
        <w:right w:val="none" w:sz="0" w:space="0" w:color="auto"/>
      </w:divBdr>
    </w:div>
    <w:div w:id="1874726038">
      <w:bodyDiv w:val="1"/>
      <w:marLeft w:val="0"/>
      <w:marRight w:val="0"/>
      <w:marTop w:val="0"/>
      <w:marBottom w:val="0"/>
      <w:divBdr>
        <w:top w:val="none" w:sz="0" w:space="0" w:color="auto"/>
        <w:left w:val="none" w:sz="0" w:space="0" w:color="auto"/>
        <w:bottom w:val="none" w:sz="0" w:space="0" w:color="auto"/>
        <w:right w:val="none" w:sz="0" w:space="0" w:color="auto"/>
      </w:divBdr>
    </w:div>
    <w:div w:id="1892183542">
      <w:bodyDiv w:val="1"/>
      <w:marLeft w:val="0"/>
      <w:marRight w:val="0"/>
      <w:marTop w:val="0"/>
      <w:marBottom w:val="0"/>
      <w:divBdr>
        <w:top w:val="none" w:sz="0" w:space="0" w:color="auto"/>
        <w:left w:val="none" w:sz="0" w:space="0" w:color="auto"/>
        <w:bottom w:val="none" w:sz="0" w:space="0" w:color="auto"/>
        <w:right w:val="none" w:sz="0" w:space="0" w:color="auto"/>
      </w:divBdr>
    </w:div>
    <w:div w:id="1912882789">
      <w:bodyDiv w:val="1"/>
      <w:marLeft w:val="0"/>
      <w:marRight w:val="0"/>
      <w:marTop w:val="0"/>
      <w:marBottom w:val="0"/>
      <w:divBdr>
        <w:top w:val="none" w:sz="0" w:space="0" w:color="auto"/>
        <w:left w:val="none" w:sz="0" w:space="0" w:color="auto"/>
        <w:bottom w:val="none" w:sz="0" w:space="0" w:color="auto"/>
        <w:right w:val="none" w:sz="0" w:space="0" w:color="auto"/>
      </w:divBdr>
    </w:div>
    <w:div w:id="1922175040">
      <w:bodyDiv w:val="1"/>
      <w:marLeft w:val="0"/>
      <w:marRight w:val="0"/>
      <w:marTop w:val="0"/>
      <w:marBottom w:val="0"/>
      <w:divBdr>
        <w:top w:val="none" w:sz="0" w:space="0" w:color="auto"/>
        <w:left w:val="none" w:sz="0" w:space="0" w:color="auto"/>
        <w:bottom w:val="none" w:sz="0" w:space="0" w:color="auto"/>
        <w:right w:val="none" w:sz="0" w:space="0" w:color="auto"/>
      </w:divBdr>
    </w:div>
    <w:div w:id="1959213903">
      <w:bodyDiv w:val="1"/>
      <w:marLeft w:val="0"/>
      <w:marRight w:val="0"/>
      <w:marTop w:val="0"/>
      <w:marBottom w:val="0"/>
      <w:divBdr>
        <w:top w:val="none" w:sz="0" w:space="0" w:color="auto"/>
        <w:left w:val="none" w:sz="0" w:space="0" w:color="auto"/>
        <w:bottom w:val="none" w:sz="0" w:space="0" w:color="auto"/>
        <w:right w:val="none" w:sz="0" w:space="0" w:color="auto"/>
      </w:divBdr>
    </w:div>
    <w:div w:id="1991010085">
      <w:bodyDiv w:val="1"/>
      <w:marLeft w:val="0"/>
      <w:marRight w:val="0"/>
      <w:marTop w:val="0"/>
      <w:marBottom w:val="0"/>
      <w:divBdr>
        <w:top w:val="none" w:sz="0" w:space="0" w:color="auto"/>
        <w:left w:val="none" w:sz="0" w:space="0" w:color="auto"/>
        <w:bottom w:val="none" w:sz="0" w:space="0" w:color="auto"/>
        <w:right w:val="none" w:sz="0" w:space="0" w:color="auto"/>
      </w:divBdr>
    </w:div>
    <w:div w:id="1996445793">
      <w:bodyDiv w:val="1"/>
      <w:marLeft w:val="0"/>
      <w:marRight w:val="0"/>
      <w:marTop w:val="0"/>
      <w:marBottom w:val="0"/>
      <w:divBdr>
        <w:top w:val="none" w:sz="0" w:space="0" w:color="auto"/>
        <w:left w:val="none" w:sz="0" w:space="0" w:color="auto"/>
        <w:bottom w:val="none" w:sz="0" w:space="0" w:color="auto"/>
        <w:right w:val="none" w:sz="0" w:space="0" w:color="auto"/>
      </w:divBdr>
    </w:div>
    <w:div w:id="1996907178">
      <w:bodyDiv w:val="1"/>
      <w:marLeft w:val="0"/>
      <w:marRight w:val="0"/>
      <w:marTop w:val="0"/>
      <w:marBottom w:val="0"/>
      <w:divBdr>
        <w:top w:val="none" w:sz="0" w:space="0" w:color="auto"/>
        <w:left w:val="none" w:sz="0" w:space="0" w:color="auto"/>
        <w:bottom w:val="none" w:sz="0" w:space="0" w:color="auto"/>
        <w:right w:val="none" w:sz="0" w:space="0" w:color="auto"/>
      </w:divBdr>
    </w:div>
    <w:div w:id="2025940775">
      <w:bodyDiv w:val="1"/>
      <w:marLeft w:val="0"/>
      <w:marRight w:val="0"/>
      <w:marTop w:val="0"/>
      <w:marBottom w:val="0"/>
      <w:divBdr>
        <w:top w:val="none" w:sz="0" w:space="0" w:color="auto"/>
        <w:left w:val="none" w:sz="0" w:space="0" w:color="auto"/>
        <w:bottom w:val="none" w:sz="0" w:space="0" w:color="auto"/>
        <w:right w:val="none" w:sz="0" w:space="0" w:color="auto"/>
      </w:divBdr>
    </w:div>
    <w:div w:id="2027251847">
      <w:bodyDiv w:val="1"/>
      <w:marLeft w:val="0"/>
      <w:marRight w:val="0"/>
      <w:marTop w:val="0"/>
      <w:marBottom w:val="0"/>
      <w:divBdr>
        <w:top w:val="none" w:sz="0" w:space="0" w:color="auto"/>
        <w:left w:val="none" w:sz="0" w:space="0" w:color="auto"/>
        <w:bottom w:val="none" w:sz="0" w:space="0" w:color="auto"/>
        <w:right w:val="none" w:sz="0" w:space="0" w:color="auto"/>
      </w:divBdr>
    </w:div>
    <w:div w:id="2028869731">
      <w:bodyDiv w:val="1"/>
      <w:marLeft w:val="0"/>
      <w:marRight w:val="0"/>
      <w:marTop w:val="0"/>
      <w:marBottom w:val="0"/>
      <w:divBdr>
        <w:top w:val="none" w:sz="0" w:space="0" w:color="auto"/>
        <w:left w:val="none" w:sz="0" w:space="0" w:color="auto"/>
        <w:bottom w:val="none" w:sz="0" w:space="0" w:color="auto"/>
        <w:right w:val="none" w:sz="0" w:space="0" w:color="auto"/>
      </w:divBdr>
    </w:div>
    <w:div w:id="2042969364">
      <w:bodyDiv w:val="1"/>
      <w:marLeft w:val="0"/>
      <w:marRight w:val="0"/>
      <w:marTop w:val="0"/>
      <w:marBottom w:val="0"/>
      <w:divBdr>
        <w:top w:val="none" w:sz="0" w:space="0" w:color="auto"/>
        <w:left w:val="none" w:sz="0" w:space="0" w:color="auto"/>
        <w:bottom w:val="none" w:sz="0" w:space="0" w:color="auto"/>
        <w:right w:val="none" w:sz="0" w:space="0" w:color="auto"/>
      </w:divBdr>
    </w:div>
    <w:div w:id="2055537469">
      <w:bodyDiv w:val="1"/>
      <w:marLeft w:val="0"/>
      <w:marRight w:val="0"/>
      <w:marTop w:val="0"/>
      <w:marBottom w:val="0"/>
      <w:divBdr>
        <w:top w:val="none" w:sz="0" w:space="0" w:color="auto"/>
        <w:left w:val="none" w:sz="0" w:space="0" w:color="auto"/>
        <w:bottom w:val="none" w:sz="0" w:space="0" w:color="auto"/>
        <w:right w:val="none" w:sz="0" w:space="0" w:color="auto"/>
      </w:divBdr>
    </w:div>
    <w:div w:id="2086759884">
      <w:bodyDiv w:val="1"/>
      <w:marLeft w:val="0"/>
      <w:marRight w:val="0"/>
      <w:marTop w:val="0"/>
      <w:marBottom w:val="0"/>
      <w:divBdr>
        <w:top w:val="none" w:sz="0" w:space="0" w:color="auto"/>
        <w:left w:val="none" w:sz="0" w:space="0" w:color="auto"/>
        <w:bottom w:val="none" w:sz="0" w:space="0" w:color="auto"/>
        <w:right w:val="none" w:sz="0" w:space="0" w:color="auto"/>
      </w:divBdr>
    </w:div>
    <w:div w:id="2098743305">
      <w:bodyDiv w:val="1"/>
      <w:marLeft w:val="0"/>
      <w:marRight w:val="0"/>
      <w:marTop w:val="0"/>
      <w:marBottom w:val="0"/>
      <w:divBdr>
        <w:top w:val="none" w:sz="0" w:space="0" w:color="auto"/>
        <w:left w:val="none" w:sz="0" w:space="0" w:color="auto"/>
        <w:bottom w:val="none" w:sz="0" w:space="0" w:color="auto"/>
        <w:right w:val="none" w:sz="0" w:space="0" w:color="auto"/>
      </w:divBdr>
    </w:div>
    <w:div w:id="2107001075">
      <w:bodyDiv w:val="1"/>
      <w:marLeft w:val="0"/>
      <w:marRight w:val="0"/>
      <w:marTop w:val="0"/>
      <w:marBottom w:val="0"/>
      <w:divBdr>
        <w:top w:val="none" w:sz="0" w:space="0" w:color="auto"/>
        <w:left w:val="none" w:sz="0" w:space="0" w:color="auto"/>
        <w:bottom w:val="none" w:sz="0" w:space="0" w:color="auto"/>
        <w:right w:val="none" w:sz="0" w:space="0" w:color="auto"/>
      </w:divBdr>
    </w:div>
    <w:div w:id="2120487614">
      <w:bodyDiv w:val="1"/>
      <w:marLeft w:val="0"/>
      <w:marRight w:val="0"/>
      <w:marTop w:val="0"/>
      <w:marBottom w:val="0"/>
      <w:divBdr>
        <w:top w:val="none" w:sz="0" w:space="0" w:color="auto"/>
        <w:left w:val="none" w:sz="0" w:space="0" w:color="auto"/>
        <w:bottom w:val="none" w:sz="0" w:space="0" w:color="auto"/>
        <w:right w:val="none" w:sz="0" w:space="0" w:color="auto"/>
      </w:divBdr>
    </w:div>
    <w:div w:id="21243790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footer" Target="footer4.xml"/><Relationship Id="rId26" Type="http://schemas.openxmlformats.org/officeDocument/2006/relationships/image" Target="media/image10.jpeg"/><Relationship Id="rId39" Type="http://schemas.openxmlformats.org/officeDocument/2006/relationships/footer" Target="footer7.xml"/><Relationship Id="rId21" Type="http://schemas.openxmlformats.org/officeDocument/2006/relationships/image" Target="media/image6.jpeg"/><Relationship Id="rId34" Type="http://schemas.openxmlformats.org/officeDocument/2006/relationships/image" Target="media/image18.jpeg"/><Relationship Id="rId42" Type="http://schemas.openxmlformats.org/officeDocument/2006/relationships/footer" Target="footer8.xml"/><Relationship Id="rId47" Type="http://schemas.openxmlformats.org/officeDocument/2006/relationships/hyperlink" Target="http://www.planalto.gov.br/ccivil_03/_ato2007-2010/2007/lei/l11445.htm" TargetMode="External"/><Relationship Id="rId50" Type="http://schemas.openxmlformats.org/officeDocument/2006/relationships/footer" Target="footer10.xml"/><Relationship Id="rId55" Type="http://schemas.openxmlformats.org/officeDocument/2006/relationships/image" Target="media/image31.png"/><Relationship Id="rId63" Type="http://schemas.openxmlformats.org/officeDocument/2006/relationships/footer" Target="footer18.xml"/><Relationship Id="rId68" Type="http://schemas.openxmlformats.org/officeDocument/2006/relationships/footer" Target="footer23.xml"/><Relationship Id="rId76" Type="http://schemas.openxmlformats.org/officeDocument/2006/relationships/footer" Target="footer31.xml"/><Relationship Id="rId84" Type="http://schemas.openxmlformats.org/officeDocument/2006/relationships/footer" Target="footer33.xml"/><Relationship Id="rId7" Type="http://schemas.openxmlformats.org/officeDocument/2006/relationships/footnotes" Target="footnotes.xml"/><Relationship Id="rId71" Type="http://schemas.openxmlformats.org/officeDocument/2006/relationships/footer" Target="footer26.xml"/><Relationship Id="rId2" Type="http://schemas.openxmlformats.org/officeDocument/2006/relationships/numbering" Target="numbering.xml"/><Relationship Id="rId16" Type="http://schemas.openxmlformats.org/officeDocument/2006/relationships/header" Target="header3.xml"/><Relationship Id="rId29" Type="http://schemas.openxmlformats.org/officeDocument/2006/relationships/image" Target="media/image13.png"/><Relationship Id="rId11" Type="http://schemas.openxmlformats.org/officeDocument/2006/relationships/hyperlink" Target="https://pt.wikipedia.org/wiki/Popula%C3%A7%C3%A3o" TargetMode="External"/><Relationship Id="rId24" Type="http://schemas.openxmlformats.org/officeDocument/2006/relationships/image" Target="media/image9.png"/><Relationship Id="rId32" Type="http://schemas.openxmlformats.org/officeDocument/2006/relationships/image" Target="media/image16.png"/><Relationship Id="rId37" Type="http://schemas.openxmlformats.org/officeDocument/2006/relationships/hyperlink" Target="http://www.stf.jus.br/portal/inteiroTeor/obterInteiroTeor.asp?numero=576321&amp;classe=RE-RG-QO" TargetMode="External"/><Relationship Id="rId40" Type="http://schemas.openxmlformats.org/officeDocument/2006/relationships/image" Target="media/image22.png"/><Relationship Id="rId45" Type="http://schemas.openxmlformats.org/officeDocument/2006/relationships/image" Target="media/image26.png"/><Relationship Id="rId53" Type="http://schemas.openxmlformats.org/officeDocument/2006/relationships/image" Target="media/image29.png"/><Relationship Id="rId58" Type="http://schemas.openxmlformats.org/officeDocument/2006/relationships/footer" Target="footer13.xml"/><Relationship Id="rId66" Type="http://schemas.openxmlformats.org/officeDocument/2006/relationships/footer" Target="footer21.xml"/><Relationship Id="rId74" Type="http://schemas.openxmlformats.org/officeDocument/2006/relationships/footer" Target="footer29.xml"/><Relationship Id="rId79" Type="http://schemas.openxmlformats.org/officeDocument/2006/relationships/image" Target="media/image35.jpeg"/><Relationship Id="rId5" Type="http://schemas.openxmlformats.org/officeDocument/2006/relationships/settings" Target="settings.xml"/><Relationship Id="rId61" Type="http://schemas.openxmlformats.org/officeDocument/2006/relationships/footer" Target="footer16.xml"/><Relationship Id="rId82" Type="http://schemas.openxmlformats.org/officeDocument/2006/relationships/hyperlink" Target="http://www.planalto.gov.br/ccivil_03/_ato2004-2006/2004/lei/l11079.htm" TargetMode="External"/><Relationship Id="rId19" Type="http://schemas.openxmlformats.org/officeDocument/2006/relationships/footer" Target="footer5.xml"/><Relationship Id="rId4" Type="http://schemas.microsoft.com/office/2007/relationships/stylesWithEffects" Target="stylesWithEffects.xml"/><Relationship Id="rId9" Type="http://schemas.openxmlformats.org/officeDocument/2006/relationships/hyperlink" Target="https://pt.wikipedia.org/wiki/Meio_ambiente" TargetMode="External"/><Relationship Id="rId14" Type="http://schemas.openxmlformats.org/officeDocument/2006/relationships/header" Target="header2.xml"/><Relationship Id="rId22" Type="http://schemas.openxmlformats.org/officeDocument/2006/relationships/image" Target="media/image7.jpeg"/><Relationship Id="rId27" Type="http://schemas.openxmlformats.org/officeDocument/2006/relationships/image" Target="media/image11.jpeg"/><Relationship Id="rId30" Type="http://schemas.openxmlformats.org/officeDocument/2006/relationships/image" Target="media/image14.png"/><Relationship Id="rId35" Type="http://schemas.openxmlformats.org/officeDocument/2006/relationships/image" Target="media/image19.jpeg"/><Relationship Id="rId43" Type="http://schemas.openxmlformats.org/officeDocument/2006/relationships/image" Target="media/image24.png"/><Relationship Id="rId48" Type="http://schemas.openxmlformats.org/officeDocument/2006/relationships/image" Target="media/image28.png"/><Relationship Id="rId56" Type="http://schemas.openxmlformats.org/officeDocument/2006/relationships/image" Target="media/image32.png"/><Relationship Id="rId64" Type="http://schemas.openxmlformats.org/officeDocument/2006/relationships/footer" Target="footer19.xml"/><Relationship Id="rId69" Type="http://schemas.openxmlformats.org/officeDocument/2006/relationships/footer" Target="footer24.xml"/><Relationship Id="rId77" Type="http://schemas.openxmlformats.org/officeDocument/2006/relationships/footer" Target="footer32.xml"/><Relationship Id="rId8" Type="http://schemas.openxmlformats.org/officeDocument/2006/relationships/endnotes" Target="endnotes.xml"/><Relationship Id="rId51" Type="http://schemas.openxmlformats.org/officeDocument/2006/relationships/footer" Target="footer11.xml"/><Relationship Id="rId72" Type="http://schemas.openxmlformats.org/officeDocument/2006/relationships/footer" Target="footer27.xml"/><Relationship Id="rId80" Type="http://schemas.openxmlformats.org/officeDocument/2006/relationships/image" Target="media/image36.jpeg"/><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hyperlink" Target="http://s.km/" TargetMode="External"/><Relationship Id="rId33" Type="http://schemas.openxmlformats.org/officeDocument/2006/relationships/image" Target="media/image17.jpeg"/><Relationship Id="rId38" Type="http://schemas.openxmlformats.org/officeDocument/2006/relationships/image" Target="media/image21.png"/><Relationship Id="rId46" Type="http://schemas.openxmlformats.org/officeDocument/2006/relationships/image" Target="media/image27.png"/><Relationship Id="rId59" Type="http://schemas.openxmlformats.org/officeDocument/2006/relationships/footer" Target="footer14.xml"/><Relationship Id="rId67" Type="http://schemas.openxmlformats.org/officeDocument/2006/relationships/footer" Target="footer22.xml"/><Relationship Id="rId20" Type="http://schemas.openxmlformats.org/officeDocument/2006/relationships/footer" Target="footer6.xml"/><Relationship Id="rId41" Type="http://schemas.openxmlformats.org/officeDocument/2006/relationships/image" Target="media/image23.png"/><Relationship Id="rId54" Type="http://schemas.openxmlformats.org/officeDocument/2006/relationships/image" Target="media/image30.png"/><Relationship Id="rId62" Type="http://schemas.openxmlformats.org/officeDocument/2006/relationships/footer" Target="footer17.xml"/><Relationship Id="rId70" Type="http://schemas.openxmlformats.org/officeDocument/2006/relationships/footer" Target="footer25.xml"/><Relationship Id="rId75" Type="http://schemas.openxmlformats.org/officeDocument/2006/relationships/footer" Target="footer30.xml"/><Relationship Id="rId83" Type="http://schemas.openxmlformats.org/officeDocument/2006/relationships/hyperlink" Target="https://www.abes-dn.org.br/publicacoes/engenharia/resaonline/v11n04/v11n04a03_060_%2006.pdf"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8.png"/><Relationship Id="rId28" Type="http://schemas.openxmlformats.org/officeDocument/2006/relationships/image" Target="media/image12.jpeg"/><Relationship Id="rId36" Type="http://schemas.openxmlformats.org/officeDocument/2006/relationships/image" Target="media/image20.png"/><Relationship Id="rId49" Type="http://schemas.openxmlformats.org/officeDocument/2006/relationships/footer" Target="footer9.xml"/><Relationship Id="rId57" Type="http://schemas.openxmlformats.org/officeDocument/2006/relationships/image" Target="media/image33.png"/><Relationship Id="rId10" Type="http://schemas.openxmlformats.org/officeDocument/2006/relationships/hyperlink" Target="https://pt.wikipedia.org/wiki/Sa%C3%BAde_p%C3%BAblica" TargetMode="External"/><Relationship Id="rId31" Type="http://schemas.openxmlformats.org/officeDocument/2006/relationships/image" Target="media/image15.png"/><Relationship Id="rId44" Type="http://schemas.openxmlformats.org/officeDocument/2006/relationships/image" Target="media/image25.png"/><Relationship Id="rId52" Type="http://schemas.openxmlformats.org/officeDocument/2006/relationships/footer" Target="footer12.xml"/><Relationship Id="rId60" Type="http://schemas.openxmlformats.org/officeDocument/2006/relationships/footer" Target="footer15.xml"/><Relationship Id="rId65" Type="http://schemas.openxmlformats.org/officeDocument/2006/relationships/footer" Target="footer20.xml"/><Relationship Id="rId73" Type="http://schemas.openxmlformats.org/officeDocument/2006/relationships/footer" Target="footer28.xml"/><Relationship Id="rId78" Type="http://schemas.openxmlformats.org/officeDocument/2006/relationships/image" Target="media/image34.jpeg"/><Relationship Id="rId81" Type="http://schemas.openxmlformats.org/officeDocument/2006/relationships/hyperlink" Target="http://www.planalto.gov.br/ccivil_03/leis/L9074cons.htm" TargetMode="External"/><Relationship Id="rId86"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jpeg"/><Relationship Id="rId4" Type="http://schemas.openxmlformats.org/officeDocument/2006/relationships/image" Target="media/image4.jpeg"/></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jpeg"/><Relationship Id="rId4" Type="http://schemas.openxmlformats.org/officeDocument/2006/relationships/image" Target="media/image4.jpeg"/></Relationships>
</file>

<file path=word/_rels/header3.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D:\Joao%20Paulo\Desktop\ASD.dotx" TargetMode="Externa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16EA0B1-045E-4884-B3E9-18355A4A73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ASD.dotx</Template>
  <TotalTime>5045</TotalTime>
  <Pages>232</Pages>
  <Words>67766</Words>
  <Characters>365938</Characters>
  <Application>Microsoft Office Word</Application>
  <DocSecurity>0</DocSecurity>
  <Lines>3049</Lines>
  <Paragraphs>865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432839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Joao Paulo</dc:creator>
  <cp:lastModifiedBy>Joao Paulo</cp:lastModifiedBy>
  <cp:revision>511</cp:revision>
  <cp:lastPrinted>2017-11-03T12:45:00Z</cp:lastPrinted>
  <dcterms:created xsi:type="dcterms:W3CDTF">2017-03-03T12:23:00Z</dcterms:created>
  <dcterms:modified xsi:type="dcterms:W3CDTF">2017-11-03T12:46:00Z</dcterms:modified>
</cp:coreProperties>
</file>